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329565</wp:posOffset>
            </wp:positionV>
            <wp:extent cx="5212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389890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SCHEDULE 14A</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the Securities Exchange Act of 1934 (Amendment No.    )</w:t>
      </w:r>
    </w:p>
    <w:p>
      <w:pPr>
        <w:spacing w:after="0" w:line="99"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4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43"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4" w:lineRule="exact"/>
        <w:rPr>
          <w:rFonts w:ascii="MS PGothic" w:cs="MS PGothic" w:eastAsia="MS PGothic" w:hAnsi="MS PGothic"/>
          <w:sz w:val="18"/>
          <w:szCs w:val="18"/>
          <w:color w:val="auto"/>
        </w:rPr>
      </w:pPr>
    </w:p>
    <w:p>
      <w:pPr>
        <w:ind w:left="1260" w:right="1999"/>
        <w:spacing w:after="0" w:line="251" w:lineRule="exact"/>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34" w:lineRule="exact"/>
        <w:rPr>
          <w:sz w:val="24"/>
          <w:szCs w:val="24"/>
          <w:color w:val="auto"/>
        </w:rPr>
      </w:pPr>
    </w:p>
    <w:p>
      <w:pPr>
        <w:jc w:val="center"/>
        <w:ind w:right="-840"/>
        <w:spacing w:after="0"/>
        <w:rPr>
          <w:sz w:val="20"/>
          <w:szCs w:val="20"/>
          <w:color w:val="auto"/>
        </w:rPr>
      </w:pPr>
      <w:r>
        <w:rPr>
          <w:rFonts w:ascii="Arial" w:cs="Arial" w:eastAsia="Arial" w:hAnsi="Arial"/>
          <w:sz w:val="25"/>
          <w:szCs w:val="25"/>
          <w:b w:val="1"/>
          <w:bCs w:val="1"/>
          <w:color w:val="auto"/>
        </w:rPr>
        <w:t>AVNET,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30480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59"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71" w:lineRule="exact"/>
        <w:rPr>
          <w:sz w:val="24"/>
          <w:szCs w:val="24"/>
          <w:color w:val="auto"/>
        </w:rPr>
      </w:pPr>
    </w:p>
    <w:p>
      <w:pPr>
        <w:ind w:left="29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87"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right="599" w:hanging="360"/>
        <w:spacing w:after="0" w:line="287" w:lineRule="auto"/>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92075</wp:posOffset>
            </wp:positionV>
            <wp:extent cx="5212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143510</wp:posOffset>
            </wp:positionV>
            <wp:extent cx="5212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3834130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-81280</wp:posOffset>
            </wp:positionV>
            <wp:extent cx="7025005" cy="9039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5005" cy="90392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drawing>
          <wp:anchor simplePos="0" relativeHeight="251657728" behindDoc="1" locked="0" layoutInCell="0" allowOverlap="1">
            <wp:simplePos x="0" y="0"/>
            <wp:positionH relativeFrom="page">
              <wp:posOffset>370840</wp:posOffset>
            </wp:positionH>
            <wp:positionV relativeFrom="page">
              <wp:posOffset>88900</wp:posOffset>
            </wp:positionV>
            <wp:extent cx="680656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4590415</wp:posOffset>
            </wp:positionH>
            <wp:positionV relativeFrom="paragraph">
              <wp:posOffset>252730</wp:posOffset>
            </wp:positionV>
            <wp:extent cx="1491615"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291465"/>
                    </a:xfrm>
                    <a:prstGeom prst="rect">
                      <a:avLst/>
                    </a:prstGeom>
                    <a:noFill/>
                  </pic:spPr>
                </pic:pic>
              </a:graphicData>
            </a:graphic>
          </wp:anchor>
        </w:drawing>
        <w:drawing>
          <wp:anchor simplePos="0" relativeHeight="251657728" behindDoc="1" locked="0" layoutInCell="0" allowOverlap="1">
            <wp:simplePos x="0" y="0"/>
            <wp:positionH relativeFrom="column">
              <wp:posOffset>527050</wp:posOffset>
            </wp:positionH>
            <wp:positionV relativeFrom="paragraph">
              <wp:posOffset>775335</wp:posOffset>
            </wp:positionV>
            <wp:extent cx="5554980" cy="68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00"/>
        <w:spacing w:after="0"/>
        <w:rPr>
          <w:sz w:val="20"/>
          <w:szCs w:val="20"/>
          <w:color w:val="auto"/>
        </w:rPr>
      </w:pPr>
      <w:r>
        <w:rPr>
          <w:rFonts w:ascii="Arial" w:cs="Arial" w:eastAsia="Arial" w:hAnsi="Arial"/>
          <w:sz w:val="38"/>
          <w:szCs w:val="38"/>
          <w:b w:val="1"/>
          <w:bCs w:val="1"/>
          <w:color w:val="FEFEFE"/>
        </w:rPr>
        <w:t>NOTICE OF 2025 ANNUAL MEETING OF</w:t>
      </w:r>
    </w:p>
    <w:p>
      <w:pPr>
        <w:spacing w:after="0" w:line="76" w:lineRule="exact"/>
        <w:rPr>
          <w:sz w:val="20"/>
          <w:szCs w:val="20"/>
          <w:color w:val="auto"/>
        </w:rPr>
      </w:pPr>
    </w:p>
    <w:p>
      <w:pPr>
        <w:jc w:val="center"/>
        <w:ind w:right="-740"/>
        <w:spacing w:after="0"/>
        <w:rPr>
          <w:sz w:val="20"/>
          <w:szCs w:val="20"/>
          <w:color w:val="auto"/>
        </w:rPr>
      </w:pPr>
      <w:r>
        <w:rPr>
          <w:rFonts w:ascii="Arial" w:cs="Arial" w:eastAsia="Arial" w:hAnsi="Arial"/>
          <w:sz w:val="40"/>
          <w:szCs w:val="40"/>
          <w:b w:val="1"/>
          <w:bCs w:val="1"/>
          <w:color w:val="FEFEFE"/>
        </w:rPr>
        <w:t>SHAREHOLDERS</w:t>
      </w:r>
      <w:r>
        <w:rPr>
          <w:rFonts w:ascii="Times New Roman" w:cs="Times New Roman" w:eastAsia="Times New Roman" w:hAnsi="Times New Roman"/>
          <w:sz w:val="17"/>
          <w:szCs w:val="17"/>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252730</wp:posOffset>
            </wp:positionV>
            <wp:extent cx="2417445" cy="1979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17445" cy="1979930"/>
                    </a:xfrm>
                    <a:prstGeom prst="rect">
                      <a:avLst/>
                    </a:prstGeom>
                    <a:noFill/>
                  </pic:spPr>
                </pic:pic>
              </a:graphicData>
            </a:graphic>
          </wp:anchor>
        </w:drawing>
      </w:r>
    </w:p>
    <w:p>
      <w:pPr>
        <w:sectPr>
          <w:pgSz w:w="11900" w:h="16838" w:orient="portrait"/>
          <w:cols w:equalWidth="0" w:num="1">
            <w:col w:w="9719"/>
          </w:cols>
          <w:pgMar w:left="740" w:top="1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EFEFE"/>
        </w:rPr>
        <w:t>DATE</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FEFEFE"/>
        </w:rPr>
        <w:t>Friday, November 21, 2025</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EFEFE"/>
        </w:rPr>
        <w:t>TIME</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FEFEFE"/>
        </w:rPr>
        <w:t>8:00 am local time</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EFEFE"/>
        </w:rPr>
        <w:t>PLACE</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FEFEFE"/>
        </w:rPr>
        <w:t>Avnet’s Corporate Headquarters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FEFEFE"/>
        </w:rPr>
        <w:t>2211 South 47th Street</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FEFEFE"/>
        </w:rPr>
        <w:t>Phoenix, Arizona 85034</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EFEFE"/>
        </w:rPr>
        <w:t>RECORD DATE</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FEFEFE"/>
        </w:rPr>
        <w:t>September 22, 2025</w:t>
      </w:r>
    </w:p>
    <w:p>
      <w:pPr>
        <w:spacing w:after="0" w:line="200" w:lineRule="exact"/>
        <w:rPr>
          <w:sz w:val="20"/>
          <w:szCs w:val="20"/>
          <w:color w:val="auto"/>
        </w:rPr>
      </w:pPr>
    </w:p>
    <w:p>
      <w:pPr>
        <w:spacing w:after="0" w:line="267" w:lineRule="exact"/>
        <w:rPr>
          <w:sz w:val="20"/>
          <w:szCs w:val="20"/>
          <w:color w:val="auto"/>
        </w:rPr>
      </w:pPr>
    </w:p>
    <w:p>
      <w:pPr>
        <w:ind w:left="840"/>
        <w:spacing w:after="0"/>
        <w:rPr>
          <w:sz w:val="20"/>
          <w:szCs w:val="20"/>
          <w:color w:val="auto"/>
        </w:rPr>
      </w:pPr>
      <w:r>
        <w:rPr>
          <w:rFonts w:ascii="Arial" w:cs="Arial" w:eastAsia="Arial" w:hAnsi="Arial"/>
          <w:sz w:val="19"/>
          <w:szCs w:val="19"/>
          <w:b w:val="1"/>
          <w:bCs w:val="1"/>
          <w:color w:val="53C072"/>
        </w:rPr>
        <w:t>YOUR VOTE IS IMPORTANT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53C072"/>
        </w:rPr>
        <w:t>ITEMS OF BUSINESS</w:t>
      </w:r>
    </w:p>
    <w:p>
      <w:pPr>
        <w:spacing w:after="0" w:line="148" w:lineRule="exact"/>
        <w:rPr>
          <w:sz w:val="20"/>
          <w:szCs w:val="20"/>
          <w:color w:val="auto"/>
        </w:rPr>
      </w:pPr>
    </w:p>
    <w:p>
      <w:pPr>
        <w:jc w:val="both"/>
        <w:ind w:left="366" w:right="299" w:hanging="366"/>
        <w:spacing w:after="0" w:line="262" w:lineRule="auto"/>
        <w:tabs>
          <w:tab w:leader="none" w:pos="366" w:val="left"/>
        </w:tabs>
        <w:numPr>
          <w:ilvl w:val="0"/>
          <w:numId w:val="4"/>
        </w:numPr>
        <w:rPr>
          <w:rFonts w:ascii="Arial" w:cs="Arial" w:eastAsia="Arial" w:hAnsi="Arial"/>
          <w:sz w:val="18"/>
          <w:szCs w:val="18"/>
          <w:b w:val="1"/>
          <w:bCs w:val="1"/>
          <w:color w:val="53C072"/>
        </w:rPr>
      </w:pPr>
      <w:r>
        <w:rPr>
          <w:rFonts w:ascii="Arial" w:cs="Arial" w:eastAsia="Arial" w:hAnsi="Arial"/>
          <w:sz w:val="18"/>
          <w:szCs w:val="18"/>
          <w:color w:val="auto"/>
        </w:rPr>
        <w:t>To elect the ten Director nominees named in the attached proxy statement to serve until the next annual meeting and until their successors have been elected and qualified.</w:t>
      </w:r>
    </w:p>
    <w:p>
      <w:pPr>
        <w:spacing w:after="0" w:line="122" w:lineRule="exact"/>
        <w:rPr>
          <w:rFonts w:ascii="Arial" w:cs="Arial" w:eastAsia="Arial" w:hAnsi="Arial"/>
          <w:sz w:val="18"/>
          <w:szCs w:val="18"/>
          <w:b w:val="1"/>
          <w:bCs w:val="1"/>
          <w:color w:val="53C072"/>
        </w:rPr>
      </w:pPr>
    </w:p>
    <w:p>
      <w:pPr>
        <w:ind w:left="366" w:right="239" w:hanging="366"/>
        <w:spacing w:after="0" w:line="287" w:lineRule="auto"/>
        <w:tabs>
          <w:tab w:leader="none" w:pos="366" w:val="left"/>
        </w:tabs>
        <w:numPr>
          <w:ilvl w:val="0"/>
          <w:numId w:val="4"/>
        </w:numPr>
        <w:rPr>
          <w:rFonts w:ascii="Arial" w:cs="Arial" w:eastAsia="Arial" w:hAnsi="Arial"/>
          <w:sz w:val="18"/>
          <w:szCs w:val="18"/>
          <w:b w:val="1"/>
          <w:bCs w:val="1"/>
          <w:color w:val="53C072"/>
        </w:rPr>
      </w:pPr>
      <w:r>
        <w:rPr>
          <w:rFonts w:ascii="Arial" w:cs="Arial" w:eastAsia="Arial" w:hAnsi="Arial"/>
          <w:sz w:val="18"/>
          <w:szCs w:val="18"/>
          <w:color w:val="auto"/>
        </w:rPr>
        <w:t>To conduct an advisory vote on named executive compensation.</w:t>
      </w:r>
    </w:p>
    <w:p>
      <w:pPr>
        <w:spacing w:after="0" w:line="98" w:lineRule="exact"/>
        <w:rPr>
          <w:rFonts w:ascii="Arial" w:cs="Arial" w:eastAsia="Arial" w:hAnsi="Arial"/>
          <w:sz w:val="18"/>
          <w:szCs w:val="18"/>
          <w:b w:val="1"/>
          <w:bCs w:val="1"/>
          <w:color w:val="53C072"/>
        </w:rPr>
      </w:pPr>
    </w:p>
    <w:p>
      <w:pPr>
        <w:ind w:left="366" w:right="419" w:hanging="366"/>
        <w:spacing w:after="0" w:line="287" w:lineRule="auto"/>
        <w:tabs>
          <w:tab w:leader="none" w:pos="366" w:val="left"/>
        </w:tabs>
        <w:numPr>
          <w:ilvl w:val="0"/>
          <w:numId w:val="4"/>
        </w:numPr>
        <w:rPr>
          <w:rFonts w:ascii="Arial" w:cs="Arial" w:eastAsia="Arial" w:hAnsi="Arial"/>
          <w:sz w:val="18"/>
          <w:szCs w:val="18"/>
          <w:b w:val="1"/>
          <w:bCs w:val="1"/>
          <w:color w:val="53C072"/>
        </w:rPr>
      </w:pPr>
      <w:r>
        <w:rPr>
          <w:rFonts w:ascii="Arial" w:cs="Arial" w:eastAsia="Arial" w:hAnsi="Arial"/>
          <w:sz w:val="18"/>
          <w:szCs w:val="18"/>
          <w:color w:val="auto"/>
        </w:rPr>
        <w:t>To approve the 2025 Stock Compensation and Incentive Plan.</w:t>
      </w:r>
    </w:p>
    <w:p>
      <w:pPr>
        <w:spacing w:after="0" w:line="98" w:lineRule="exact"/>
        <w:rPr>
          <w:rFonts w:ascii="Arial" w:cs="Arial" w:eastAsia="Arial" w:hAnsi="Arial"/>
          <w:sz w:val="18"/>
          <w:szCs w:val="18"/>
          <w:b w:val="1"/>
          <w:bCs w:val="1"/>
          <w:color w:val="53C072"/>
        </w:rPr>
      </w:pPr>
    </w:p>
    <w:p>
      <w:pPr>
        <w:ind w:left="366" w:right="159" w:hanging="366"/>
        <w:spacing w:after="0" w:line="259" w:lineRule="auto"/>
        <w:tabs>
          <w:tab w:leader="none" w:pos="366" w:val="left"/>
        </w:tabs>
        <w:numPr>
          <w:ilvl w:val="0"/>
          <w:numId w:val="4"/>
        </w:numPr>
        <w:rPr>
          <w:rFonts w:ascii="Arial" w:cs="Arial" w:eastAsia="Arial" w:hAnsi="Arial"/>
          <w:sz w:val="18"/>
          <w:szCs w:val="18"/>
          <w:b w:val="1"/>
          <w:bCs w:val="1"/>
          <w:color w:val="53C072"/>
        </w:rPr>
      </w:pPr>
      <w:r>
        <w:rPr>
          <w:rFonts w:ascii="Arial" w:cs="Arial" w:eastAsia="Arial" w:hAnsi="Arial"/>
          <w:sz w:val="18"/>
          <w:szCs w:val="18"/>
          <w:color w:val="auto"/>
        </w:rPr>
        <w:t>To ratify the appointment of PricewaterhouseCoopers LLP as the independent registered public accounting firm to audit the consolidated financial statements of Avnet for the fiscal year ending June 27, 2026.</w:t>
      </w:r>
    </w:p>
    <w:p>
      <w:pPr>
        <w:spacing w:after="0" w:line="49" w:lineRule="exact"/>
        <w:rPr>
          <w:sz w:val="20"/>
          <w:szCs w:val="20"/>
          <w:color w:val="auto"/>
        </w:rPr>
      </w:pPr>
    </w:p>
    <w:p>
      <w:pPr>
        <w:sectPr>
          <w:pgSz w:w="11900" w:h="16838" w:orient="portrait"/>
          <w:cols w:equalWidth="0" w:num="2">
            <w:col w:w="4574" w:space="720"/>
            <w:col w:w="4425"/>
          </w:cols>
          <w:pgMar w:left="740" w:top="165" w:right="1440" w:bottom="1440" w:gutter="0" w:footer="0" w:header="0"/>
          <w:type w:val="continuous"/>
        </w:sectPr>
      </w:pPr>
    </w:p>
    <w:p>
      <w:pPr>
        <w:ind w:left="840"/>
        <w:spacing w:after="0"/>
        <w:rPr>
          <w:sz w:val="20"/>
          <w:szCs w:val="20"/>
          <w:color w:val="auto"/>
        </w:rPr>
      </w:pPr>
      <w:r>
        <w:rPr>
          <w:rFonts w:ascii="Arial" w:cs="Arial" w:eastAsia="Arial" w:hAnsi="Arial"/>
          <w:sz w:val="15"/>
          <w:szCs w:val="15"/>
          <w:b w:val="1"/>
          <w:bCs w:val="1"/>
          <w:color w:val="B2B2B2"/>
        </w:rPr>
        <w:t>YOU CAN VOTE IN ONE OF FOUR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45085</wp:posOffset>
            </wp:positionV>
            <wp:extent cx="2417445" cy="643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17445" cy="643255"/>
                    </a:xfrm>
                    <a:prstGeom prst="rect">
                      <a:avLst/>
                    </a:prstGeom>
                    <a:noFill/>
                  </pic:spPr>
                </pic:pic>
              </a:graphicData>
            </a:graphic>
          </wp:anchor>
        </w:drawing>
      </w:r>
    </w:p>
    <w:p>
      <w:pPr>
        <w:spacing w:after="0" w:line="172"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53C072"/>
        </w:rPr>
        <w:t>INTERNET</w:t>
      </w:r>
    </w:p>
    <w:p>
      <w:pPr>
        <w:spacing w:after="0" w:line="21" w:lineRule="exact"/>
        <w:rPr>
          <w:sz w:val="20"/>
          <w:szCs w:val="20"/>
          <w:color w:val="auto"/>
        </w:rPr>
      </w:pPr>
    </w:p>
    <w:p>
      <w:pPr>
        <w:ind w:left="940" w:right="1474"/>
        <w:spacing w:after="0" w:line="283" w:lineRule="auto"/>
        <w:rPr>
          <w:sz w:val="20"/>
          <w:szCs w:val="20"/>
          <w:color w:val="auto"/>
        </w:rPr>
      </w:pPr>
      <w:r>
        <w:rPr>
          <w:rFonts w:ascii="Arial" w:cs="Arial" w:eastAsia="Arial" w:hAnsi="Arial"/>
          <w:sz w:val="16"/>
          <w:szCs w:val="16"/>
          <w:color w:val="auto"/>
        </w:rPr>
        <w:t>Visit the website noted on your proxy card to vote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246380</wp:posOffset>
            </wp:positionV>
            <wp:extent cx="2417445" cy="711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17445" cy="7112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53C072"/>
        </w:rPr>
        <w:t>TELEPHONE</w:t>
      </w:r>
    </w:p>
    <w:p>
      <w:pPr>
        <w:spacing w:after="0" w:line="35" w:lineRule="exact"/>
        <w:rPr>
          <w:sz w:val="20"/>
          <w:szCs w:val="20"/>
          <w:color w:val="auto"/>
        </w:rPr>
      </w:pPr>
    </w:p>
    <w:p>
      <w:pPr>
        <w:jc w:val="both"/>
        <w:ind w:left="940" w:right="954"/>
        <w:spacing w:after="0" w:line="318" w:lineRule="auto"/>
        <w:rPr>
          <w:sz w:val="20"/>
          <w:szCs w:val="20"/>
          <w:color w:val="auto"/>
        </w:rPr>
      </w:pPr>
      <w:r>
        <w:rPr>
          <w:rFonts w:ascii="Arial" w:cs="Arial" w:eastAsia="Arial" w:hAnsi="Arial"/>
          <w:sz w:val="15"/>
          <w:szCs w:val="15"/>
          <w:color w:val="auto"/>
        </w:rPr>
        <w:t>Use the toll-free telephone number on your proxy card to 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300355</wp:posOffset>
            </wp:positionV>
            <wp:extent cx="2417445" cy="591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17445" cy="59118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53C072"/>
        </w:rPr>
        <w:t>MAIL</w:t>
      </w:r>
    </w:p>
    <w:p>
      <w:pPr>
        <w:spacing w:after="0" w:line="35" w:lineRule="exact"/>
        <w:rPr>
          <w:sz w:val="20"/>
          <w:szCs w:val="20"/>
          <w:color w:val="auto"/>
        </w:rPr>
      </w:pPr>
    </w:p>
    <w:p>
      <w:pPr>
        <w:jc w:val="both"/>
        <w:ind w:left="940" w:right="1314"/>
        <w:spacing w:after="0" w:line="264" w:lineRule="auto"/>
        <w:rPr>
          <w:sz w:val="20"/>
          <w:szCs w:val="20"/>
          <w:color w:val="auto"/>
        </w:rPr>
      </w:pPr>
      <w:r>
        <w:rPr>
          <w:rFonts w:ascii="Arial" w:cs="Arial" w:eastAsia="Arial" w:hAnsi="Arial"/>
          <w:sz w:val="16"/>
          <w:szCs w:val="16"/>
          <w:color w:val="auto"/>
        </w:rPr>
        <w:t>Sign, date, and return your proxy card in the enclosed envelope to 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84455</wp:posOffset>
            </wp:positionV>
            <wp:extent cx="2417445"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17445" cy="488315"/>
                    </a:xfrm>
                    <a:prstGeom prst="rect">
                      <a:avLst/>
                    </a:prstGeom>
                    <a:noFill/>
                  </pic:spPr>
                </pic:pic>
              </a:graphicData>
            </a:graphic>
          </wp:anchor>
        </w:drawing>
      </w:r>
    </w:p>
    <w:p>
      <w:pPr>
        <w:spacing w:after="0" w:line="234"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53C072"/>
        </w:rPr>
        <w:t>IN PERSON</w:t>
      </w:r>
    </w:p>
    <w:p>
      <w:pPr>
        <w:spacing w:after="0" w:line="21" w:lineRule="exact"/>
        <w:rPr>
          <w:sz w:val="20"/>
          <w:szCs w:val="20"/>
          <w:color w:val="auto"/>
        </w:rPr>
      </w:pPr>
    </w:p>
    <w:p>
      <w:pPr>
        <w:ind w:left="940" w:right="934"/>
        <w:spacing w:after="0" w:line="283" w:lineRule="auto"/>
        <w:rPr>
          <w:sz w:val="20"/>
          <w:szCs w:val="20"/>
          <w:color w:val="auto"/>
        </w:rPr>
      </w:pPr>
      <w:r>
        <w:rPr>
          <w:rFonts w:ascii="Arial" w:cs="Arial" w:eastAsia="Arial" w:hAnsi="Arial"/>
          <w:sz w:val="16"/>
          <w:szCs w:val="16"/>
          <w:color w:val="auto"/>
        </w:rPr>
        <w:t>Cast your vote in person at the annual meeting.</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366" w:right="39" w:hanging="366"/>
        <w:spacing w:after="0" w:line="268" w:lineRule="auto"/>
        <w:tabs>
          <w:tab w:leader="none" w:pos="366" w:val="left"/>
        </w:tabs>
        <w:numPr>
          <w:ilvl w:val="0"/>
          <w:numId w:val="5"/>
        </w:numPr>
        <w:rPr>
          <w:rFonts w:ascii="Arial" w:cs="Arial" w:eastAsia="Arial" w:hAnsi="Arial"/>
          <w:sz w:val="18"/>
          <w:szCs w:val="18"/>
          <w:b w:val="1"/>
          <w:bCs w:val="1"/>
          <w:color w:val="53C072"/>
        </w:rPr>
      </w:pPr>
      <w:r>
        <w:rPr>
          <w:rFonts w:ascii="Arial" w:cs="Arial" w:eastAsia="Arial" w:hAnsi="Arial"/>
          <w:sz w:val="18"/>
          <w:szCs w:val="18"/>
          <w:color w:val="auto"/>
        </w:rPr>
        <w:t>To take action with respect to such other matters as may properly come before the Annual Meeting (including postponements and adjournments).</w:t>
      </w:r>
    </w:p>
    <w:p>
      <w:pPr>
        <w:spacing w:after="0" w:line="90" w:lineRule="exact"/>
        <w:rPr>
          <w:sz w:val="20"/>
          <w:szCs w:val="20"/>
          <w:color w:val="auto"/>
        </w:rPr>
      </w:pPr>
    </w:p>
    <w:p>
      <w:pPr>
        <w:ind w:left="6" w:right="99"/>
        <w:spacing w:after="0" w:line="257" w:lineRule="auto"/>
        <w:rPr>
          <w:sz w:val="20"/>
          <w:szCs w:val="20"/>
          <w:color w:val="auto"/>
        </w:rPr>
      </w:pPr>
      <w:r>
        <w:rPr>
          <w:rFonts w:ascii="Arial" w:cs="Arial" w:eastAsia="Arial" w:hAnsi="Arial"/>
          <w:sz w:val="18"/>
          <w:szCs w:val="18"/>
          <w:color w:val="auto"/>
        </w:rPr>
        <w:t>The Board of Directors has fixed the close of business on September 22, 2025, as the record date for the Annual Meeting. Only holders of record of shares of Avnet’s common stock at the close of business on such date shall be entitled to notice of and to vote at the Annual Meeting or any adjournment thereof.</w:t>
      </w:r>
    </w:p>
    <w:p>
      <w:pPr>
        <w:spacing w:after="0" w:line="115" w:lineRule="exact"/>
        <w:rPr>
          <w:sz w:val="20"/>
          <w:szCs w:val="20"/>
          <w:color w:val="auto"/>
        </w:rPr>
      </w:pPr>
    </w:p>
    <w:p>
      <w:pPr>
        <w:ind w:left="6"/>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354455"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544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53C072"/>
        </w:rPr>
        <w:t>Darrel S. Jackson</w:t>
      </w:r>
    </w:p>
    <w:p>
      <w:pPr>
        <w:spacing w:after="0" w:line="35"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Secretary</w:t>
      </w:r>
    </w:p>
    <w:p>
      <w:pPr>
        <w:spacing w:after="0" w:line="138" w:lineRule="exact"/>
        <w:rPr>
          <w:sz w:val="20"/>
          <w:szCs w:val="20"/>
          <w:color w:val="auto"/>
        </w:rPr>
      </w:pPr>
    </w:p>
    <w:p>
      <w:pPr>
        <w:ind w:left="6"/>
        <w:spacing w:after="0"/>
        <w:rPr>
          <w:sz w:val="20"/>
          <w:szCs w:val="20"/>
          <w:color w:val="auto"/>
        </w:rPr>
      </w:pPr>
      <w:r>
        <w:rPr>
          <w:rFonts w:ascii="Arial" w:cs="Arial" w:eastAsia="Arial" w:hAnsi="Arial"/>
          <w:sz w:val="16"/>
          <w:szCs w:val="16"/>
          <w:color w:val="auto"/>
        </w:rPr>
        <w:t>October 7, 2025</w:t>
      </w:r>
    </w:p>
    <w:p>
      <w:pPr>
        <w:sectPr>
          <w:pgSz w:w="11900" w:h="16838" w:orient="portrait"/>
          <w:cols w:equalWidth="0" w:num="2">
            <w:col w:w="4574" w:space="720"/>
            <w:col w:w="4425"/>
          </w:cols>
          <w:pgMar w:left="740" w:top="165"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398780</wp:posOffset>
            </wp:positionV>
            <wp:extent cx="5554980"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2399"/>
        <w:spacing w:after="0"/>
        <w:rPr>
          <w:sz w:val="20"/>
          <w:szCs w:val="20"/>
          <w:color w:val="auto"/>
        </w:rPr>
      </w:pPr>
      <w:r>
        <w:rPr>
          <w:rFonts w:ascii="Arial" w:cs="Arial" w:eastAsia="Arial" w:hAnsi="Arial"/>
          <w:sz w:val="40"/>
          <w:szCs w:val="40"/>
          <w:b w:val="1"/>
          <w:bCs w:val="1"/>
          <w:color w:val="FEFEFE"/>
        </w:rPr>
        <w:t>TABLE OF CONTENTS</w:t>
      </w:r>
      <w:r>
        <w:rPr>
          <w:rFonts w:ascii="Times New Roman" w:cs="Times New Roman" w:eastAsia="Times New Roman" w:hAnsi="Times New Roman"/>
          <w:sz w:val="17"/>
          <w:szCs w:val="17"/>
          <w:color w:val="FEFEFE"/>
        </w:rPr>
        <w:t>​</w:t>
      </w:r>
    </w:p>
    <w:p>
      <w:pPr>
        <w:sectPr>
          <w:pgSz w:w="11900" w:h="16838" w:orient="portrait"/>
          <w:cols w:equalWidth="0" w:num="1">
            <w:col w:w="9879"/>
          </w:cols>
          <w:pgMar w:left="580" w:top="97" w:right="1440" w:bottom="1440" w:gutter="0" w:footer="0" w:header="0"/>
        </w:sectPr>
      </w:pPr>
    </w:p>
    <w:p>
      <w:pPr>
        <w:spacing w:after="0" w:line="249" w:lineRule="exact"/>
        <w:rPr>
          <w:sz w:val="20"/>
          <w:szCs w:val="20"/>
          <w:color w:val="auto"/>
        </w:rPr>
      </w:pPr>
    </w:p>
    <w:tbl>
      <w:tblPr>
        <w:tblLayout w:type="fixed"/>
        <w:tblInd w:w="980" w:type="dxa"/>
        <w:tblCellMar>
          <w:top w:w="0" w:type="dxa"/>
          <w:left w:w="0" w:type="dxa"/>
          <w:bottom w:w="0" w:type="dxa"/>
          <w:right w:w="0" w:type="dxa"/>
        </w:tblCellMar>
      </w:tblPr>
      <w:tr>
        <w:trPr>
          <w:trHeight w:val="358"/>
        </w:trPr>
        <w:tc>
          <w:tcPr>
            <w:tcW w:w="3880" w:type="dxa"/>
            <w:vAlign w:val="bottom"/>
            <w:gridSpan w:val="29"/>
            <w:shd w:val="clear" w:color="auto" w:fill="CCEEFF"/>
          </w:tcPr>
          <w:p>
            <w:pPr>
              <w:ind w:left="20"/>
              <w:spacing w:after="0"/>
              <w:rPr>
                <w:sz w:val="20"/>
                <w:szCs w:val="20"/>
                <w:color w:val="auto"/>
              </w:rPr>
            </w:pPr>
            <w:r>
              <w:rPr>
                <w:rFonts w:ascii="Arial" w:cs="Arial" w:eastAsia="Arial" w:hAnsi="Arial"/>
                <w:sz w:val="22"/>
                <w:szCs w:val="22"/>
                <w:b w:val="1"/>
                <w:bCs w:val="1"/>
                <w:color w:val="53C072"/>
              </w:rPr>
              <w:t>Proxy Statement Summary</w:t>
            </w:r>
            <w:r>
              <w:rPr>
                <w:rFonts w:ascii="Arial" w:cs="Arial" w:eastAsia="Arial" w:hAnsi="Arial"/>
                <w:sz w:val="17"/>
                <w:szCs w:val="17"/>
                <w:color w:val="000000"/>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480" w:type="dxa"/>
            <w:vAlign w:val="bottom"/>
            <w:tcBorders>
              <w:top w:val="single" w:sz="8" w:color="53C072"/>
            </w:tcBorders>
            <w:shd w:val="clear" w:color="auto" w:fill="53C072"/>
          </w:tcPr>
          <w:p>
            <w:pPr>
              <w:spacing w:after="0" w:line="20" w:lineRule="exact"/>
              <w:rPr>
                <w:sz w:val="1"/>
                <w:szCs w:val="1"/>
                <w:color w:val="auto"/>
              </w:rPr>
            </w:pPr>
          </w:p>
        </w:tc>
        <w:tc>
          <w:tcPr>
            <w:tcW w:w="140" w:type="dxa"/>
            <w:vAlign w:val="bottom"/>
            <w:tcBorders>
              <w:top w:val="single" w:sz="8" w:color="53C072"/>
            </w:tcBorders>
            <w:shd w:val="clear" w:color="auto" w:fill="53C072"/>
          </w:tcPr>
          <w:p>
            <w:pPr>
              <w:spacing w:after="0" w:line="20" w:lineRule="exact"/>
              <w:rPr>
                <w:sz w:val="1"/>
                <w:szCs w:val="1"/>
                <w:color w:val="auto"/>
              </w:rPr>
            </w:pPr>
          </w:p>
        </w:tc>
        <w:tc>
          <w:tcPr>
            <w:tcW w:w="140" w:type="dxa"/>
            <w:vAlign w:val="bottom"/>
            <w:tcBorders>
              <w:top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53C072"/>
            </w:tcBorders>
            <w:shd w:val="clear" w:color="auto" w:fill="53C072"/>
          </w:tcPr>
          <w:p>
            <w:pPr>
              <w:spacing w:after="0" w:line="20" w:lineRule="exact"/>
              <w:rPr>
                <w:sz w:val="1"/>
                <w:szCs w:val="1"/>
                <w:color w:val="auto"/>
              </w:rPr>
            </w:pPr>
          </w:p>
        </w:tc>
        <w:tc>
          <w:tcPr>
            <w:tcW w:w="4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40" w:type="dxa"/>
            <w:vAlign w:val="bottom"/>
            <w:tcBorders>
              <w:top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260" w:type="dxa"/>
            <w:vAlign w:val="bottom"/>
            <w:tcBorders>
              <w:top w:val="single" w:sz="8" w:color="53C072"/>
              <w:left w:val="single" w:sz="8" w:color="53C072"/>
              <w:right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140" w:type="dxa"/>
            <w:vAlign w:val="bottom"/>
            <w:tcBorders>
              <w:top w:val="single" w:sz="8" w:color="53C072"/>
              <w:left w:val="single" w:sz="8" w:color="53C072"/>
              <w:right w:val="single" w:sz="8" w:color="53C072"/>
            </w:tcBorders>
            <w:shd w:val="clear" w:color="auto" w:fill="53C072"/>
          </w:tcPr>
          <w:p>
            <w:pPr>
              <w:spacing w:after="0" w:line="20" w:lineRule="exact"/>
              <w:rPr>
                <w:sz w:val="1"/>
                <w:szCs w:val="1"/>
                <w:color w:val="auto"/>
              </w:rPr>
            </w:pPr>
          </w:p>
        </w:tc>
        <w:tc>
          <w:tcPr>
            <w:tcW w:w="140" w:type="dxa"/>
            <w:vAlign w:val="bottom"/>
            <w:tcBorders>
              <w:top w:val="single" w:sz="8" w:color="53C072"/>
            </w:tcBorders>
            <w:shd w:val="clear" w:color="auto" w:fill="53C072"/>
          </w:tcPr>
          <w:p>
            <w:pPr>
              <w:spacing w:after="0" w:line="20" w:lineRule="exact"/>
              <w:rPr>
                <w:sz w:val="1"/>
                <w:szCs w:val="1"/>
                <w:color w:val="auto"/>
              </w:rPr>
            </w:pPr>
          </w:p>
        </w:tc>
        <w:tc>
          <w:tcPr>
            <w:tcW w:w="60" w:type="dxa"/>
            <w:vAlign w:val="bottom"/>
            <w:tcBorders>
              <w:top w:val="single" w:sz="8" w:color="53C072"/>
            </w:tcBorders>
            <w:shd w:val="clear" w:color="auto" w:fill="53C072"/>
          </w:tcPr>
          <w:p>
            <w:pPr>
              <w:spacing w:after="0" w:line="20" w:lineRule="exact"/>
              <w:rPr>
                <w:sz w:val="1"/>
                <w:szCs w:val="1"/>
                <w:color w:val="auto"/>
              </w:rPr>
            </w:pPr>
          </w:p>
        </w:tc>
        <w:tc>
          <w:tcPr>
            <w:tcW w:w="32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53C072"/>
            </w:tcBorders>
            <w:shd w:val="clear" w:color="auto" w:fill="53C072"/>
          </w:tcPr>
          <w:p>
            <w:pPr>
              <w:spacing w:after="0" w:line="20" w:lineRule="exact"/>
              <w:rPr>
                <w:sz w:val="1"/>
                <w:szCs w:val="1"/>
                <w:color w:val="auto"/>
              </w:rPr>
            </w:pPr>
          </w:p>
        </w:tc>
        <w:tc>
          <w:tcPr>
            <w:tcW w:w="1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CCEEFF"/>
            </w:tcBorders>
            <w:shd w:val="clear" w:color="auto" w:fill="53C072"/>
          </w:tcPr>
          <w:p>
            <w:pPr>
              <w:spacing w:after="0" w:line="20" w:lineRule="exact"/>
              <w:rPr>
                <w:sz w:val="1"/>
                <w:szCs w:val="1"/>
                <w:color w:val="auto"/>
              </w:rPr>
            </w:pPr>
          </w:p>
        </w:tc>
        <w:tc>
          <w:tcPr>
            <w:tcW w:w="20" w:type="dxa"/>
            <w:vAlign w:val="bottom"/>
            <w:tcBorders>
              <w:top w:val="single" w:sz="8" w:color="CCEEFF"/>
            </w:tcBorders>
            <w:shd w:val="clear" w:color="auto" w:fill="53C072"/>
          </w:tcPr>
          <w:p>
            <w:pPr>
              <w:spacing w:after="0" w:line="20" w:lineRule="exact"/>
              <w:rPr>
                <w:sz w:val="1"/>
                <w:szCs w:val="1"/>
                <w:color w:val="auto"/>
              </w:rPr>
            </w:pPr>
          </w:p>
        </w:tc>
        <w:tc>
          <w:tcPr>
            <w:tcW w:w="40" w:type="dxa"/>
            <w:vAlign w:val="bottom"/>
            <w:tcBorders>
              <w:top w:val="single" w:sz="8" w:color="CCEEFF"/>
            </w:tcBorders>
            <w:shd w:val="clear" w:color="auto" w:fill="53C072"/>
          </w:tcPr>
          <w:p>
            <w:pPr>
              <w:spacing w:after="0" w:line="20" w:lineRule="exact"/>
              <w:rPr>
                <w:sz w:val="1"/>
                <w:szCs w:val="1"/>
                <w:color w:val="auto"/>
              </w:rPr>
            </w:pPr>
          </w:p>
        </w:tc>
        <w:tc>
          <w:tcPr>
            <w:tcW w:w="160" w:type="dxa"/>
            <w:vAlign w:val="bottom"/>
            <w:tcBorders>
              <w:top w:val="single" w:sz="8" w:color="CCEEFF"/>
            </w:tcBorders>
            <w:shd w:val="clear" w:color="auto" w:fill="53C072"/>
          </w:tcPr>
          <w:p>
            <w:pPr>
              <w:spacing w:after="0" w:line="20" w:lineRule="exact"/>
              <w:rPr>
                <w:sz w:val="1"/>
                <w:szCs w:val="1"/>
                <w:color w:val="auto"/>
              </w:rPr>
            </w:pPr>
          </w:p>
        </w:tc>
        <w:tc>
          <w:tcPr>
            <w:tcW w:w="20" w:type="dxa"/>
            <w:vAlign w:val="bottom"/>
            <w:tcBorders>
              <w:top w:val="single" w:sz="8" w:color="CCEEFF"/>
            </w:tcBorders>
            <w:shd w:val="clear" w:color="auto" w:fill="53C072"/>
          </w:tcPr>
          <w:p>
            <w:pPr>
              <w:spacing w:after="0" w:line="20" w:lineRule="exact"/>
              <w:rPr>
                <w:sz w:val="1"/>
                <w:szCs w:val="1"/>
                <w:color w:val="auto"/>
              </w:rPr>
            </w:pPr>
          </w:p>
        </w:tc>
        <w:tc>
          <w:tcPr>
            <w:tcW w:w="60" w:type="dxa"/>
            <w:vAlign w:val="bottom"/>
            <w:tcBorders>
              <w:top w:val="single" w:sz="8" w:color="CCEEFF"/>
            </w:tcBorders>
            <w:shd w:val="clear" w:color="auto" w:fill="53C072"/>
          </w:tcPr>
          <w:p>
            <w:pPr>
              <w:spacing w:after="0" w:line="20" w:lineRule="exact"/>
              <w:rPr>
                <w:sz w:val="1"/>
                <w:szCs w:val="1"/>
                <w:color w:val="auto"/>
              </w:rPr>
            </w:pPr>
          </w:p>
        </w:tc>
        <w:tc>
          <w:tcPr>
            <w:tcW w:w="220" w:type="dxa"/>
            <w:vAlign w:val="bottom"/>
            <w:tcBorders>
              <w:top w:val="single" w:sz="8" w:color="CCEEFF"/>
            </w:tcBorders>
            <w:shd w:val="clear" w:color="auto" w:fill="53C072"/>
          </w:tcPr>
          <w:p>
            <w:pPr>
              <w:spacing w:after="0" w:line="20" w:lineRule="exact"/>
              <w:rPr>
                <w:sz w:val="1"/>
                <w:szCs w:val="1"/>
                <w:color w:val="auto"/>
              </w:rPr>
            </w:pPr>
          </w:p>
        </w:tc>
        <w:tc>
          <w:tcPr>
            <w:tcW w:w="10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200" w:type="dxa"/>
            <w:vAlign w:val="bottom"/>
            <w:tcBorders>
              <w:top w:val="single" w:sz="8" w:color="CCEEFF"/>
              <w:right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CCEEFF"/>
            </w:tcBorders>
            <w:shd w:val="clear" w:color="auto" w:fill="53C072"/>
          </w:tcPr>
          <w:p>
            <w:pPr>
              <w:spacing w:after="0" w:line="20" w:lineRule="exact"/>
              <w:rPr>
                <w:sz w:val="1"/>
                <w:szCs w:val="1"/>
                <w:color w:val="auto"/>
              </w:rPr>
            </w:pPr>
          </w:p>
        </w:tc>
        <w:tc>
          <w:tcPr>
            <w:tcW w:w="200" w:type="dxa"/>
            <w:vAlign w:val="bottom"/>
            <w:tcBorders>
              <w:top w:val="single" w:sz="8" w:color="CCEEFF"/>
            </w:tcBorders>
            <w:shd w:val="clear" w:color="auto" w:fill="53C072"/>
          </w:tcPr>
          <w:p>
            <w:pPr>
              <w:spacing w:after="0" w:line="20" w:lineRule="exact"/>
              <w:rPr>
                <w:sz w:val="1"/>
                <w:szCs w:val="1"/>
                <w:color w:val="auto"/>
              </w:rPr>
            </w:pPr>
          </w:p>
        </w:tc>
        <w:tc>
          <w:tcPr>
            <w:tcW w:w="100" w:type="dxa"/>
            <w:vAlign w:val="bottom"/>
            <w:tcBorders>
              <w:top w:val="single" w:sz="8" w:color="CCEEFF"/>
            </w:tcBorders>
            <w:shd w:val="clear" w:color="auto" w:fill="53C072"/>
          </w:tcPr>
          <w:p>
            <w:pPr>
              <w:spacing w:after="0" w:line="20" w:lineRule="exact"/>
              <w:rPr>
                <w:sz w:val="1"/>
                <w:szCs w:val="1"/>
                <w:color w:val="auto"/>
              </w:rPr>
            </w:pPr>
          </w:p>
        </w:tc>
        <w:tc>
          <w:tcPr>
            <w:tcW w:w="100" w:type="dxa"/>
            <w:vAlign w:val="bottom"/>
            <w:tcBorders>
              <w:top w:val="single" w:sz="8" w:color="0000EE"/>
            </w:tcBorders>
            <w:shd w:val="clear" w:color="auto" w:fill="53C0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880" w:type="dxa"/>
            <w:vAlign w:val="bottom"/>
            <w:gridSpan w:val="29"/>
          </w:tcPr>
          <w:p>
            <w:pPr>
              <w:ind w:left="20"/>
              <w:spacing w:after="0"/>
              <w:rPr>
                <w:sz w:val="20"/>
                <w:szCs w:val="20"/>
                <w:color w:val="auto"/>
              </w:rPr>
            </w:pPr>
            <w:r>
              <w:rPr>
                <w:rFonts w:ascii="Arial" w:cs="Arial" w:eastAsia="Arial" w:hAnsi="Arial"/>
                <w:sz w:val="22"/>
                <w:szCs w:val="22"/>
                <w:b w:val="1"/>
                <w:bCs w:val="1"/>
                <w:color w:val="53C072"/>
              </w:rPr>
              <w:t>Proxy Statement</w:t>
            </w:r>
            <w:r>
              <w:rPr>
                <w:rFonts w:ascii="Arial" w:cs="Arial" w:eastAsia="Arial" w:hAnsi="Arial"/>
                <w:sz w:val="17"/>
                <w:szCs w:val="17"/>
                <w:color w:val="000000"/>
              </w:rPr>
              <w: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rPr>
              <w:t>5</w:t>
            </w:r>
          </w:p>
        </w:tc>
        <w:tc>
          <w:tcPr>
            <w:tcW w:w="0" w:type="dxa"/>
            <w:vAlign w:val="bottom"/>
          </w:tcPr>
          <w:p>
            <w:pPr>
              <w:spacing w:after="0"/>
              <w:rPr>
                <w:sz w:val="1"/>
                <w:szCs w:val="1"/>
                <w:color w:val="auto"/>
              </w:rPr>
            </w:pPr>
          </w:p>
        </w:tc>
      </w:tr>
      <w:tr>
        <w:trPr>
          <w:trHeight w:val="34"/>
        </w:trPr>
        <w:tc>
          <w:tcPr>
            <w:tcW w:w="18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48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4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2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260" w:type="dxa"/>
            <w:vAlign w:val="bottom"/>
            <w:tcBorders>
              <w:top w:val="single" w:sz="8" w:color="53C072"/>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32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4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22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0" w:type="dxa"/>
            <w:vAlign w:val="bottom"/>
            <w:shd w:val="clear" w:color="auto" w:fill="CCEEFF"/>
          </w:tcPr>
          <w:p>
            <w:pPr>
              <w:spacing w:after="0"/>
              <w:rPr>
                <w:sz w:val="19"/>
                <w:szCs w:val="19"/>
                <w:color w:val="auto"/>
              </w:rPr>
            </w:pPr>
          </w:p>
        </w:tc>
        <w:tc>
          <w:tcPr>
            <w:tcW w:w="3700" w:type="dxa"/>
            <w:vAlign w:val="bottom"/>
            <w:gridSpan w:val="28"/>
            <w:shd w:val="clear" w:color="auto" w:fill="CCEEFF"/>
          </w:tcPr>
          <w:p>
            <w:pPr>
              <w:ind w:left="20"/>
              <w:spacing w:after="0"/>
              <w:rPr>
                <w:sz w:val="20"/>
                <w:szCs w:val="20"/>
                <w:color w:val="auto"/>
              </w:rPr>
            </w:pPr>
            <w:r>
              <w:rPr>
                <w:rFonts w:ascii="Arial" w:cs="Arial" w:eastAsia="Arial" w:hAnsi="Arial"/>
                <w:sz w:val="18"/>
                <w:szCs w:val="18"/>
                <w:color w:val="0000EE"/>
              </w:rPr>
              <w:t>Proxy and Revocation of Proxy</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1080" w:type="dxa"/>
            <w:vAlign w:val="bottom"/>
            <w:gridSpan w:val="6"/>
          </w:tcPr>
          <w:p>
            <w:pPr>
              <w:ind w:left="20"/>
              <w:spacing w:after="0" w:line="169" w:lineRule="exact"/>
              <w:rPr>
                <w:sz w:val="20"/>
                <w:szCs w:val="20"/>
                <w:color w:val="auto"/>
              </w:rPr>
            </w:pPr>
            <w:r>
              <w:rPr>
                <w:rFonts w:ascii="Arial" w:cs="Arial" w:eastAsia="Arial" w:hAnsi="Arial"/>
                <w:sz w:val="18"/>
                <w:szCs w:val="18"/>
                <w:color w:val="0000EE"/>
                <w:w w:val="93"/>
              </w:rPr>
              <w:t>Broker Voting</w:t>
            </w:r>
          </w:p>
        </w:tc>
        <w:tc>
          <w:tcPr>
            <w:tcW w:w="1360" w:type="dxa"/>
            <w:vAlign w:val="bottom"/>
            <w:gridSpan w:val="10"/>
          </w:tcPr>
          <w:p>
            <w:pPr>
              <w:spacing w:after="0"/>
              <w:rPr>
                <w:sz w:val="14"/>
                <w:szCs w:val="14"/>
                <w:color w:val="auto"/>
              </w:rPr>
            </w:pPr>
          </w:p>
        </w:tc>
        <w:tc>
          <w:tcPr>
            <w:tcW w:w="1260" w:type="dxa"/>
            <w:vAlign w:val="bottom"/>
            <w:gridSpan w:val="12"/>
          </w:tcPr>
          <w:p>
            <w:pPr>
              <w:spacing w:after="0"/>
              <w:rPr>
                <w:sz w:val="14"/>
                <w:szCs w:val="14"/>
                <w:color w:val="auto"/>
              </w:rPr>
            </w:pP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69" w:lineRule="exact"/>
              <w:rPr>
                <w:sz w:val="20"/>
                <w:szCs w:val="20"/>
                <w:color w:val="auto"/>
              </w:rPr>
            </w:pPr>
            <w:r>
              <w:rPr>
                <w:rFonts w:ascii="Arial" w:cs="Arial" w:eastAsia="Arial" w:hAnsi="Arial"/>
                <w:sz w:val="18"/>
                <w:szCs w:val="18"/>
                <w:color w:val="0000EE"/>
              </w:rPr>
              <w:t>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700" w:type="dxa"/>
            <w:vAlign w:val="bottom"/>
            <w:gridSpan w:val="28"/>
            <w:shd w:val="clear" w:color="auto" w:fill="CCEEFF"/>
          </w:tcPr>
          <w:p>
            <w:pPr>
              <w:ind w:left="20"/>
              <w:spacing w:after="0" w:line="169" w:lineRule="exact"/>
              <w:rPr>
                <w:sz w:val="20"/>
                <w:szCs w:val="20"/>
                <w:color w:val="auto"/>
              </w:rPr>
            </w:pPr>
            <w:r>
              <w:rPr>
                <w:rFonts w:ascii="Arial" w:cs="Arial" w:eastAsia="Arial" w:hAnsi="Arial"/>
                <w:sz w:val="18"/>
                <w:szCs w:val="18"/>
                <w:color w:val="0000EE"/>
              </w:rPr>
              <w:t>Meeting Attendance</w:t>
            </w:r>
          </w:p>
        </w:tc>
        <w:tc>
          <w:tcPr>
            <w:tcW w:w="20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rPr>
              <w:t>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660" w:type="dxa"/>
            <w:vAlign w:val="bottom"/>
            <w:gridSpan w:val="2"/>
          </w:tcPr>
          <w:p>
            <w:pPr>
              <w:ind w:left="20"/>
              <w:spacing w:after="0" w:line="169" w:lineRule="exact"/>
              <w:rPr>
                <w:sz w:val="20"/>
                <w:szCs w:val="20"/>
                <w:color w:val="auto"/>
              </w:rPr>
            </w:pPr>
            <w:r>
              <w:rPr>
                <w:rFonts w:ascii="Arial" w:cs="Arial" w:eastAsia="Arial" w:hAnsi="Arial"/>
                <w:sz w:val="18"/>
                <w:szCs w:val="18"/>
                <w:color w:val="0000EE"/>
                <w:w w:val="95"/>
              </w:rPr>
              <w:t>Quorum</w:t>
            </w:r>
          </w:p>
        </w:tc>
        <w:tc>
          <w:tcPr>
            <w:tcW w:w="920" w:type="dxa"/>
            <w:vAlign w:val="bottom"/>
            <w:gridSpan w:val="8"/>
          </w:tcPr>
          <w:p>
            <w:pPr>
              <w:spacing w:after="0"/>
              <w:rPr>
                <w:sz w:val="14"/>
                <w:szCs w:val="14"/>
                <w:color w:val="auto"/>
              </w:rPr>
            </w:pPr>
          </w:p>
        </w:tc>
        <w:tc>
          <w:tcPr>
            <w:tcW w:w="2120" w:type="dxa"/>
            <w:vAlign w:val="bottom"/>
            <w:gridSpan w:val="18"/>
          </w:tcPr>
          <w:p>
            <w:pPr>
              <w:spacing w:after="0"/>
              <w:rPr>
                <w:sz w:val="14"/>
                <w:szCs w:val="14"/>
                <w:color w:val="auto"/>
              </w:rPr>
            </w:pP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69" w:lineRule="exact"/>
              <w:rPr>
                <w:sz w:val="20"/>
                <w:szCs w:val="20"/>
                <w:color w:val="auto"/>
              </w:rPr>
            </w:pPr>
            <w:r>
              <w:rPr>
                <w:rFonts w:ascii="Arial" w:cs="Arial" w:eastAsia="Arial" w:hAnsi="Arial"/>
                <w:sz w:val="18"/>
                <w:szCs w:val="18"/>
                <w:color w:val="0000EE"/>
              </w:rPr>
              <w:t>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600" w:type="dxa"/>
            <w:vAlign w:val="bottom"/>
            <w:tcBorders>
              <w:right w:val="single" w:sz="8" w:color="CCEEFF"/>
            </w:tcBorders>
            <w:gridSpan w:val="27"/>
            <w:shd w:val="clear" w:color="auto" w:fill="CCEEFF"/>
          </w:tcPr>
          <w:p>
            <w:pPr>
              <w:ind w:left="20"/>
              <w:spacing w:after="0" w:line="169" w:lineRule="exact"/>
              <w:rPr>
                <w:sz w:val="20"/>
                <w:szCs w:val="20"/>
                <w:color w:val="auto"/>
              </w:rPr>
            </w:pPr>
            <w:r>
              <w:rPr>
                <w:rFonts w:ascii="Arial" w:cs="Arial" w:eastAsia="Arial" w:hAnsi="Arial"/>
                <w:sz w:val="18"/>
                <w:szCs w:val="18"/>
                <w:color w:val="0000EE"/>
                <w:w w:val="98"/>
              </w:rPr>
              <w:t>Required Vote and Board Recommendations</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rPr>
              <w:t>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500" w:type="dxa"/>
            <w:vAlign w:val="bottom"/>
            <w:tcBorders>
              <w:bottom w:val="single" w:sz="8" w:color="53C072"/>
            </w:tcBorders>
            <w:gridSpan w:val="26"/>
          </w:tcPr>
          <w:p>
            <w:pPr>
              <w:ind w:left="20"/>
              <w:spacing w:after="0"/>
              <w:rPr>
                <w:sz w:val="20"/>
                <w:szCs w:val="20"/>
                <w:color w:val="auto"/>
              </w:rPr>
            </w:pPr>
            <w:r>
              <w:rPr>
                <w:rFonts w:ascii="Arial" w:cs="Arial" w:eastAsia="Arial" w:hAnsi="Arial"/>
                <w:sz w:val="22"/>
                <w:szCs w:val="22"/>
                <w:b w:val="1"/>
                <w:bCs w:val="1"/>
                <w:color w:val="53C072"/>
                <w:w w:val="96"/>
              </w:rPr>
              <w:t>Proposal 1 — Election of Directors</w:t>
            </w:r>
          </w:p>
        </w:tc>
        <w:tc>
          <w:tcPr>
            <w:tcW w:w="380" w:type="dxa"/>
            <w:vAlign w:val="bottom"/>
            <w:gridSpan w:val="3"/>
          </w:tcPr>
          <w:p>
            <w:pPr>
              <w:spacing w:after="0"/>
              <w:rPr>
                <w:sz w:val="20"/>
                <w:szCs w:val="20"/>
                <w:color w:val="auto"/>
              </w:rPr>
            </w:pPr>
            <w:r>
              <w:rPr>
                <w:rFonts w:ascii="Arial" w:cs="Arial" w:eastAsia="Arial" w:hAnsi="Arial"/>
                <w:sz w:val="18"/>
                <w:szCs w:val="18"/>
                <w:color w:val="53C072"/>
              </w:rPr>
              <w:t>​</w:t>
            </w:r>
          </w:p>
        </w:tc>
        <w:tc>
          <w:tcPr>
            <w:tcW w:w="200" w:type="dxa"/>
            <w:vAlign w:val="bottom"/>
          </w:tcPr>
          <w:p>
            <w:pPr>
              <w:ind w:left="80"/>
              <w:spacing w:after="0"/>
              <w:rPr>
                <w:sz w:val="20"/>
                <w:szCs w:val="20"/>
                <w:color w:val="auto"/>
              </w:rPr>
            </w:pPr>
            <w:r>
              <w:rPr>
                <w:rFonts w:ascii="Arial" w:cs="Arial" w:eastAsia="Arial" w:hAnsi="Arial"/>
                <w:sz w:val="22"/>
                <w:szCs w:val="22"/>
                <w:b w:val="1"/>
                <w:bCs w:val="1"/>
                <w:color w:val="auto"/>
              </w:rPr>
              <w:t>​</w:t>
            </w:r>
          </w:p>
        </w:tc>
        <w:tc>
          <w:tcPr>
            <w:tcW w:w="10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80" w:type="dxa"/>
            <w:vAlign w:val="bottom"/>
            <w:tcBorders>
              <w:top w:val="single" w:sz="8" w:color="53C072"/>
            </w:tcBorders>
            <w:shd w:val="clear" w:color="auto" w:fill="CCEEFF"/>
          </w:tcPr>
          <w:p>
            <w:pPr>
              <w:spacing w:after="0"/>
              <w:rPr>
                <w:sz w:val="17"/>
                <w:szCs w:val="17"/>
                <w:color w:val="auto"/>
              </w:rPr>
            </w:pPr>
          </w:p>
        </w:tc>
        <w:tc>
          <w:tcPr>
            <w:tcW w:w="3700" w:type="dxa"/>
            <w:vAlign w:val="bottom"/>
            <w:tcBorders>
              <w:top w:val="single" w:sz="8" w:color="53C072"/>
            </w:tcBorders>
            <w:gridSpan w:val="28"/>
            <w:shd w:val="clear" w:color="auto" w:fill="CCEEFF"/>
          </w:tcPr>
          <w:p>
            <w:pPr>
              <w:ind w:left="20"/>
              <w:spacing w:after="0" w:line="203" w:lineRule="exact"/>
              <w:rPr>
                <w:sz w:val="20"/>
                <w:szCs w:val="20"/>
                <w:color w:val="auto"/>
              </w:rPr>
            </w:pPr>
            <w:r>
              <w:rPr>
                <w:rFonts w:ascii="Arial" w:cs="Arial" w:eastAsia="Arial" w:hAnsi="Arial"/>
                <w:sz w:val="18"/>
                <w:szCs w:val="18"/>
                <w:color w:val="0000EE"/>
              </w:rPr>
              <w:t>Nominees</w:t>
            </w:r>
          </w:p>
        </w:tc>
        <w:tc>
          <w:tcPr>
            <w:tcW w:w="200" w:type="dxa"/>
            <w:vAlign w:val="bottom"/>
            <w:tcBorders>
              <w:top w:val="single" w:sz="8" w:color="53C072"/>
            </w:tcBorders>
            <w:shd w:val="clear" w:color="auto" w:fill="CCEEFF"/>
          </w:tcPr>
          <w:p>
            <w:pPr>
              <w:ind w:left="8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53C072"/>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0000EE"/>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880" w:type="dxa"/>
            <w:vAlign w:val="bottom"/>
            <w:gridSpan w:val="29"/>
          </w:tcPr>
          <w:p>
            <w:pPr>
              <w:ind w:left="20"/>
              <w:spacing w:after="0"/>
              <w:rPr>
                <w:sz w:val="20"/>
                <w:szCs w:val="20"/>
                <w:color w:val="auto"/>
              </w:rPr>
            </w:pPr>
            <w:r>
              <w:rPr>
                <w:rFonts w:ascii="Arial" w:cs="Arial" w:eastAsia="Arial" w:hAnsi="Arial"/>
                <w:sz w:val="22"/>
                <w:szCs w:val="22"/>
                <w:b w:val="1"/>
                <w:bCs w:val="1"/>
                <w:color w:val="53C072"/>
              </w:rPr>
              <w:t>Corporate Governance</w:t>
            </w:r>
            <w:r>
              <w:rPr>
                <w:rFonts w:ascii="Arial" w:cs="Arial" w:eastAsia="Arial" w:hAnsi="Arial"/>
                <w:sz w:val="17"/>
                <w:szCs w:val="17"/>
                <w:color w:val="000000"/>
              </w:rPr>
              <w: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17</w:t>
            </w:r>
          </w:p>
        </w:tc>
        <w:tc>
          <w:tcPr>
            <w:tcW w:w="0" w:type="dxa"/>
            <w:vAlign w:val="bottom"/>
          </w:tcPr>
          <w:p>
            <w:pPr>
              <w:spacing w:after="0"/>
              <w:rPr>
                <w:sz w:val="1"/>
                <w:szCs w:val="1"/>
                <w:color w:val="auto"/>
              </w:rPr>
            </w:pPr>
          </w:p>
        </w:tc>
      </w:tr>
      <w:tr>
        <w:trPr>
          <w:trHeight w:val="34"/>
        </w:trPr>
        <w:tc>
          <w:tcPr>
            <w:tcW w:w="18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48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4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2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26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60" w:type="dxa"/>
            <w:vAlign w:val="bottom"/>
            <w:tcBorders>
              <w:top w:val="single" w:sz="8" w:color="53C072"/>
              <w:bottom w:val="single" w:sz="8" w:color="53C072"/>
            </w:tcBorders>
          </w:tcPr>
          <w:p>
            <w:pPr>
              <w:spacing w:after="0"/>
              <w:rPr>
                <w:sz w:val="2"/>
                <w:szCs w:val="2"/>
                <w:color w:val="auto"/>
              </w:rPr>
            </w:pPr>
          </w:p>
        </w:tc>
        <w:tc>
          <w:tcPr>
            <w:tcW w:w="320" w:type="dxa"/>
            <w:vAlign w:val="bottom"/>
            <w:tcBorders>
              <w:top w:val="single" w:sz="8" w:color="53C072"/>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4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22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100" w:type="dxa"/>
            <w:vAlign w:val="bottom"/>
            <w:tcBorders>
              <w:top w:val="single" w:sz="8" w:color="0000EE"/>
              <w:bottom w:val="single" w:sz="8" w:color="53C072"/>
            </w:tcBorders>
          </w:tcPr>
          <w:p>
            <w:pPr>
              <w:spacing w:after="0"/>
              <w:rPr>
                <w:sz w:val="2"/>
                <w:szCs w:val="2"/>
                <w:color w:val="auto"/>
              </w:rPr>
            </w:pPr>
          </w:p>
        </w:tc>
        <w:tc>
          <w:tcPr>
            <w:tcW w:w="1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0000EE"/>
            </w:tcBorders>
            <w:gridSpan w:val="18"/>
            <w:shd w:val="clear" w:color="auto" w:fill="CCEEFF"/>
          </w:tcPr>
          <w:p>
            <w:pPr>
              <w:ind w:left="20"/>
              <w:spacing w:after="0"/>
              <w:rPr>
                <w:sz w:val="20"/>
                <w:szCs w:val="20"/>
                <w:color w:val="auto"/>
              </w:rPr>
            </w:pPr>
            <w:r>
              <w:rPr>
                <w:rFonts w:ascii="Arial" w:cs="Arial" w:eastAsia="Arial" w:hAnsi="Arial"/>
                <w:sz w:val="18"/>
                <w:szCs w:val="18"/>
                <w:color w:val="0000EE"/>
                <w:w w:val="97"/>
              </w:rPr>
              <w:t>Corporate Governance Guidelines</w:t>
            </w:r>
          </w:p>
        </w:tc>
        <w:tc>
          <w:tcPr>
            <w:tcW w:w="1000" w:type="dxa"/>
            <w:vAlign w:val="bottom"/>
            <w:tcBorders>
              <w:bottom w:val="single" w:sz="8" w:color="CCEEFF"/>
            </w:tcBorders>
            <w:gridSpan w:val="10"/>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3700" w:type="dxa"/>
            <w:vAlign w:val="bottom"/>
            <w:gridSpan w:val="28"/>
          </w:tcPr>
          <w:p>
            <w:pPr>
              <w:ind w:left="20"/>
              <w:spacing w:after="0" w:line="169" w:lineRule="exact"/>
              <w:rPr>
                <w:sz w:val="20"/>
                <w:szCs w:val="20"/>
                <w:color w:val="auto"/>
              </w:rPr>
            </w:pPr>
            <w:r>
              <w:rPr>
                <w:rFonts w:ascii="Arial" w:cs="Arial" w:eastAsia="Arial" w:hAnsi="Arial"/>
                <w:sz w:val="18"/>
                <w:szCs w:val="18"/>
                <w:color w:val="0000EE"/>
              </w:rPr>
              <w:t>Director Independence</w:t>
            </w: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69" w:lineRule="exact"/>
              <w:rPr>
                <w:sz w:val="20"/>
                <w:szCs w:val="20"/>
                <w:color w:val="auto"/>
              </w:rPr>
            </w:pPr>
            <w:r>
              <w:rPr>
                <w:rFonts w:ascii="Arial" w:cs="Arial" w:eastAsia="Arial" w:hAnsi="Arial"/>
                <w:sz w:val="18"/>
                <w:szCs w:val="18"/>
                <w:color w:val="0000EE"/>
                <w:w w:val="89"/>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1800" w:type="dxa"/>
            <w:vAlign w:val="bottom"/>
            <w:tcBorders>
              <w:top w:val="single" w:sz="8" w:color="0000EE"/>
              <w:right w:val="single" w:sz="8" w:color="CCEEFF"/>
            </w:tcBorders>
            <w:gridSpan w:val="12"/>
            <w:shd w:val="clear" w:color="auto" w:fill="CCEEFF"/>
          </w:tcPr>
          <w:p>
            <w:pPr>
              <w:ind w:left="20"/>
              <w:spacing w:after="0" w:line="169" w:lineRule="exact"/>
              <w:rPr>
                <w:sz w:val="20"/>
                <w:szCs w:val="20"/>
                <w:color w:val="auto"/>
              </w:rPr>
            </w:pPr>
            <w:r>
              <w:rPr>
                <w:rFonts w:ascii="Arial" w:cs="Arial" w:eastAsia="Arial" w:hAnsi="Arial"/>
                <w:sz w:val="18"/>
                <w:szCs w:val="18"/>
                <w:color w:val="0000EE"/>
                <w:w w:val="98"/>
              </w:rPr>
              <w:t>Board Diversity Matrix</w:t>
            </w:r>
          </w:p>
        </w:tc>
        <w:tc>
          <w:tcPr>
            <w:tcW w:w="1900" w:type="dxa"/>
            <w:vAlign w:val="bottom"/>
            <w:gridSpan w:val="16"/>
            <w:shd w:val="clear" w:color="auto" w:fill="CCEEFF"/>
          </w:tcPr>
          <w:p>
            <w:pPr>
              <w:spacing w:after="0"/>
              <w:rPr>
                <w:sz w:val="14"/>
                <w:szCs w:val="14"/>
                <w:color w:val="auto"/>
              </w:rPr>
            </w:pPr>
          </w:p>
        </w:tc>
        <w:tc>
          <w:tcPr>
            <w:tcW w:w="20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0000EE"/>
            </w:tcBorders>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w w:val="89"/>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2320" w:type="dxa"/>
            <w:vAlign w:val="bottom"/>
            <w:tcBorders>
              <w:bottom w:val="single" w:sz="8" w:color="0000EE"/>
            </w:tcBorders>
            <w:gridSpan w:val="15"/>
          </w:tcPr>
          <w:p>
            <w:pPr>
              <w:ind w:left="20"/>
              <w:spacing w:after="0" w:line="169" w:lineRule="exact"/>
              <w:rPr>
                <w:sz w:val="20"/>
                <w:szCs w:val="20"/>
                <w:color w:val="auto"/>
              </w:rPr>
            </w:pPr>
            <w:r>
              <w:rPr>
                <w:rFonts w:ascii="Arial" w:cs="Arial" w:eastAsia="Arial" w:hAnsi="Arial"/>
                <w:sz w:val="18"/>
                <w:szCs w:val="18"/>
                <w:color w:val="0000EE"/>
              </w:rPr>
              <w:t>Board Leadership Structure</w:t>
            </w:r>
          </w:p>
        </w:tc>
        <w:tc>
          <w:tcPr>
            <w:tcW w:w="1380" w:type="dxa"/>
            <w:vAlign w:val="bottom"/>
            <w:gridSpan w:val="13"/>
          </w:tcPr>
          <w:p>
            <w:pPr>
              <w:spacing w:after="0"/>
              <w:rPr>
                <w:sz w:val="14"/>
                <w:szCs w:val="14"/>
                <w:color w:val="auto"/>
              </w:rPr>
            </w:pP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tcPr>
          <w:p>
            <w:pPr>
              <w:jc w:val="right"/>
              <w:spacing w:after="0" w:line="169" w:lineRule="exact"/>
              <w:rPr>
                <w:sz w:val="20"/>
                <w:szCs w:val="20"/>
                <w:color w:val="auto"/>
              </w:rPr>
            </w:pPr>
            <w:r>
              <w:rPr>
                <w:rFonts w:ascii="Arial" w:cs="Arial" w:eastAsia="Arial" w:hAnsi="Arial"/>
                <w:sz w:val="18"/>
                <w:szCs w:val="18"/>
                <w:color w:val="0000EE"/>
                <w:w w:val="89"/>
              </w:rPr>
              <w:t>18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700" w:type="dxa"/>
            <w:vAlign w:val="bottom"/>
            <w:gridSpan w:val="28"/>
            <w:shd w:val="clear" w:color="auto" w:fill="CCEEFF"/>
          </w:tcPr>
          <w:p>
            <w:pPr>
              <w:ind w:left="20"/>
              <w:spacing w:after="0" w:line="169" w:lineRule="exact"/>
              <w:rPr>
                <w:sz w:val="20"/>
                <w:szCs w:val="20"/>
                <w:color w:val="auto"/>
              </w:rPr>
            </w:pPr>
            <w:r>
              <w:rPr>
                <w:rFonts w:ascii="Arial" w:cs="Arial" w:eastAsia="Arial" w:hAnsi="Arial"/>
                <w:sz w:val="18"/>
                <w:szCs w:val="18"/>
                <w:color w:val="0000EE"/>
              </w:rPr>
              <w:t>Executive Sessions</w:t>
            </w:r>
          </w:p>
        </w:tc>
        <w:tc>
          <w:tcPr>
            <w:tcW w:w="20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w w:val="89"/>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700" w:type="dxa"/>
            <w:vAlign w:val="bottom"/>
            <w:gridSpan w:val="28"/>
          </w:tcPr>
          <w:p>
            <w:pPr>
              <w:ind w:left="20"/>
              <w:spacing w:after="0" w:line="169" w:lineRule="exact"/>
              <w:rPr>
                <w:sz w:val="20"/>
                <w:szCs w:val="20"/>
                <w:color w:val="auto"/>
              </w:rPr>
            </w:pPr>
            <w:r>
              <w:rPr>
                <w:rFonts w:ascii="Arial" w:cs="Arial" w:eastAsia="Arial" w:hAnsi="Arial"/>
                <w:sz w:val="18"/>
                <w:szCs w:val="18"/>
                <w:color w:val="0000EE"/>
              </w:rPr>
              <w:t>Director Nominations</w:t>
            </w: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69" w:lineRule="exact"/>
              <w:rPr>
                <w:sz w:val="20"/>
                <w:szCs w:val="20"/>
                <w:color w:val="auto"/>
              </w:rPr>
            </w:pPr>
            <w:r>
              <w:rPr>
                <w:rFonts w:ascii="Arial" w:cs="Arial" w:eastAsia="Arial" w:hAnsi="Arial"/>
                <w:sz w:val="18"/>
                <w:szCs w:val="18"/>
                <w:color w:val="0000EE"/>
                <w:w w:val="89"/>
              </w:rPr>
              <w:t>19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700" w:type="dxa"/>
            <w:vAlign w:val="bottom"/>
            <w:gridSpan w:val="28"/>
            <w:shd w:val="clear" w:color="auto" w:fill="CCEEFF"/>
          </w:tcPr>
          <w:p>
            <w:pPr>
              <w:ind w:left="20"/>
              <w:spacing w:after="0" w:line="169" w:lineRule="exact"/>
              <w:rPr>
                <w:sz w:val="20"/>
                <w:szCs w:val="20"/>
                <w:color w:val="auto"/>
              </w:rPr>
            </w:pPr>
            <w:r>
              <w:rPr>
                <w:rFonts w:ascii="Arial" w:cs="Arial" w:eastAsia="Arial" w:hAnsi="Arial"/>
                <w:sz w:val="18"/>
                <w:szCs w:val="18"/>
                <w:color w:val="0000EE"/>
              </w:rPr>
              <w:t>Board and Committee Evaluation</w:t>
            </w:r>
          </w:p>
        </w:tc>
        <w:tc>
          <w:tcPr>
            <w:tcW w:w="20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w w:val="89"/>
              </w:rPr>
              <w:t>20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700" w:type="dxa"/>
            <w:vAlign w:val="bottom"/>
            <w:gridSpan w:val="28"/>
          </w:tcPr>
          <w:p>
            <w:pPr>
              <w:ind w:left="20"/>
              <w:spacing w:after="0" w:line="169" w:lineRule="exact"/>
              <w:rPr>
                <w:sz w:val="20"/>
                <w:szCs w:val="20"/>
                <w:color w:val="auto"/>
              </w:rPr>
            </w:pPr>
            <w:r>
              <w:rPr>
                <w:rFonts w:ascii="Arial" w:cs="Arial" w:eastAsia="Arial" w:hAnsi="Arial"/>
                <w:sz w:val="18"/>
                <w:szCs w:val="18"/>
                <w:color w:val="0000EE"/>
              </w:rPr>
              <w:t>The Board’s Role in Management Succession</w:t>
            </w: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69" w:lineRule="exact"/>
              <w:rPr>
                <w:sz w:val="20"/>
                <w:szCs w:val="20"/>
                <w:color w:val="auto"/>
              </w:rPr>
            </w:pPr>
            <w:r>
              <w:rPr>
                <w:rFonts w:ascii="Arial" w:cs="Arial" w:eastAsia="Arial" w:hAnsi="Arial"/>
                <w:sz w:val="18"/>
                <w:szCs w:val="18"/>
                <w:color w:val="0000EE"/>
                <w:w w:val="89"/>
              </w:rPr>
              <w:t>21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600" w:type="dxa"/>
            <w:vAlign w:val="bottom"/>
            <w:tcBorders>
              <w:top w:val="single" w:sz="8" w:color="0000EE"/>
              <w:right w:val="single" w:sz="8" w:color="CCEEFF"/>
            </w:tcBorders>
            <w:gridSpan w:val="27"/>
            <w:shd w:val="clear" w:color="auto" w:fill="CCEEFF"/>
          </w:tcPr>
          <w:p>
            <w:pPr>
              <w:ind w:left="20"/>
              <w:spacing w:after="0" w:line="169" w:lineRule="exact"/>
              <w:rPr>
                <w:sz w:val="20"/>
                <w:szCs w:val="20"/>
                <w:color w:val="auto"/>
              </w:rPr>
            </w:pPr>
            <w:r>
              <w:rPr>
                <w:rFonts w:ascii="Arial" w:cs="Arial" w:eastAsia="Arial" w:hAnsi="Arial"/>
                <w:sz w:val="18"/>
                <w:szCs w:val="18"/>
                <w:color w:val="0000EE"/>
              </w:rPr>
              <w:t>The Board’s Role in Risk Oversight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0000EE"/>
            </w:tcBorders>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w w:val="89"/>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tcBorders>
              <w:top w:val="single" w:sz="8" w:color="CCEEFF"/>
            </w:tcBorders>
          </w:tcPr>
          <w:p>
            <w:pPr>
              <w:spacing w:after="0"/>
              <w:rPr>
                <w:sz w:val="14"/>
                <w:szCs w:val="14"/>
                <w:color w:val="auto"/>
              </w:rPr>
            </w:pPr>
          </w:p>
        </w:tc>
        <w:tc>
          <w:tcPr>
            <w:tcW w:w="1080" w:type="dxa"/>
            <w:vAlign w:val="bottom"/>
            <w:tcBorders>
              <w:top w:val="single" w:sz="8" w:color="0000EE"/>
              <w:bottom w:val="single" w:sz="8" w:color="0000EE"/>
            </w:tcBorders>
            <w:gridSpan w:val="6"/>
          </w:tcPr>
          <w:p>
            <w:pPr>
              <w:ind w:left="20"/>
              <w:spacing w:after="0" w:line="169" w:lineRule="exact"/>
              <w:rPr>
                <w:sz w:val="20"/>
                <w:szCs w:val="20"/>
                <w:color w:val="auto"/>
              </w:rPr>
            </w:pPr>
            <w:r>
              <w:rPr>
                <w:rFonts w:ascii="Arial" w:cs="Arial" w:eastAsia="Arial" w:hAnsi="Arial"/>
                <w:sz w:val="18"/>
                <w:szCs w:val="18"/>
                <w:color w:val="0000EE"/>
                <w:w w:val="96"/>
              </w:rPr>
              <w:t>Sustainability</w:t>
            </w:r>
          </w:p>
        </w:tc>
        <w:tc>
          <w:tcPr>
            <w:tcW w:w="1680" w:type="dxa"/>
            <w:vAlign w:val="bottom"/>
            <w:tcBorders>
              <w:top w:val="single" w:sz="8" w:color="0000EE"/>
            </w:tcBorders>
            <w:gridSpan w:val="14"/>
          </w:tcPr>
          <w:p>
            <w:pPr>
              <w:spacing w:after="0"/>
              <w:rPr>
                <w:sz w:val="14"/>
                <w:szCs w:val="14"/>
                <w:color w:val="auto"/>
              </w:rPr>
            </w:pPr>
          </w:p>
        </w:tc>
        <w:tc>
          <w:tcPr>
            <w:tcW w:w="940" w:type="dxa"/>
            <w:vAlign w:val="bottom"/>
            <w:tcBorders>
              <w:top w:val="single" w:sz="8" w:color="CCEEFF"/>
            </w:tcBorders>
            <w:gridSpan w:val="8"/>
          </w:tcPr>
          <w:p>
            <w:pPr>
              <w:spacing w:after="0"/>
              <w:rPr>
                <w:sz w:val="14"/>
                <w:szCs w:val="14"/>
                <w:color w:val="auto"/>
              </w:rPr>
            </w:pPr>
          </w:p>
        </w:tc>
        <w:tc>
          <w:tcPr>
            <w:tcW w:w="200" w:type="dxa"/>
            <w:vAlign w:val="bottom"/>
            <w:tcBorders>
              <w:top w:val="single" w:sz="8" w:color="CCEEFF"/>
            </w:tcBorders>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0000EE"/>
              <w:bottom w:val="single" w:sz="8" w:color="0000EE"/>
            </w:tcBorders>
            <w:gridSpan w:val="2"/>
          </w:tcPr>
          <w:p>
            <w:pPr>
              <w:jc w:val="right"/>
              <w:spacing w:after="0" w:line="169" w:lineRule="exact"/>
              <w:rPr>
                <w:sz w:val="20"/>
                <w:szCs w:val="20"/>
                <w:color w:val="auto"/>
              </w:rPr>
            </w:pPr>
            <w:r>
              <w:rPr>
                <w:rFonts w:ascii="Arial" w:cs="Arial" w:eastAsia="Arial" w:hAnsi="Arial"/>
                <w:sz w:val="18"/>
                <w:szCs w:val="18"/>
                <w:color w:val="0000EE"/>
                <w:w w:val="89"/>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tcBorders>
              <w:bottom w:val="single" w:sz="8" w:color="CCEEFF"/>
            </w:tcBorders>
            <w:shd w:val="clear" w:color="auto" w:fill="CCEEFF"/>
          </w:tcPr>
          <w:p>
            <w:pPr>
              <w:spacing w:after="0"/>
              <w:rPr>
                <w:sz w:val="14"/>
                <w:szCs w:val="14"/>
                <w:color w:val="auto"/>
              </w:rPr>
            </w:pPr>
          </w:p>
        </w:tc>
        <w:tc>
          <w:tcPr>
            <w:tcW w:w="2940" w:type="dxa"/>
            <w:vAlign w:val="bottom"/>
            <w:tcBorders>
              <w:bottom w:val="single" w:sz="8" w:color="0000EE"/>
            </w:tcBorders>
            <w:gridSpan w:val="22"/>
            <w:shd w:val="clear" w:color="auto" w:fill="CCEEFF"/>
          </w:tcPr>
          <w:p>
            <w:pPr>
              <w:ind w:left="20"/>
              <w:spacing w:after="0" w:line="169" w:lineRule="exact"/>
              <w:rPr>
                <w:sz w:val="20"/>
                <w:szCs w:val="20"/>
                <w:color w:val="auto"/>
              </w:rPr>
            </w:pPr>
            <w:r>
              <w:rPr>
                <w:rFonts w:ascii="Arial" w:cs="Arial" w:eastAsia="Arial" w:hAnsi="Arial"/>
                <w:sz w:val="18"/>
                <w:szCs w:val="18"/>
                <w:color w:val="0000EE"/>
                <w:w w:val="97"/>
              </w:rPr>
              <w:t>Sustainability Governance and Board</w:t>
            </w:r>
          </w:p>
        </w:tc>
        <w:tc>
          <w:tcPr>
            <w:tcW w:w="760" w:type="dxa"/>
            <w:vAlign w:val="bottom"/>
            <w:tcBorders>
              <w:bottom w:val="single" w:sz="8" w:color="CCEEFF"/>
            </w:tcBorders>
            <w:gridSpan w:val="6"/>
            <w:shd w:val="clear" w:color="auto" w:fill="CCEEFF"/>
          </w:tcPr>
          <w:p>
            <w:pPr>
              <w:spacing w:after="0"/>
              <w:rPr>
                <w:sz w:val="14"/>
                <w:szCs w:val="14"/>
                <w:color w:val="auto"/>
              </w:rPr>
            </w:pPr>
          </w:p>
        </w:tc>
        <w:tc>
          <w:tcPr>
            <w:tcW w:w="200" w:type="dxa"/>
            <w:vAlign w:val="bottom"/>
            <w:tcBorders>
              <w:bottom w:val="single" w:sz="8" w:color="CCEEFF"/>
            </w:tcBorders>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0000EE"/>
                <w:w w:val="89"/>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520" w:type="dxa"/>
            <w:vAlign w:val="bottom"/>
            <w:gridSpan w:val="27"/>
            <w:shd w:val="clear" w:color="auto" w:fill="CCEEFF"/>
          </w:tcPr>
          <w:p>
            <w:pPr>
              <w:spacing w:after="0" w:line="196" w:lineRule="exact"/>
              <w:rPr>
                <w:sz w:val="20"/>
                <w:szCs w:val="20"/>
                <w:color w:val="auto"/>
              </w:rPr>
            </w:pPr>
            <w:r>
              <w:rPr>
                <w:rFonts w:ascii="Arial" w:cs="Arial" w:eastAsia="Arial" w:hAnsi="Arial"/>
                <w:sz w:val="18"/>
                <w:szCs w:val="18"/>
                <w:color w:val="0000EE"/>
              </w:rPr>
              <w:t>Oversight</w:t>
            </w:r>
          </w:p>
        </w:tc>
        <w:tc>
          <w:tcPr>
            <w:tcW w:w="20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3220" w:type="dxa"/>
            <w:vAlign w:val="bottom"/>
            <w:tcBorders>
              <w:bottom w:val="single" w:sz="8" w:color="0000EE"/>
            </w:tcBorders>
            <w:gridSpan w:val="24"/>
          </w:tcPr>
          <w:p>
            <w:pPr>
              <w:ind w:left="20"/>
              <w:spacing w:after="0" w:line="176" w:lineRule="exact"/>
              <w:rPr>
                <w:sz w:val="20"/>
                <w:szCs w:val="20"/>
                <w:color w:val="auto"/>
              </w:rPr>
            </w:pPr>
            <w:r>
              <w:rPr>
                <w:rFonts w:ascii="Arial" w:cs="Arial" w:eastAsia="Arial" w:hAnsi="Arial"/>
                <w:sz w:val="18"/>
                <w:szCs w:val="18"/>
                <w:color w:val="0000EE"/>
                <w:w w:val="97"/>
              </w:rPr>
              <w:t>Compensation Committee Interlocks and</w:t>
            </w:r>
          </w:p>
        </w:tc>
        <w:tc>
          <w:tcPr>
            <w:tcW w:w="480" w:type="dxa"/>
            <w:vAlign w:val="bottom"/>
            <w:gridSpan w:val="4"/>
          </w:tcPr>
          <w:p>
            <w:pPr>
              <w:spacing w:after="0"/>
              <w:rPr>
                <w:sz w:val="15"/>
                <w:szCs w:val="15"/>
                <w:color w:val="auto"/>
              </w:rPr>
            </w:pPr>
          </w:p>
        </w:tc>
        <w:tc>
          <w:tcPr>
            <w:tcW w:w="20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EE"/>
                <w:w w:val="89"/>
              </w:rPr>
              <w:t>22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700" w:type="dxa"/>
            <w:vAlign w:val="bottom"/>
            <w:gridSpan w:val="28"/>
          </w:tcPr>
          <w:p>
            <w:pPr>
              <w:ind w:left="180"/>
              <w:spacing w:after="0" w:line="196" w:lineRule="exact"/>
              <w:rPr>
                <w:sz w:val="20"/>
                <w:szCs w:val="20"/>
                <w:color w:val="auto"/>
              </w:rPr>
            </w:pPr>
            <w:r>
              <w:rPr>
                <w:rFonts w:ascii="Arial" w:cs="Arial" w:eastAsia="Arial" w:hAnsi="Arial"/>
                <w:sz w:val="18"/>
                <w:szCs w:val="18"/>
                <w:color w:val="0000EE"/>
              </w:rPr>
              <w:t>Insider Participation</w:t>
            </w:r>
          </w:p>
        </w:tc>
        <w:tc>
          <w:tcPr>
            <w:tcW w:w="200" w:type="dxa"/>
            <w:vAlign w:val="bottom"/>
            <w:vMerge w:val="continue"/>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3700" w:type="dxa"/>
            <w:vAlign w:val="bottom"/>
            <w:gridSpan w:val="28"/>
            <w:shd w:val="clear" w:color="auto" w:fill="CCEEFF"/>
          </w:tcPr>
          <w:p>
            <w:pPr>
              <w:ind w:left="20"/>
              <w:spacing w:after="0" w:line="176" w:lineRule="exact"/>
              <w:rPr>
                <w:sz w:val="20"/>
                <w:szCs w:val="20"/>
                <w:color w:val="auto"/>
              </w:rPr>
            </w:pPr>
            <w:r>
              <w:rPr>
                <w:rFonts w:ascii="Arial" w:cs="Arial" w:eastAsia="Arial" w:hAnsi="Arial"/>
                <w:sz w:val="18"/>
                <w:szCs w:val="18"/>
                <w:color w:val="0000EE"/>
              </w:rPr>
              <w:t>Code of Conduct</w:t>
            </w:r>
          </w:p>
        </w:tc>
        <w:tc>
          <w:tcPr>
            <w:tcW w:w="2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EE"/>
                <w:w w:val="89"/>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2940" w:type="dxa"/>
            <w:vAlign w:val="bottom"/>
            <w:tcBorders>
              <w:bottom w:val="single" w:sz="8" w:color="0000EE"/>
            </w:tcBorders>
            <w:gridSpan w:val="22"/>
          </w:tcPr>
          <w:p>
            <w:pPr>
              <w:ind w:left="20"/>
              <w:spacing w:after="0" w:line="169" w:lineRule="exact"/>
              <w:rPr>
                <w:sz w:val="20"/>
                <w:szCs w:val="20"/>
                <w:color w:val="auto"/>
              </w:rPr>
            </w:pPr>
            <w:r>
              <w:rPr>
                <w:rFonts w:ascii="Arial" w:cs="Arial" w:eastAsia="Arial" w:hAnsi="Arial"/>
                <w:sz w:val="18"/>
                <w:szCs w:val="18"/>
                <w:color w:val="0000EE"/>
                <w:w w:val="98"/>
              </w:rPr>
              <w:t>Policy Against Pledging and Hedging</w:t>
            </w:r>
          </w:p>
        </w:tc>
        <w:tc>
          <w:tcPr>
            <w:tcW w:w="760" w:type="dxa"/>
            <w:vAlign w:val="bottom"/>
            <w:gridSpan w:val="6"/>
          </w:tcPr>
          <w:p>
            <w:pPr>
              <w:spacing w:after="0"/>
              <w:rPr>
                <w:sz w:val="14"/>
                <w:szCs w:val="14"/>
                <w:color w:val="auto"/>
              </w:rPr>
            </w:pP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tcPr>
          <w:p>
            <w:pPr>
              <w:jc w:val="right"/>
              <w:spacing w:after="0" w:line="169" w:lineRule="exact"/>
              <w:rPr>
                <w:sz w:val="20"/>
                <w:szCs w:val="20"/>
                <w:color w:val="auto"/>
              </w:rPr>
            </w:pPr>
            <w:r>
              <w:rPr>
                <w:rFonts w:ascii="Arial" w:cs="Arial" w:eastAsia="Arial" w:hAnsi="Arial"/>
                <w:sz w:val="18"/>
                <w:szCs w:val="18"/>
                <w:color w:val="0000EE"/>
                <w:w w:val="89"/>
              </w:rPr>
              <w:t>22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700" w:type="dxa"/>
            <w:vAlign w:val="bottom"/>
            <w:gridSpan w:val="28"/>
            <w:shd w:val="clear" w:color="auto" w:fill="CCEEFF"/>
          </w:tcPr>
          <w:p>
            <w:pPr>
              <w:ind w:left="20"/>
              <w:spacing w:after="0" w:line="169" w:lineRule="exact"/>
              <w:rPr>
                <w:sz w:val="20"/>
                <w:szCs w:val="20"/>
                <w:color w:val="auto"/>
              </w:rPr>
            </w:pPr>
            <w:r>
              <w:rPr>
                <w:rFonts w:ascii="Arial" w:cs="Arial" w:eastAsia="Arial" w:hAnsi="Arial"/>
                <w:sz w:val="18"/>
                <w:szCs w:val="18"/>
                <w:color w:val="0000EE"/>
              </w:rPr>
              <w:t>Reporting Ethical Concerns</w:t>
            </w:r>
          </w:p>
        </w:tc>
        <w:tc>
          <w:tcPr>
            <w:tcW w:w="20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w w:val="89"/>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2320" w:type="dxa"/>
            <w:vAlign w:val="bottom"/>
            <w:tcBorders>
              <w:bottom w:val="single" w:sz="8" w:color="0000EE"/>
            </w:tcBorders>
            <w:gridSpan w:val="15"/>
          </w:tcPr>
          <w:p>
            <w:pPr>
              <w:ind w:left="20"/>
              <w:spacing w:after="0" w:line="169" w:lineRule="exact"/>
              <w:rPr>
                <w:sz w:val="20"/>
                <w:szCs w:val="20"/>
                <w:color w:val="auto"/>
              </w:rPr>
            </w:pPr>
            <w:r>
              <w:rPr>
                <w:rFonts w:ascii="Arial" w:cs="Arial" w:eastAsia="Arial" w:hAnsi="Arial"/>
                <w:sz w:val="18"/>
                <w:szCs w:val="18"/>
                <w:color w:val="0000EE"/>
                <w:w w:val="99"/>
              </w:rPr>
              <w:t>Stock Ownership Guidelines</w:t>
            </w:r>
          </w:p>
        </w:tc>
        <w:tc>
          <w:tcPr>
            <w:tcW w:w="1380" w:type="dxa"/>
            <w:vAlign w:val="bottom"/>
            <w:gridSpan w:val="13"/>
          </w:tcPr>
          <w:p>
            <w:pPr>
              <w:spacing w:after="0"/>
              <w:rPr>
                <w:sz w:val="14"/>
                <w:szCs w:val="14"/>
                <w:color w:val="auto"/>
              </w:rPr>
            </w:pP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tcPr>
          <w:p>
            <w:pPr>
              <w:jc w:val="right"/>
              <w:spacing w:after="0" w:line="169" w:lineRule="exact"/>
              <w:rPr>
                <w:sz w:val="20"/>
                <w:szCs w:val="20"/>
                <w:color w:val="auto"/>
              </w:rPr>
            </w:pPr>
            <w:r>
              <w:rPr>
                <w:rFonts w:ascii="Arial" w:cs="Arial" w:eastAsia="Arial" w:hAnsi="Arial"/>
                <w:sz w:val="18"/>
                <w:szCs w:val="18"/>
                <w:color w:val="0000EE"/>
                <w:w w:val="89"/>
              </w:rPr>
              <w:t>23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0000EE"/>
            </w:tcBorders>
            <w:gridSpan w:val="13"/>
            <w:shd w:val="clear" w:color="auto" w:fill="CCEEFF"/>
          </w:tcPr>
          <w:p>
            <w:pPr>
              <w:ind w:left="20"/>
              <w:spacing w:after="0" w:line="169" w:lineRule="exact"/>
              <w:rPr>
                <w:sz w:val="20"/>
                <w:szCs w:val="20"/>
                <w:color w:val="auto"/>
              </w:rPr>
            </w:pPr>
            <w:r>
              <w:rPr>
                <w:rFonts w:ascii="Arial" w:cs="Arial" w:eastAsia="Arial" w:hAnsi="Arial"/>
                <w:sz w:val="18"/>
                <w:szCs w:val="18"/>
                <w:color w:val="0000EE"/>
                <w:w w:val="96"/>
              </w:rPr>
              <w:t>The Company’s Website</w:t>
            </w:r>
          </w:p>
        </w:tc>
        <w:tc>
          <w:tcPr>
            <w:tcW w:w="1760" w:type="dxa"/>
            <w:vAlign w:val="bottom"/>
            <w:tcBorders>
              <w:bottom w:val="single" w:sz="8" w:color="CCEEFF"/>
            </w:tcBorders>
            <w:gridSpan w:val="15"/>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w w:val="89"/>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00" w:type="dxa"/>
            <w:vAlign w:val="bottom"/>
            <w:tcBorders>
              <w:bottom w:val="single" w:sz="8" w:color="0000EE"/>
            </w:tcBorders>
            <w:gridSpan w:val="14"/>
          </w:tcPr>
          <w:p>
            <w:pPr>
              <w:ind w:left="20"/>
              <w:spacing w:after="0" w:line="169" w:lineRule="exact"/>
              <w:rPr>
                <w:sz w:val="20"/>
                <w:szCs w:val="20"/>
                <w:color w:val="auto"/>
              </w:rPr>
            </w:pPr>
            <w:r>
              <w:rPr>
                <w:rFonts w:ascii="Arial" w:cs="Arial" w:eastAsia="Arial" w:hAnsi="Arial"/>
                <w:sz w:val="18"/>
                <w:szCs w:val="18"/>
                <w:color w:val="0000EE"/>
                <w:w w:val="96"/>
              </w:rPr>
              <w:t>Director Communications</w:t>
            </w:r>
          </w:p>
        </w:tc>
        <w:tc>
          <w:tcPr>
            <w:tcW w:w="1700" w:type="dxa"/>
            <w:vAlign w:val="bottom"/>
            <w:gridSpan w:val="14"/>
          </w:tcPr>
          <w:p>
            <w:pPr>
              <w:spacing w:after="0"/>
              <w:rPr>
                <w:sz w:val="14"/>
                <w:szCs w:val="14"/>
                <w:color w:val="auto"/>
              </w:rPr>
            </w:pP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tcPr>
          <w:p>
            <w:pPr>
              <w:jc w:val="right"/>
              <w:spacing w:after="0" w:line="169" w:lineRule="exact"/>
              <w:rPr>
                <w:sz w:val="20"/>
                <w:szCs w:val="20"/>
                <w:color w:val="auto"/>
              </w:rPr>
            </w:pPr>
            <w:r>
              <w:rPr>
                <w:rFonts w:ascii="Arial" w:cs="Arial" w:eastAsia="Arial" w:hAnsi="Arial"/>
                <w:sz w:val="18"/>
                <w:szCs w:val="18"/>
                <w:color w:val="0000EE"/>
                <w:w w:val="89"/>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3100" w:type="dxa"/>
            <w:vAlign w:val="bottom"/>
            <w:tcBorders>
              <w:bottom w:val="single" w:sz="8" w:color="53C072"/>
            </w:tcBorders>
            <w:gridSpan w:val="22"/>
            <w:shd w:val="clear" w:color="auto" w:fill="CCEEFF"/>
          </w:tcPr>
          <w:p>
            <w:pPr>
              <w:ind w:left="20"/>
              <w:spacing w:after="0"/>
              <w:rPr>
                <w:sz w:val="20"/>
                <w:szCs w:val="20"/>
                <w:color w:val="auto"/>
              </w:rPr>
            </w:pPr>
            <w:r>
              <w:rPr>
                <w:rFonts w:ascii="Arial" w:cs="Arial" w:eastAsia="Arial" w:hAnsi="Arial"/>
                <w:sz w:val="22"/>
                <w:szCs w:val="22"/>
                <w:b w:val="1"/>
                <w:bCs w:val="1"/>
                <w:color w:val="53C072"/>
                <w:w w:val="97"/>
              </w:rPr>
              <w:t>The Board of Directors and its</w:t>
            </w:r>
          </w:p>
        </w:tc>
        <w:tc>
          <w:tcPr>
            <w:tcW w:w="780" w:type="dxa"/>
            <w:vAlign w:val="bottom"/>
            <w:tcBorders>
              <w:bottom w:val="single" w:sz="8" w:color="CCEEFF"/>
            </w:tcBorders>
            <w:gridSpan w:val="7"/>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80" w:type="dxa"/>
            <w:vAlign w:val="bottom"/>
            <w:tcBorders>
              <w:bottom w:val="single" w:sz="8" w:color="CCEEFF"/>
            </w:tcBorders>
            <w:shd w:val="clear" w:color="auto" w:fill="CCEEFF"/>
          </w:tcPr>
          <w:p>
            <w:pPr>
              <w:spacing w:after="0"/>
              <w:rPr>
                <w:sz w:val="24"/>
                <w:szCs w:val="24"/>
                <w:color w:val="auto"/>
              </w:rPr>
            </w:pPr>
          </w:p>
        </w:tc>
        <w:tc>
          <w:tcPr>
            <w:tcW w:w="3700" w:type="dxa"/>
            <w:vAlign w:val="bottom"/>
            <w:tcBorders>
              <w:bottom w:val="single" w:sz="8" w:color="CCEEFF"/>
            </w:tcBorders>
            <w:gridSpan w:val="28"/>
            <w:shd w:val="clear" w:color="auto" w:fill="CCEEFF"/>
          </w:tcPr>
          <w:p>
            <w:pPr>
              <w:ind w:left="20"/>
              <w:spacing w:after="0" w:line="209" w:lineRule="exact"/>
              <w:rPr>
                <w:sz w:val="20"/>
                <w:szCs w:val="20"/>
                <w:color w:val="auto"/>
              </w:rPr>
            </w:pPr>
            <w:r>
              <w:rPr>
                <w:rFonts w:ascii="Arial" w:cs="Arial" w:eastAsia="Arial" w:hAnsi="Arial"/>
                <w:sz w:val="22"/>
                <w:szCs w:val="22"/>
                <w:b w:val="1"/>
                <w:bCs w:val="1"/>
                <w:color w:val="53C072"/>
              </w:rPr>
              <w:t>Committees</w:t>
            </w:r>
          </w:p>
        </w:tc>
        <w:tc>
          <w:tcPr>
            <w:tcW w:w="200" w:type="dxa"/>
            <w:vAlign w:val="bottom"/>
            <w:tcBorders>
              <w:bottom w:val="single" w:sz="8" w:color="CCEEFF"/>
            </w:tcBorders>
            <w:shd w:val="clear" w:color="auto" w:fill="CCEEFF"/>
          </w:tcPr>
          <w:p>
            <w:pPr>
              <w:ind w:left="80"/>
              <w:spacing w:after="0" w:line="209" w:lineRule="exact"/>
              <w:rPr>
                <w:sz w:val="20"/>
                <w:szCs w:val="20"/>
                <w:color w:val="auto"/>
              </w:rPr>
            </w:pPr>
            <w:r>
              <w:rPr>
                <w:rFonts w:ascii="Arial" w:cs="Arial" w:eastAsia="Arial" w:hAnsi="Arial"/>
                <w:sz w:val="22"/>
                <w:szCs w:val="22"/>
                <w:color w:val="auto"/>
              </w:rPr>
              <w:t>​</w:t>
            </w:r>
          </w:p>
        </w:tc>
        <w:tc>
          <w:tcPr>
            <w:tcW w:w="20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80" w:type="dxa"/>
            <w:vAlign w:val="bottom"/>
            <w:tcBorders>
              <w:top w:val="single" w:sz="8" w:color="53C072"/>
            </w:tcBorders>
          </w:tcPr>
          <w:p>
            <w:pPr>
              <w:spacing w:after="0"/>
              <w:rPr>
                <w:sz w:val="17"/>
                <w:szCs w:val="17"/>
                <w:color w:val="auto"/>
              </w:rPr>
            </w:pPr>
          </w:p>
        </w:tc>
        <w:tc>
          <w:tcPr>
            <w:tcW w:w="3700" w:type="dxa"/>
            <w:vAlign w:val="bottom"/>
            <w:tcBorders>
              <w:top w:val="single" w:sz="8" w:color="53C072"/>
            </w:tcBorders>
            <w:gridSpan w:val="28"/>
          </w:tcPr>
          <w:p>
            <w:pPr>
              <w:ind w:left="20"/>
              <w:spacing w:after="0" w:line="197" w:lineRule="exact"/>
              <w:rPr>
                <w:sz w:val="20"/>
                <w:szCs w:val="20"/>
                <w:color w:val="auto"/>
              </w:rPr>
            </w:pPr>
            <w:r>
              <w:rPr>
                <w:rFonts w:ascii="Arial" w:cs="Arial" w:eastAsia="Arial" w:hAnsi="Arial"/>
                <w:sz w:val="18"/>
                <w:szCs w:val="18"/>
                <w:color w:val="0000EE"/>
              </w:rPr>
              <w:t>Audit Committee</w:t>
            </w:r>
          </w:p>
        </w:tc>
        <w:tc>
          <w:tcPr>
            <w:tcW w:w="200" w:type="dxa"/>
            <w:vAlign w:val="bottom"/>
            <w:tcBorders>
              <w:top w:val="single" w:sz="8" w:color="53C072"/>
            </w:tcBorders>
          </w:tcPr>
          <w:p>
            <w:pPr>
              <w:ind w:left="80"/>
              <w:spacing w:after="0" w:line="197"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53C072"/>
            </w:tcBorders>
            <w:gridSpan w:val="2"/>
          </w:tcPr>
          <w:p>
            <w:pPr>
              <w:jc w:val="right"/>
              <w:spacing w:after="0" w:line="197" w:lineRule="exact"/>
              <w:rPr>
                <w:sz w:val="20"/>
                <w:szCs w:val="20"/>
                <w:color w:val="auto"/>
              </w:rPr>
            </w:pPr>
            <w:r>
              <w:rPr>
                <w:rFonts w:ascii="Arial" w:cs="Arial" w:eastAsia="Arial" w:hAnsi="Arial"/>
                <w:sz w:val="18"/>
                <w:szCs w:val="18"/>
                <w:color w:val="0000EE"/>
                <w:w w:val="89"/>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Borders>
              <w:bottom w:val="single" w:sz="8" w:color="CCEEFF"/>
            </w:tcBorders>
            <w:shd w:val="clear" w:color="auto" w:fill="CCEEFF"/>
          </w:tcPr>
          <w:p>
            <w:pPr>
              <w:spacing w:after="0"/>
              <w:rPr>
                <w:sz w:val="14"/>
                <w:szCs w:val="14"/>
                <w:color w:val="auto"/>
              </w:rPr>
            </w:pPr>
          </w:p>
        </w:tc>
        <w:tc>
          <w:tcPr>
            <w:tcW w:w="3600" w:type="dxa"/>
            <w:vAlign w:val="bottom"/>
            <w:tcBorders>
              <w:bottom w:val="single" w:sz="8" w:color="0000EE"/>
              <w:right w:val="single" w:sz="8" w:color="CCEEFF"/>
            </w:tcBorders>
            <w:gridSpan w:val="27"/>
            <w:shd w:val="clear" w:color="auto" w:fill="CCEEFF"/>
          </w:tcPr>
          <w:p>
            <w:pPr>
              <w:ind w:left="20"/>
              <w:spacing w:after="0" w:line="169" w:lineRule="exact"/>
              <w:rPr>
                <w:sz w:val="20"/>
                <w:szCs w:val="20"/>
                <w:color w:val="auto"/>
              </w:rPr>
            </w:pPr>
            <w:r>
              <w:rPr>
                <w:rFonts w:ascii="Arial" w:cs="Arial" w:eastAsia="Arial" w:hAnsi="Arial"/>
                <w:sz w:val="18"/>
                <w:szCs w:val="18"/>
                <w:color w:val="0000EE"/>
                <w:w w:val="99"/>
              </w:rPr>
              <w:t>Compensation and Leadership 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0000EE"/>
                <w:w w:val="89"/>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520" w:type="dxa"/>
            <w:vAlign w:val="bottom"/>
            <w:gridSpan w:val="27"/>
            <w:shd w:val="clear" w:color="auto" w:fill="CCEEFF"/>
          </w:tcPr>
          <w:p>
            <w:pPr>
              <w:spacing w:after="0" w:line="196" w:lineRule="exact"/>
              <w:rPr>
                <w:sz w:val="20"/>
                <w:szCs w:val="20"/>
                <w:color w:val="auto"/>
              </w:rPr>
            </w:pPr>
            <w:r>
              <w:rPr>
                <w:rFonts w:ascii="Arial" w:cs="Arial" w:eastAsia="Arial" w:hAnsi="Arial"/>
                <w:sz w:val="18"/>
                <w:szCs w:val="18"/>
                <w:color w:val="0000EE"/>
              </w:rPr>
              <w:t>Committee</w:t>
            </w:r>
          </w:p>
        </w:tc>
        <w:tc>
          <w:tcPr>
            <w:tcW w:w="20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3700" w:type="dxa"/>
            <w:vAlign w:val="bottom"/>
            <w:gridSpan w:val="28"/>
          </w:tcPr>
          <w:p>
            <w:pPr>
              <w:ind w:left="20"/>
              <w:spacing w:after="0" w:line="176" w:lineRule="exact"/>
              <w:rPr>
                <w:sz w:val="20"/>
                <w:szCs w:val="20"/>
                <w:color w:val="auto"/>
              </w:rPr>
            </w:pPr>
            <w:r>
              <w:rPr>
                <w:rFonts w:ascii="Arial" w:cs="Arial" w:eastAsia="Arial" w:hAnsi="Arial"/>
                <w:sz w:val="18"/>
                <w:szCs w:val="18"/>
                <w:color w:val="0000EE"/>
              </w:rPr>
              <w:t>Corporate Governance Committee</w:t>
            </w:r>
          </w:p>
        </w:tc>
        <w:tc>
          <w:tcPr>
            <w:tcW w:w="200" w:type="dxa"/>
            <w:vAlign w:val="bottom"/>
          </w:tcPr>
          <w:p>
            <w:pPr>
              <w:ind w:left="80"/>
              <w:spacing w:after="0" w:line="176"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0000EE"/>
                <w:w w:val="89"/>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 w:type="dxa"/>
            <w:vAlign w:val="bottom"/>
            <w:tcBorders>
              <w:bottom w:val="single" w:sz="8" w:color="CCEEFF"/>
            </w:tcBorders>
            <w:shd w:val="clear" w:color="auto" w:fill="CCEEFF"/>
          </w:tcPr>
          <w:p>
            <w:pPr>
              <w:spacing w:after="0"/>
              <w:rPr>
                <w:sz w:val="14"/>
                <w:szCs w:val="14"/>
                <w:color w:val="auto"/>
              </w:rPr>
            </w:pPr>
          </w:p>
        </w:tc>
        <w:tc>
          <w:tcPr>
            <w:tcW w:w="2600" w:type="dxa"/>
            <w:vAlign w:val="bottom"/>
            <w:tcBorders>
              <w:top w:val="single" w:sz="8" w:color="0000EE"/>
              <w:bottom w:val="single" w:sz="8" w:color="0000EE"/>
              <w:right w:val="single" w:sz="8" w:color="CCEEFF"/>
            </w:tcBorders>
            <w:gridSpan w:val="17"/>
            <w:shd w:val="clear" w:color="auto" w:fill="CCEEFF"/>
          </w:tcPr>
          <w:p>
            <w:pPr>
              <w:ind w:left="20"/>
              <w:spacing w:after="0" w:line="169" w:lineRule="exact"/>
              <w:rPr>
                <w:sz w:val="20"/>
                <w:szCs w:val="20"/>
                <w:color w:val="auto"/>
              </w:rPr>
            </w:pPr>
            <w:r>
              <w:rPr>
                <w:rFonts w:ascii="Arial" w:cs="Arial" w:eastAsia="Arial" w:hAnsi="Arial"/>
                <w:sz w:val="18"/>
                <w:szCs w:val="18"/>
                <w:color w:val="0000EE"/>
                <w:w w:val="97"/>
              </w:rPr>
              <w:t>Technology and Risk Committee</w:t>
            </w:r>
          </w:p>
        </w:tc>
        <w:tc>
          <w:tcPr>
            <w:tcW w:w="120" w:type="dxa"/>
            <w:vAlign w:val="bottom"/>
            <w:tcBorders>
              <w:top w:val="single" w:sz="8" w:color="0000EE"/>
              <w:bottom w:val="single" w:sz="8" w:color="CCEEFF"/>
            </w:tcBorders>
            <w:gridSpan w:val="2"/>
            <w:shd w:val="clear" w:color="auto" w:fill="CCEEFF"/>
          </w:tcPr>
          <w:p>
            <w:pPr>
              <w:spacing w:after="0"/>
              <w:rPr>
                <w:sz w:val="14"/>
                <w:szCs w:val="14"/>
                <w:color w:val="auto"/>
              </w:rPr>
            </w:pPr>
          </w:p>
        </w:tc>
        <w:tc>
          <w:tcPr>
            <w:tcW w:w="980" w:type="dxa"/>
            <w:vAlign w:val="bottom"/>
            <w:tcBorders>
              <w:bottom w:val="single" w:sz="8" w:color="CCEEFF"/>
            </w:tcBorders>
            <w:gridSpan w:val="9"/>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0000EE"/>
              <w:bottom w:val="single" w:sz="8" w:color="0000EE"/>
            </w:tcBorders>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w w:val="89"/>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3700" w:type="dxa"/>
            <w:vAlign w:val="bottom"/>
            <w:gridSpan w:val="28"/>
          </w:tcPr>
          <w:p>
            <w:pPr>
              <w:ind w:left="20"/>
              <w:spacing w:after="0" w:line="169" w:lineRule="exact"/>
              <w:rPr>
                <w:sz w:val="20"/>
                <w:szCs w:val="20"/>
                <w:color w:val="auto"/>
              </w:rPr>
            </w:pPr>
            <w:r>
              <w:rPr>
                <w:rFonts w:ascii="Arial" w:cs="Arial" w:eastAsia="Arial" w:hAnsi="Arial"/>
                <w:sz w:val="18"/>
                <w:szCs w:val="18"/>
                <w:color w:val="0000EE"/>
              </w:rPr>
              <w:t>Executive Committee</w:t>
            </w: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69" w:lineRule="exact"/>
              <w:rPr>
                <w:sz w:val="20"/>
                <w:szCs w:val="20"/>
                <w:color w:val="auto"/>
              </w:rPr>
            </w:pPr>
            <w:r>
              <w:rPr>
                <w:rFonts w:ascii="Arial" w:cs="Arial" w:eastAsia="Arial" w:hAnsi="Arial"/>
                <w:sz w:val="18"/>
                <w:szCs w:val="18"/>
                <w:color w:val="0000EE"/>
                <w:w w:val="89"/>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880" w:type="dxa"/>
            <w:vAlign w:val="bottom"/>
            <w:tcBorders>
              <w:bottom w:val="single" w:sz="8" w:color="53C072"/>
            </w:tcBorders>
            <w:gridSpan w:val="29"/>
            <w:shd w:val="clear" w:color="auto" w:fill="CCEEFF"/>
          </w:tcPr>
          <w:p>
            <w:pPr>
              <w:ind w:left="20"/>
              <w:spacing w:after="0"/>
              <w:rPr>
                <w:sz w:val="20"/>
                <w:szCs w:val="20"/>
                <w:color w:val="auto"/>
              </w:rPr>
            </w:pPr>
            <w:r>
              <w:rPr>
                <w:rFonts w:ascii="Arial" w:cs="Arial" w:eastAsia="Arial" w:hAnsi="Arial"/>
                <w:sz w:val="22"/>
                <w:szCs w:val="22"/>
                <w:b w:val="1"/>
                <w:bCs w:val="1"/>
                <w:color w:val="53C072"/>
              </w:rPr>
              <w:t>Director Compensation</w:t>
            </w:r>
            <w:r>
              <w:rPr>
                <w:rFonts w:ascii="Arial" w:cs="Arial" w:eastAsia="Arial" w:hAnsi="Arial"/>
                <w:sz w:val="17"/>
                <w:szCs w:val="17"/>
                <w:color w:val="000000"/>
              </w:rPr>
              <w:t>​</w:t>
            </w:r>
          </w:p>
        </w:tc>
        <w:tc>
          <w:tcPr>
            <w:tcW w:w="200" w:type="dxa"/>
            <w:vAlign w:val="bottom"/>
            <w:tcBorders>
              <w:bottom w:val="single" w:sz="8" w:color="53C072"/>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000" w:type="dxa"/>
            <w:vAlign w:val="bottom"/>
            <w:tcBorders>
              <w:bottom w:val="single" w:sz="8" w:color="0000EE"/>
            </w:tcBorders>
            <w:gridSpan w:val="23"/>
          </w:tcPr>
          <w:p>
            <w:pPr>
              <w:ind w:left="20"/>
              <w:spacing w:after="0" w:line="182" w:lineRule="exact"/>
              <w:rPr>
                <w:sz w:val="20"/>
                <w:szCs w:val="20"/>
                <w:color w:val="auto"/>
              </w:rPr>
            </w:pPr>
            <w:r>
              <w:rPr>
                <w:rFonts w:ascii="Arial" w:cs="Arial" w:eastAsia="Arial" w:hAnsi="Arial"/>
                <w:sz w:val="18"/>
                <w:szCs w:val="18"/>
                <w:color w:val="0000EE"/>
                <w:w w:val="97"/>
              </w:rPr>
              <w:t>Process for Reviewing Non-Employee</w:t>
            </w:r>
          </w:p>
        </w:tc>
        <w:tc>
          <w:tcPr>
            <w:tcW w:w="700" w:type="dxa"/>
            <w:vAlign w:val="bottom"/>
            <w:gridSpan w:val="5"/>
          </w:tcPr>
          <w:p>
            <w:pPr>
              <w:spacing w:after="0"/>
              <w:rPr>
                <w:sz w:val="15"/>
                <w:szCs w:val="15"/>
                <w:color w:val="auto"/>
              </w:rPr>
            </w:pPr>
          </w:p>
        </w:tc>
        <w:tc>
          <w:tcPr>
            <w:tcW w:w="20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EE"/>
                <w:w w:val="89"/>
              </w:rPr>
              <w:t>31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700" w:type="dxa"/>
            <w:vAlign w:val="bottom"/>
            <w:gridSpan w:val="28"/>
          </w:tcPr>
          <w:p>
            <w:pPr>
              <w:ind w:left="180"/>
              <w:spacing w:after="0" w:line="196" w:lineRule="exact"/>
              <w:rPr>
                <w:sz w:val="20"/>
                <w:szCs w:val="20"/>
                <w:color w:val="auto"/>
              </w:rPr>
            </w:pPr>
            <w:r>
              <w:rPr>
                <w:rFonts w:ascii="Arial" w:cs="Arial" w:eastAsia="Arial" w:hAnsi="Arial"/>
                <w:sz w:val="18"/>
                <w:szCs w:val="18"/>
                <w:color w:val="0000EE"/>
              </w:rPr>
              <w:t>Director Compensation</w:t>
            </w:r>
          </w:p>
        </w:tc>
        <w:tc>
          <w:tcPr>
            <w:tcW w:w="200" w:type="dxa"/>
            <w:vAlign w:val="bottom"/>
            <w:vMerge w:val="continue"/>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0" w:type="dxa"/>
            <w:vAlign w:val="bottom"/>
            <w:tcBorders>
              <w:bottom w:val="single" w:sz="8" w:color="CCEEFF"/>
            </w:tcBorders>
            <w:shd w:val="clear" w:color="auto" w:fill="CCEEFF"/>
          </w:tcPr>
          <w:p>
            <w:pPr>
              <w:spacing w:after="0"/>
              <w:rPr>
                <w:sz w:val="15"/>
                <w:szCs w:val="15"/>
                <w:color w:val="auto"/>
              </w:rPr>
            </w:pPr>
          </w:p>
        </w:tc>
        <w:tc>
          <w:tcPr>
            <w:tcW w:w="2320" w:type="dxa"/>
            <w:vAlign w:val="bottom"/>
            <w:tcBorders>
              <w:bottom w:val="single" w:sz="8" w:color="0000EE"/>
              <w:right w:val="single" w:sz="8" w:color="CCEEFF"/>
            </w:tcBorders>
            <w:gridSpan w:val="15"/>
            <w:shd w:val="clear" w:color="auto" w:fill="CCEEFF"/>
          </w:tcPr>
          <w:p>
            <w:pPr>
              <w:ind w:left="20"/>
              <w:spacing w:after="0" w:line="176" w:lineRule="exact"/>
              <w:rPr>
                <w:sz w:val="20"/>
                <w:szCs w:val="20"/>
                <w:color w:val="auto"/>
              </w:rPr>
            </w:pPr>
            <w:r>
              <w:rPr>
                <w:rFonts w:ascii="Arial" w:cs="Arial" w:eastAsia="Arial" w:hAnsi="Arial"/>
                <w:sz w:val="18"/>
                <w:szCs w:val="18"/>
                <w:color w:val="0000EE"/>
                <w:w w:val="97"/>
              </w:rPr>
              <w:t>Deferred Compensation Plan</w:t>
            </w:r>
          </w:p>
        </w:tc>
        <w:tc>
          <w:tcPr>
            <w:tcW w:w="1380" w:type="dxa"/>
            <w:vAlign w:val="bottom"/>
            <w:tcBorders>
              <w:bottom w:val="single" w:sz="8" w:color="CCEEFF"/>
            </w:tcBorders>
            <w:gridSpan w:val="13"/>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ind w:left="80"/>
              <w:spacing w:after="0" w:line="17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EE"/>
                <w:w w:val="89"/>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3700" w:type="dxa"/>
            <w:vAlign w:val="bottom"/>
            <w:gridSpan w:val="28"/>
          </w:tcPr>
          <w:p>
            <w:pPr>
              <w:ind w:left="20"/>
              <w:spacing w:after="0" w:line="169" w:lineRule="exact"/>
              <w:rPr>
                <w:sz w:val="20"/>
                <w:szCs w:val="20"/>
                <w:color w:val="auto"/>
              </w:rPr>
            </w:pPr>
            <w:r>
              <w:rPr>
                <w:rFonts w:ascii="Arial" w:cs="Arial" w:eastAsia="Arial" w:hAnsi="Arial"/>
                <w:sz w:val="18"/>
                <w:szCs w:val="18"/>
                <w:color w:val="0000EE"/>
              </w:rPr>
              <w:t>D&amp;O Insurance</w:t>
            </w: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69" w:lineRule="exact"/>
              <w:rPr>
                <w:sz w:val="20"/>
                <w:szCs w:val="20"/>
                <w:color w:val="auto"/>
              </w:rPr>
            </w:pPr>
            <w:r>
              <w:rPr>
                <w:rFonts w:ascii="Arial" w:cs="Arial" w:eastAsia="Arial" w:hAnsi="Arial"/>
                <w:sz w:val="18"/>
                <w:szCs w:val="18"/>
                <w:color w:val="0000EE"/>
                <w:w w:val="89"/>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80" w:type="dxa"/>
            <w:vAlign w:val="bottom"/>
            <w:gridSpan w:val="29"/>
            <w:shd w:val="clear" w:color="auto" w:fill="CCEEFF"/>
          </w:tcPr>
          <w:p>
            <w:pPr>
              <w:ind w:left="20"/>
              <w:spacing w:after="0"/>
              <w:rPr>
                <w:sz w:val="20"/>
                <w:szCs w:val="20"/>
                <w:color w:val="auto"/>
              </w:rPr>
            </w:pPr>
            <w:r>
              <w:rPr>
                <w:rFonts w:ascii="Arial" w:cs="Arial" w:eastAsia="Arial" w:hAnsi="Arial"/>
                <w:sz w:val="22"/>
                <w:szCs w:val="22"/>
                <w:b w:val="1"/>
                <w:bCs w:val="1"/>
                <w:color w:val="53C072"/>
                <w:shd w:val="clear" w:color="auto" w:fill="CCEEFF"/>
              </w:rPr>
              <w:t>Executive Officers of the Company</w:t>
            </w:r>
            <w:r>
              <w:rPr>
                <w:rFonts w:ascii="Arial" w:cs="Arial" w:eastAsia="Arial" w:hAnsi="Arial"/>
                <w:sz w:val="17"/>
                <w:szCs w:val="17"/>
                <w:color w:val="000000"/>
                <w:shd w:val="clear" w:color="auto" w:fill="CCEEFF"/>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 xml:space="preserve">​ </w:t>
            </w:r>
            <w:r>
              <w:rPr>
                <w:rFonts w:ascii="Arial" w:cs="Arial" w:eastAsia="Arial" w:hAnsi="Arial"/>
                <w:sz w:val="18"/>
                <w:szCs w:val="18"/>
                <w:color w:val="0000EE"/>
                <w:shd w:val="clear" w:color="auto" w:fill="CCEE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100" w:type="dxa"/>
            <w:vAlign w:val="bottom"/>
            <w:tcBorders>
              <w:top w:val="single" w:sz="8" w:color="53C072"/>
              <w:bottom w:val="single" w:sz="8" w:color="53C072"/>
            </w:tcBorders>
            <w:gridSpan w:val="22"/>
          </w:tcPr>
          <w:p>
            <w:pPr>
              <w:ind w:left="20"/>
              <w:spacing w:after="0"/>
              <w:rPr>
                <w:sz w:val="20"/>
                <w:szCs w:val="20"/>
                <w:color w:val="auto"/>
              </w:rPr>
            </w:pPr>
            <w:r>
              <w:rPr>
                <w:rFonts w:ascii="Arial" w:cs="Arial" w:eastAsia="Arial" w:hAnsi="Arial"/>
                <w:sz w:val="22"/>
                <w:szCs w:val="22"/>
                <w:b w:val="1"/>
                <w:bCs w:val="1"/>
                <w:color w:val="53C072"/>
                <w:w w:val="96"/>
              </w:rPr>
              <w:t>Security Ownership of Certain</w:t>
            </w:r>
          </w:p>
        </w:tc>
        <w:tc>
          <w:tcPr>
            <w:tcW w:w="780" w:type="dxa"/>
            <w:vAlign w:val="bottom"/>
            <w:tcBorders>
              <w:top w:val="single" w:sz="8" w:color="53C072"/>
            </w:tcBorders>
            <w:gridSpan w:val="7"/>
          </w:tcPr>
          <w:p>
            <w:pPr>
              <w:spacing w:after="0"/>
              <w:rPr>
                <w:sz w:val="24"/>
                <w:szCs w:val="24"/>
                <w:color w:val="auto"/>
              </w:rPr>
            </w:pPr>
          </w:p>
        </w:tc>
        <w:tc>
          <w:tcPr>
            <w:tcW w:w="200" w:type="dxa"/>
            <w:vAlign w:val="bottom"/>
            <w:tcBorders>
              <w:top w:val="single" w:sz="8" w:color="53C072"/>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3700" w:type="dxa"/>
            <w:vAlign w:val="bottom"/>
            <w:gridSpan w:val="28"/>
          </w:tcPr>
          <w:p>
            <w:pPr>
              <w:ind w:left="20"/>
              <w:spacing w:after="0" w:line="237" w:lineRule="exact"/>
              <w:rPr>
                <w:sz w:val="20"/>
                <w:szCs w:val="20"/>
                <w:color w:val="auto"/>
              </w:rPr>
            </w:pPr>
            <w:r>
              <w:rPr>
                <w:rFonts w:ascii="Arial" w:cs="Arial" w:eastAsia="Arial" w:hAnsi="Arial"/>
                <w:sz w:val="22"/>
                <w:szCs w:val="22"/>
                <w:b w:val="1"/>
                <w:bCs w:val="1"/>
                <w:color w:val="53C072"/>
              </w:rPr>
              <w:t>Beneficial Owners and</w:t>
            </w:r>
          </w:p>
        </w:tc>
        <w:tc>
          <w:tcPr>
            <w:tcW w:w="420" w:type="dxa"/>
            <w:vAlign w:val="bottom"/>
            <w:gridSpan w:val="4"/>
            <w:vMerge w:val="restart"/>
          </w:tcPr>
          <w:p>
            <w:pPr>
              <w:jc w:val="right"/>
              <w:ind w:right="20"/>
              <w:spacing w:after="0"/>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17"/>
                <w:szCs w:val="17"/>
                <w:color w:val="0000EE"/>
              </w:rPr>
              <w:t>35</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2320" w:type="dxa"/>
            <w:vAlign w:val="bottom"/>
            <w:tcBorders>
              <w:top w:val="single" w:sz="8" w:color="53C072"/>
            </w:tcBorders>
            <w:gridSpan w:val="15"/>
          </w:tcPr>
          <w:p>
            <w:pPr>
              <w:ind w:left="20"/>
              <w:spacing w:after="0" w:line="195" w:lineRule="exact"/>
              <w:rPr>
                <w:sz w:val="20"/>
                <w:szCs w:val="20"/>
                <w:color w:val="auto"/>
              </w:rPr>
            </w:pPr>
            <w:r>
              <w:rPr>
                <w:rFonts w:ascii="Arial" w:cs="Arial" w:eastAsia="Arial" w:hAnsi="Arial"/>
                <w:sz w:val="22"/>
                <w:szCs w:val="22"/>
                <w:b w:val="1"/>
                <w:bCs w:val="1"/>
                <w:color w:val="53C072"/>
              </w:rPr>
              <w:t>Management</w:t>
            </w:r>
          </w:p>
        </w:tc>
        <w:tc>
          <w:tcPr>
            <w:tcW w:w="900" w:type="dxa"/>
            <w:vAlign w:val="bottom"/>
            <w:gridSpan w:val="9"/>
          </w:tcPr>
          <w:p>
            <w:pPr>
              <w:spacing w:after="0"/>
              <w:rPr>
                <w:sz w:val="19"/>
                <w:szCs w:val="19"/>
                <w:color w:val="auto"/>
              </w:rPr>
            </w:pPr>
          </w:p>
        </w:tc>
        <w:tc>
          <w:tcPr>
            <w:tcW w:w="480" w:type="dxa"/>
            <w:vAlign w:val="bottom"/>
            <w:gridSpan w:val="4"/>
          </w:tcPr>
          <w:p>
            <w:pPr>
              <w:spacing w:after="0"/>
              <w:rPr>
                <w:sz w:val="19"/>
                <w:szCs w:val="19"/>
                <w:color w:val="auto"/>
              </w:rPr>
            </w:pPr>
          </w:p>
        </w:tc>
        <w:tc>
          <w:tcPr>
            <w:tcW w:w="4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80" w:type="dxa"/>
            <w:vAlign w:val="bottom"/>
            <w:tcBorders>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48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4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2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26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32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4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22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100" w:type="dxa"/>
            <w:vAlign w:val="bottom"/>
            <w:tcBorders>
              <w:top w:val="single" w:sz="8" w:color="0000EE"/>
              <w:bottom w:val="single" w:sz="8" w:color="53C072"/>
            </w:tcBorders>
          </w:tcPr>
          <w:p>
            <w:pPr>
              <w:spacing w:after="0"/>
              <w:rPr>
                <w:sz w:val="2"/>
                <w:szCs w:val="2"/>
                <w:color w:val="auto"/>
              </w:rPr>
            </w:pPr>
          </w:p>
        </w:tc>
        <w:tc>
          <w:tcPr>
            <w:tcW w:w="1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3400" w:type="dxa"/>
            <w:vAlign w:val="bottom"/>
            <w:tcBorders>
              <w:bottom w:val="single" w:sz="8" w:color="53C072"/>
            </w:tcBorders>
            <w:gridSpan w:val="25"/>
            <w:shd w:val="clear" w:color="auto" w:fill="CCEEFF"/>
          </w:tcPr>
          <w:p>
            <w:pPr>
              <w:ind w:left="20"/>
              <w:spacing w:after="0"/>
              <w:rPr>
                <w:sz w:val="20"/>
                <w:szCs w:val="20"/>
                <w:color w:val="auto"/>
              </w:rPr>
            </w:pPr>
            <w:r>
              <w:rPr>
                <w:rFonts w:ascii="Arial" w:cs="Arial" w:eastAsia="Arial" w:hAnsi="Arial"/>
                <w:sz w:val="22"/>
                <w:szCs w:val="22"/>
                <w:b w:val="1"/>
                <w:bCs w:val="1"/>
                <w:color w:val="53C072"/>
                <w:w w:val="97"/>
              </w:rPr>
              <w:t>Delinquent Section 16(a) Reports</w:t>
            </w:r>
          </w:p>
        </w:tc>
        <w:tc>
          <w:tcPr>
            <w:tcW w:w="480" w:type="dxa"/>
            <w:vAlign w:val="bottom"/>
            <w:tcBorders>
              <w:bottom w:val="single" w:sz="8" w:color="CCEEFF"/>
            </w:tcBorders>
            <w:gridSpan w:val="4"/>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0" w:type="dxa"/>
            <w:vAlign w:val="bottom"/>
            <w:tcBorders>
              <w:bottom w:val="single" w:sz="8" w:color="53C072"/>
            </w:tcBorders>
            <w:gridSpan w:val="25"/>
            <w:shd w:val="clear" w:color="auto" w:fill="CCEEFF"/>
          </w:tcPr>
          <w:p>
            <w:pPr>
              <w:spacing w:after="0"/>
              <w:rPr>
                <w:sz w:val="8"/>
                <w:szCs w:val="8"/>
                <w:color w:val="auto"/>
              </w:rPr>
            </w:pPr>
          </w:p>
        </w:tc>
        <w:tc>
          <w:tcPr>
            <w:tcW w:w="480" w:type="dxa"/>
            <w:vAlign w:val="bottom"/>
            <w:tcBorders>
              <w:bottom w:val="single" w:sz="8" w:color="53C072"/>
            </w:tcBorders>
            <w:gridSpan w:val="4"/>
            <w:vMerge w:val="continue"/>
            <w:shd w:val="clear" w:color="auto" w:fill="CCEEFF"/>
          </w:tcPr>
          <w:p>
            <w:pPr>
              <w:spacing w:after="0"/>
              <w:rPr>
                <w:sz w:val="8"/>
                <w:szCs w:val="8"/>
                <w:color w:val="auto"/>
              </w:rPr>
            </w:pPr>
          </w:p>
        </w:tc>
        <w:tc>
          <w:tcPr>
            <w:tcW w:w="200" w:type="dxa"/>
            <w:vAlign w:val="bottom"/>
            <w:tcBorders>
              <w:bottom w:val="single" w:sz="8" w:color="53C072"/>
            </w:tcBorders>
            <w:vMerge w:val="continue"/>
            <w:shd w:val="clear" w:color="auto" w:fill="CCEEFF"/>
          </w:tcPr>
          <w:p>
            <w:pPr>
              <w:spacing w:after="0"/>
              <w:rPr>
                <w:sz w:val="8"/>
                <w:szCs w:val="8"/>
                <w:color w:val="auto"/>
              </w:rPr>
            </w:pPr>
          </w:p>
        </w:tc>
        <w:tc>
          <w:tcPr>
            <w:tcW w:w="200" w:type="dxa"/>
            <w:vAlign w:val="bottom"/>
            <w:tcBorders>
              <w:bottom w:val="single" w:sz="8" w:color="53C072"/>
            </w:tcBorders>
            <w:gridSpan w:val="2"/>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793115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8"/>
        </w:trPr>
        <w:tc>
          <w:tcPr>
            <w:tcW w:w="4080" w:type="dxa"/>
            <w:vAlign w:val="bottom"/>
            <w:gridSpan w:val="27"/>
            <w:shd w:val="clear" w:color="auto" w:fill="CCEEFF"/>
          </w:tcPr>
          <w:p>
            <w:pPr>
              <w:spacing w:after="0"/>
              <w:rPr>
                <w:sz w:val="20"/>
                <w:szCs w:val="20"/>
                <w:color w:val="auto"/>
              </w:rPr>
            </w:pPr>
            <w:r>
              <w:rPr>
                <w:rFonts w:ascii="Arial" w:cs="Arial" w:eastAsia="Arial" w:hAnsi="Arial"/>
                <w:sz w:val="22"/>
                <w:szCs w:val="22"/>
                <w:b w:val="1"/>
                <w:bCs w:val="1"/>
                <w:color w:val="53C072"/>
              </w:rPr>
              <w:t>Related Person Transactions</w:t>
            </w:r>
            <w:r>
              <w:rPr>
                <w:rFonts w:ascii="Arial" w:cs="Arial" w:eastAsia="Arial" w:hAnsi="Arial"/>
                <w:sz w:val="17"/>
                <w:szCs w:val="17"/>
                <w:color w:val="000000"/>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Borders>
              <w:top w:val="single" w:sz="8" w:color="53C072"/>
              <w:bottom w:val="single" w:sz="8" w:color="53C072"/>
            </w:tcBorders>
            <w:gridSpan w:val="25"/>
          </w:tcPr>
          <w:p>
            <w:pPr>
              <w:spacing w:after="0"/>
              <w:rPr>
                <w:sz w:val="20"/>
                <w:szCs w:val="20"/>
                <w:color w:val="auto"/>
              </w:rPr>
            </w:pPr>
            <w:r>
              <w:rPr>
                <w:rFonts w:ascii="Arial" w:cs="Arial" w:eastAsia="Arial" w:hAnsi="Arial"/>
                <w:sz w:val="22"/>
                <w:szCs w:val="22"/>
                <w:b w:val="1"/>
                <w:bCs w:val="1"/>
                <w:color w:val="53C072"/>
                <w:w w:val="96"/>
              </w:rPr>
              <w:t>Proposal 2 — Advisory Vote on Named</w:t>
            </w:r>
          </w:p>
        </w:tc>
        <w:tc>
          <w:tcPr>
            <w:tcW w:w="160" w:type="dxa"/>
            <w:vAlign w:val="bottom"/>
            <w:tcBorders>
              <w:top w:val="single" w:sz="8" w:color="53C072"/>
            </w:tcBorders>
            <w:gridSpan w:val="2"/>
          </w:tcPr>
          <w:p>
            <w:pPr>
              <w:spacing w:after="0"/>
              <w:rPr>
                <w:sz w:val="24"/>
                <w:szCs w:val="24"/>
                <w:color w:val="auto"/>
              </w:rPr>
            </w:pPr>
          </w:p>
        </w:tc>
        <w:tc>
          <w:tcPr>
            <w:tcW w:w="80" w:type="dxa"/>
            <w:vAlign w:val="bottom"/>
            <w:tcBorders>
              <w:top w:val="single" w:sz="8" w:color="53C072"/>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3900" w:type="dxa"/>
            <w:vAlign w:val="bottom"/>
            <w:gridSpan w:val="26"/>
          </w:tcPr>
          <w:p>
            <w:pPr>
              <w:spacing w:after="0" w:line="209" w:lineRule="exact"/>
              <w:rPr>
                <w:sz w:val="20"/>
                <w:szCs w:val="20"/>
                <w:color w:val="auto"/>
              </w:rPr>
            </w:pPr>
            <w:r>
              <w:rPr>
                <w:rFonts w:ascii="Arial" w:cs="Arial" w:eastAsia="Arial" w:hAnsi="Arial"/>
                <w:sz w:val="22"/>
                <w:szCs w:val="22"/>
                <w:b w:val="1"/>
                <w:bCs w:val="1"/>
                <w:color w:val="53C072"/>
              </w:rPr>
              <w:t>Executive Compensation</w:t>
            </w:r>
            <w:r>
              <w:rPr>
                <w:rFonts w:ascii="Arial" w:cs="Arial" w:eastAsia="Arial" w:hAnsi="Arial"/>
                <w:sz w:val="17"/>
                <w:szCs w:val="17"/>
                <w:color w:val="53C072"/>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0000EE"/>
              </w:rPr>
              <w:t>38</w:t>
            </w:r>
          </w:p>
        </w:tc>
        <w:tc>
          <w:tcPr>
            <w:tcW w:w="0" w:type="dxa"/>
            <w:vAlign w:val="bottom"/>
          </w:tcPr>
          <w:p>
            <w:pPr>
              <w:spacing w:after="0"/>
              <w:rPr>
                <w:sz w:val="1"/>
                <w:szCs w:val="1"/>
                <w:color w:val="auto"/>
              </w:rPr>
            </w:pPr>
          </w:p>
        </w:tc>
      </w:tr>
      <w:tr>
        <w:trPr>
          <w:trHeight w:val="28"/>
        </w:trPr>
        <w:tc>
          <w:tcPr>
            <w:tcW w:w="180" w:type="dxa"/>
            <w:vAlign w:val="bottom"/>
            <w:tcBorders>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26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320" w:type="dxa"/>
            <w:vAlign w:val="bottom"/>
            <w:tcBorders>
              <w:top w:val="single" w:sz="8" w:color="53C072"/>
              <w:bottom w:val="single" w:sz="8" w:color="53C072"/>
            </w:tcBorders>
          </w:tcPr>
          <w:p>
            <w:pPr>
              <w:spacing w:after="0"/>
              <w:rPr>
                <w:sz w:val="2"/>
                <w:szCs w:val="2"/>
                <w:color w:val="auto"/>
              </w:rPr>
            </w:pPr>
          </w:p>
        </w:tc>
        <w:tc>
          <w:tcPr>
            <w:tcW w:w="380" w:type="dxa"/>
            <w:vAlign w:val="bottom"/>
            <w:tcBorders>
              <w:top w:val="single" w:sz="8" w:color="53C072"/>
              <w:bottom w:val="single" w:sz="8" w:color="53C072"/>
            </w:tcBorders>
          </w:tcPr>
          <w:p>
            <w:pPr>
              <w:spacing w:after="0"/>
              <w:rPr>
                <w:sz w:val="2"/>
                <w:szCs w:val="2"/>
                <w:color w:val="auto"/>
              </w:rPr>
            </w:pPr>
          </w:p>
        </w:tc>
        <w:tc>
          <w:tcPr>
            <w:tcW w:w="24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440" w:type="dxa"/>
            <w:vAlign w:val="bottom"/>
            <w:tcBorders>
              <w:top w:val="single" w:sz="8" w:color="53C072"/>
              <w:bottom w:val="single" w:sz="8" w:color="53C072"/>
            </w:tcBorders>
          </w:tcPr>
          <w:p>
            <w:pPr>
              <w:spacing w:after="0"/>
              <w:rPr>
                <w:sz w:val="2"/>
                <w:szCs w:val="2"/>
                <w:color w:val="auto"/>
              </w:rPr>
            </w:pPr>
          </w:p>
        </w:tc>
        <w:tc>
          <w:tcPr>
            <w:tcW w:w="24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120" w:type="dxa"/>
            <w:vAlign w:val="bottom"/>
            <w:tcBorders>
              <w:top w:val="single" w:sz="8" w:color="53C072"/>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26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5"/>
        </w:trPr>
        <w:tc>
          <w:tcPr>
            <w:tcW w:w="4360" w:type="dxa"/>
            <w:vAlign w:val="bottom"/>
            <w:gridSpan w:val="29"/>
            <w:shd w:val="clear" w:color="auto" w:fill="CCEEFF"/>
          </w:tcPr>
          <w:p>
            <w:pPr>
              <w:spacing w:after="0"/>
              <w:rPr>
                <w:sz w:val="20"/>
                <w:szCs w:val="20"/>
                <w:color w:val="auto"/>
              </w:rPr>
            </w:pPr>
            <w:r>
              <w:rPr>
                <w:rFonts w:ascii="Arial" w:cs="Arial" w:eastAsia="Arial" w:hAnsi="Arial"/>
                <w:sz w:val="22"/>
                <w:szCs w:val="22"/>
                <w:b w:val="1"/>
                <w:bCs w:val="1"/>
                <w:color w:val="53C072"/>
                <w:w w:val="97"/>
                <w:shd w:val="clear" w:color="auto" w:fill="CCEEFF"/>
              </w:rPr>
              <w:t xml:space="preserve">Compensation Discussion and Analysis </w:t>
            </w:r>
            <w:r>
              <w:rPr>
                <w:rFonts w:ascii="Arial" w:cs="Arial" w:eastAsia="Arial" w:hAnsi="Arial"/>
                <w:sz w:val="17"/>
                <w:szCs w:val="17"/>
                <w:color w:val="0000EE"/>
                <w:w w:val="97"/>
                <w:shd w:val="clear" w:color="auto" w:fill="CCEEFF"/>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260" w:type="dxa"/>
            <w:vAlign w:val="bottom"/>
            <w:tcBorders>
              <w:top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320" w:type="dxa"/>
            <w:vAlign w:val="bottom"/>
            <w:tcBorders>
              <w:top w:val="single" w:sz="8" w:color="53C072"/>
            </w:tcBorders>
            <w:shd w:val="clear" w:color="auto" w:fill="53C072"/>
          </w:tcPr>
          <w:p>
            <w:pPr>
              <w:spacing w:after="0" w:line="20" w:lineRule="exact"/>
              <w:rPr>
                <w:sz w:val="1"/>
                <w:szCs w:val="1"/>
                <w:color w:val="auto"/>
              </w:rPr>
            </w:pPr>
          </w:p>
        </w:tc>
        <w:tc>
          <w:tcPr>
            <w:tcW w:w="38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40" w:type="dxa"/>
            <w:vAlign w:val="bottom"/>
            <w:tcBorders>
              <w:top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53C072"/>
            </w:tcBorders>
            <w:shd w:val="clear" w:color="auto" w:fill="53C072"/>
          </w:tcPr>
          <w:p>
            <w:pPr>
              <w:spacing w:after="0" w:line="20" w:lineRule="exact"/>
              <w:rPr>
                <w:sz w:val="1"/>
                <w:szCs w:val="1"/>
                <w:color w:val="auto"/>
              </w:rPr>
            </w:pPr>
          </w:p>
        </w:tc>
        <w:tc>
          <w:tcPr>
            <w:tcW w:w="440" w:type="dxa"/>
            <w:vAlign w:val="bottom"/>
            <w:tcBorders>
              <w:top w:val="single" w:sz="8" w:color="53C072"/>
            </w:tcBorders>
            <w:shd w:val="clear" w:color="auto" w:fill="53C072"/>
          </w:tcPr>
          <w:p>
            <w:pPr>
              <w:spacing w:after="0" w:line="20" w:lineRule="exact"/>
              <w:rPr>
                <w:sz w:val="1"/>
                <w:szCs w:val="1"/>
                <w:color w:val="auto"/>
              </w:rPr>
            </w:pPr>
          </w:p>
        </w:tc>
        <w:tc>
          <w:tcPr>
            <w:tcW w:w="24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53C072"/>
            </w:tcBorders>
            <w:shd w:val="clear" w:color="auto" w:fill="53C072"/>
          </w:tcPr>
          <w:p>
            <w:pPr>
              <w:spacing w:after="0" w:line="20" w:lineRule="exact"/>
              <w:rPr>
                <w:sz w:val="1"/>
                <w:szCs w:val="1"/>
                <w:color w:val="auto"/>
              </w:rPr>
            </w:pPr>
          </w:p>
        </w:tc>
        <w:tc>
          <w:tcPr>
            <w:tcW w:w="60" w:type="dxa"/>
            <w:vAlign w:val="bottom"/>
            <w:tcBorders>
              <w:top w:val="single" w:sz="8" w:color="53C072"/>
            </w:tcBorders>
            <w:shd w:val="clear" w:color="auto" w:fill="53C072"/>
          </w:tcPr>
          <w:p>
            <w:pPr>
              <w:spacing w:after="0" w:line="20" w:lineRule="exact"/>
              <w:rPr>
                <w:sz w:val="1"/>
                <w:szCs w:val="1"/>
                <w:color w:val="auto"/>
              </w:rPr>
            </w:pPr>
          </w:p>
        </w:tc>
        <w:tc>
          <w:tcPr>
            <w:tcW w:w="1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60" w:type="dxa"/>
            <w:vAlign w:val="bottom"/>
            <w:tcBorders>
              <w:top w:val="single" w:sz="8" w:color="53C072"/>
              <w:left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60" w:type="dxa"/>
            <w:vAlign w:val="bottom"/>
            <w:tcBorders>
              <w:top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200" w:type="dxa"/>
            <w:vAlign w:val="bottom"/>
            <w:tcBorders>
              <w:top w:val="single" w:sz="8" w:color="0000EE"/>
            </w:tcBorders>
            <w:shd w:val="clear" w:color="auto" w:fill="53C0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3900" w:type="dxa"/>
            <w:vAlign w:val="bottom"/>
            <w:gridSpan w:val="26"/>
          </w:tcPr>
          <w:p>
            <w:pPr>
              <w:spacing w:after="0"/>
              <w:rPr>
                <w:sz w:val="20"/>
                <w:szCs w:val="20"/>
                <w:color w:val="auto"/>
              </w:rPr>
            </w:pPr>
            <w:r>
              <w:rPr>
                <w:rFonts w:ascii="Arial" w:cs="Arial" w:eastAsia="Arial" w:hAnsi="Arial"/>
                <w:sz w:val="18"/>
                <w:szCs w:val="18"/>
                <w:color w:val="0000EE"/>
              </w:rPr>
              <w:t>Executive Summary</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0000EE"/>
              </w:rPr>
              <w:t>39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900" w:type="dxa"/>
            <w:vAlign w:val="bottom"/>
            <w:gridSpan w:val="26"/>
            <w:shd w:val="clear" w:color="auto" w:fill="CCEEFF"/>
          </w:tcPr>
          <w:p>
            <w:pPr>
              <w:spacing w:after="0" w:line="169" w:lineRule="exact"/>
              <w:rPr>
                <w:sz w:val="20"/>
                <w:szCs w:val="20"/>
                <w:color w:val="auto"/>
              </w:rPr>
            </w:pPr>
            <w:r>
              <w:rPr>
                <w:rFonts w:ascii="Arial" w:cs="Arial" w:eastAsia="Arial" w:hAnsi="Arial"/>
                <w:sz w:val="18"/>
                <w:szCs w:val="18"/>
                <w:color w:val="0000EE"/>
              </w:rPr>
              <w:t>Compensation Governance and Process</w:t>
            </w:r>
          </w:p>
        </w:tc>
        <w:tc>
          <w:tcPr>
            <w:tcW w:w="2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rPr>
              <w:t>42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180" w:type="dxa"/>
            <w:vAlign w:val="bottom"/>
            <w:gridSpan w:val="15"/>
          </w:tcPr>
          <w:p>
            <w:pPr>
              <w:spacing w:after="0" w:line="169" w:lineRule="exact"/>
              <w:rPr>
                <w:sz w:val="20"/>
                <w:szCs w:val="20"/>
                <w:color w:val="auto"/>
              </w:rPr>
            </w:pPr>
            <w:r>
              <w:rPr>
                <w:rFonts w:ascii="Arial" w:cs="Arial" w:eastAsia="Arial" w:hAnsi="Arial"/>
                <w:sz w:val="18"/>
                <w:szCs w:val="18"/>
                <w:color w:val="0000EE"/>
              </w:rPr>
              <w:t>Overview of Pay Programs</w:t>
            </w:r>
          </w:p>
        </w:tc>
        <w:tc>
          <w:tcPr>
            <w:tcW w:w="720" w:type="dxa"/>
            <w:vAlign w:val="bottom"/>
            <w:gridSpan w:val="11"/>
          </w:tcPr>
          <w:p>
            <w:pPr>
              <w:spacing w:after="0"/>
              <w:rPr>
                <w:sz w:val="14"/>
                <w:szCs w:val="14"/>
                <w:color w:val="auto"/>
              </w:rPr>
            </w:pPr>
          </w:p>
        </w:tc>
        <w:tc>
          <w:tcPr>
            <w:tcW w:w="280" w:type="dxa"/>
            <w:vAlign w:val="bottom"/>
            <w:gridSpan w:val="2"/>
          </w:tcPr>
          <w:p>
            <w:pPr>
              <w:jc w:val="right"/>
              <w:spacing w:after="0" w:line="169" w:lineRule="exact"/>
              <w:rPr>
                <w:sz w:val="20"/>
                <w:szCs w:val="20"/>
                <w:color w:val="auto"/>
              </w:rPr>
            </w:pPr>
            <w:r>
              <w:rPr>
                <w:rFonts w:ascii="Arial" w:cs="Arial" w:eastAsia="Arial" w:hAnsi="Arial"/>
                <w:sz w:val="18"/>
                <w:szCs w:val="18"/>
                <w:color w:val="0000EE"/>
              </w:rPr>
              <w:t>44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020" w:type="dxa"/>
            <w:vAlign w:val="bottom"/>
            <w:tcBorders>
              <w:right w:val="single" w:sz="8" w:color="CCEEFF"/>
            </w:tcBorders>
            <w:gridSpan w:val="14"/>
            <w:shd w:val="clear" w:color="auto" w:fill="CCEEFF"/>
          </w:tcPr>
          <w:p>
            <w:pPr>
              <w:spacing w:after="0" w:line="169" w:lineRule="exact"/>
              <w:rPr>
                <w:sz w:val="20"/>
                <w:szCs w:val="20"/>
                <w:color w:val="auto"/>
              </w:rPr>
            </w:pPr>
            <w:r>
              <w:rPr>
                <w:rFonts w:ascii="Arial" w:cs="Arial" w:eastAsia="Arial" w:hAnsi="Arial"/>
                <w:sz w:val="18"/>
                <w:szCs w:val="18"/>
                <w:color w:val="0000EE"/>
                <w:w w:val="99"/>
              </w:rPr>
              <w:t>Elements of Executive Compensation</w:t>
            </w:r>
          </w:p>
        </w:tc>
        <w:tc>
          <w:tcPr>
            <w:tcW w:w="880" w:type="dxa"/>
            <w:vAlign w:val="bottom"/>
            <w:tcBorders>
              <w:left w:val="single" w:sz="8" w:color="CCEEFF"/>
            </w:tcBorders>
            <w:gridSpan w:val="12"/>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rPr>
              <w:t>47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CCEEFF"/>
            </w:tcBorders>
            <w:shd w:val="clear" w:color="auto" w:fill="0000EE"/>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900" w:type="dxa"/>
            <w:vAlign w:val="bottom"/>
            <w:gridSpan w:val="26"/>
          </w:tcPr>
          <w:p>
            <w:pPr>
              <w:spacing w:after="0" w:line="169" w:lineRule="exact"/>
              <w:rPr>
                <w:sz w:val="20"/>
                <w:szCs w:val="20"/>
                <w:color w:val="auto"/>
              </w:rPr>
            </w:pPr>
            <w:r>
              <w:rPr>
                <w:rFonts w:ascii="Arial" w:cs="Arial" w:eastAsia="Arial" w:hAnsi="Arial"/>
                <w:sz w:val="18"/>
                <w:szCs w:val="18"/>
                <w:color w:val="0000EE"/>
              </w:rPr>
              <w:t>Additional Practices, Policies and Guidelines</w:t>
            </w:r>
          </w:p>
        </w:tc>
        <w:tc>
          <w:tcPr>
            <w:tcW w:w="280" w:type="dxa"/>
            <w:vAlign w:val="bottom"/>
            <w:gridSpan w:val="2"/>
          </w:tcPr>
          <w:p>
            <w:pPr>
              <w:jc w:val="right"/>
              <w:spacing w:after="0" w:line="169" w:lineRule="exact"/>
              <w:rPr>
                <w:sz w:val="20"/>
                <w:szCs w:val="20"/>
                <w:color w:val="auto"/>
              </w:rPr>
            </w:pPr>
            <w:r>
              <w:rPr>
                <w:rFonts w:ascii="Arial" w:cs="Arial" w:eastAsia="Arial" w:hAnsi="Arial"/>
                <w:sz w:val="18"/>
                <w:szCs w:val="18"/>
                <w:color w:val="0000EE"/>
              </w:rPr>
              <w:t>55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0" w:type="dxa"/>
            <w:vAlign w:val="bottom"/>
            <w:tcBorders>
              <w:bottom w:val="single" w:sz="8" w:color="53C072"/>
              <w:right w:val="single" w:sz="8" w:color="CCEEFF"/>
            </w:tcBorders>
            <w:gridSpan w:val="15"/>
            <w:shd w:val="clear" w:color="auto" w:fill="CCEEFF"/>
          </w:tcPr>
          <w:p>
            <w:pPr>
              <w:spacing w:after="0"/>
              <w:rPr>
                <w:sz w:val="20"/>
                <w:szCs w:val="20"/>
                <w:color w:val="auto"/>
              </w:rPr>
            </w:pPr>
            <w:r>
              <w:rPr>
                <w:rFonts w:ascii="Arial" w:cs="Arial" w:eastAsia="Arial" w:hAnsi="Arial"/>
                <w:sz w:val="22"/>
                <w:szCs w:val="22"/>
                <w:b w:val="1"/>
                <w:bCs w:val="1"/>
                <w:color w:val="53C072"/>
                <w:w w:val="98"/>
              </w:rPr>
              <w:t>Compensation and Leadership</w:t>
            </w:r>
          </w:p>
        </w:tc>
        <w:tc>
          <w:tcPr>
            <w:tcW w:w="880" w:type="dxa"/>
            <w:vAlign w:val="bottom"/>
            <w:tcBorders>
              <w:left w:val="single" w:sz="8" w:color="CCEEFF"/>
              <w:bottom w:val="single" w:sz="8" w:color="CCEEFF"/>
            </w:tcBorders>
            <w:gridSpan w:val="12"/>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80" w:type="dxa"/>
            <w:vAlign w:val="bottom"/>
            <w:shd w:val="clear" w:color="auto" w:fill="CCEEFF"/>
          </w:tcPr>
          <w:p>
            <w:pPr>
              <w:spacing w:after="0"/>
              <w:rPr>
                <w:sz w:val="23"/>
                <w:szCs w:val="23"/>
                <w:color w:val="auto"/>
              </w:rPr>
            </w:pPr>
          </w:p>
        </w:tc>
        <w:tc>
          <w:tcPr>
            <w:tcW w:w="3900" w:type="dxa"/>
            <w:vAlign w:val="bottom"/>
            <w:gridSpan w:val="26"/>
            <w:shd w:val="clear" w:color="auto" w:fill="CCEEFF"/>
          </w:tcPr>
          <w:p>
            <w:pPr>
              <w:spacing w:after="0" w:line="209" w:lineRule="exact"/>
              <w:rPr>
                <w:sz w:val="20"/>
                <w:szCs w:val="20"/>
                <w:color w:val="auto"/>
              </w:rPr>
            </w:pPr>
            <w:r>
              <w:rPr>
                <w:rFonts w:ascii="Arial" w:cs="Arial" w:eastAsia="Arial" w:hAnsi="Arial"/>
                <w:sz w:val="22"/>
                <w:szCs w:val="22"/>
                <w:b w:val="1"/>
                <w:bCs w:val="1"/>
                <w:color w:val="53C072"/>
              </w:rPr>
              <w:t>Development Committee Report</w:t>
            </w:r>
            <w:r>
              <w:rPr>
                <w:rFonts w:ascii="Arial" w:cs="Arial" w:eastAsia="Arial" w:hAnsi="Arial"/>
                <w:sz w:val="17"/>
                <w:szCs w:val="17"/>
                <w:color w:val="000000"/>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57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260" w:type="dxa"/>
            <w:vAlign w:val="bottom"/>
            <w:tcBorders>
              <w:top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320" w:type="dxa"/>
            <w:vAlign w:val="bottom"/>
            <w:tcBorders>
              <w:top w:val="single" w:sz="8" w:color="53C072"/>
            </w:tcBorders>
            <w:shd w:val="clear" w:color="auto" w:fill="53C072"/>
          </w:tcPr>
          <w:p>
            <w:pPr>
              <w:spacing w:after="0" w:line="20" w:lineRule="exact"/>
              <w:rPr>
                <w:sz w:val="1"/>
                <w:szCs w:val="1"/>
                <w:color w:val="auto"/>
              </w:rPr>
            </w:pPr>
          </w:p>
        </w:tc>
        <w:tc>
          <w:tcPr>
            <w:tcW w:w="38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40" w:type="dxa"/>
            <w:vAlign w:val="bottom"/>
            <w:tcBorders>
              <w:top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53C072"/>
            </w:tcBorders>
            <w:shd w:val="clear" w:color="auto" w:fill="53C072"/>
          </w:tcPr>
          <w:p>
            <w:pPr>
              <w:spacing w:after="0" w:line="20" w:lineRule="exact"/>
              <w:rPr>
                <w:sz w:val="1"/>
                <w:szCs w:val="1"/>
                <w:color w:val="auto"/>
              </w:rPr>
            </w:pPr>
          </w:p>
        </w:tc>
        <w:tc>
          <w:tcPr>
            <w:tcW w:w="440" w:type="dxa"/>
            <w:vAlign w:val="bottom"/>
            <w:tcBorders>
              <w:top w:val="single" w:sz="8" w:color="53C072"/>
            </w:tcBorders>
            <w:shd w:val="clear" w:color="auto" w:fill="53C072"/>
          </w:tcPr>
          <w:p>
            <w:pPr>
              <w:spacing w:after="0" w:line="20" w:lineRule="exact"/>
              <w:rPr>
                <w:sz w:val="1"/>
                <w:szCs w:val="1"/>
                <w:color w:val="auto"/>
              </w:rPr>
            </w:pPr>
          </w:p>
        </w:tc>
        <w:tc>
          <w:tcPr>
            <w:tcW w:w="24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53C072"/>
            </w:tcBorders>
            <w:shd w:val="clear" w:color="auto" w:fill="53C072"/>
          </w:tcPr>
          <w:p>
            <w:pPr>
              <w:spacing w:after="0" w:line="20" w:lineRule="exact"/>
              <w:rPr>
                <w:sz w:val="1"/>
                <w:szCs w:val="1"/>
                <w:color w:val="auto"/>
              </w:rPr>
            </w:pPr>
          </w:p>
        </w:tc>
        <w:tc>
          <w:tcPr>
            <w:tcW w:w="60" w:type="dxa"/>
            <w:vAlign w:val="bottom"/>
            <w:tcBorders>
              <w:top w:val="single" w:sz="8" w:color="53C072"/>
            </w:tcBorders>
            <w:shd w:val="clear" w:color="auto" w:fill="53C072"/>
          </w:tcPr>
          <w:p>
            <w:pPr>
              <w:spacing w:after="0" w:line="20" w:lineRule="exact"/>
              <w:rPr>
                <w:sz w:val="1"/>
                <w:szCs w:val="1"/>
                <w:color w:val="auto"/>
              </w:rPr>
            </w:pPr>
          </w:p>
        </w:tc>
        <w:tc>
          <w:tcPr>
            <w:tcW w:w="1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60" w:type="dxa"/>
            <w:vAlign w:val="bottom"/>
            <w:tcBorders>
              <w:top w:val="single" w:sz="8" w:color="53C072"/>
              <w:left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CCEEFF"/>
            </w:tcBorders>
            <w:shd w:val="clear" w:color="auto" w:fill="53C072"/>
          </w:tcPr>
          <w:p>
            <w:pPr>
              <w:spacing w:after="0" w:line="20" w:lineRule="exact"/>
              <w:rPr>
                <w:sz w:val="1"/>
                <w:szCs w:val="1"/>
                <w:color w:val="auto"/>
              </w:rPr>
            </w:pPr>
          </w:p>
        </w:tc>
        <w:tc>
          <w:tcPr>
            <w:tcW w:w="100" w:type="dxa"/>
            <w:vAlign w:val="bottom"/>
            <w:tcBorders>
              <w:top w:val="single" w:sz="8" w:color="CCEEFF"/>
              <w:right w:val="single" w:sz="8" w:color="53C072"/>
            </w:tcBorders>
            <w:shd w:val="clear" w:color="auto" w:fill="53C072"/>
          </w:tcPr>
          <w:p>
            <w:pPr>
              <w:spacing w:after="0" w:line="20" w:lineRule="exact"/>
              <w:rPr>
                <w:sz w:val="1"/>
                <w:szCs w:val="1"/>
                <w:color w:val="auto"/>
              </w:rPr>
            </w:pPr>
          </w:p>
        </w:tc>
        <w:tc>
          <w:tcPr>
            <w:tcW w:w="20" w:type="dxa"/>
            <w:vAlign w:val="bottom"/>
            <w:tcBorders>
              <w:top w:val="single" w:sz="8" w:color="CCEEFF"/>
            </w:tcBorders>
            <w:shd w:val="clear" w:color="auto" w:fill="53C072"/>
          </w:tcPr>
          <w:p>
            <w:pPr>
              <w:spacing w:after="0" w:line="20" w:lineRule="exact"/>
              <w:rPr>
                <w:sz w:val="1"/>
                <w:szCs w:val="1"/>
                <w:color w:val="auto"/>
              </w:rPr>
            </w:pPr>
          </w:p>
        </w:tc>
        <w:tc>
          <w:tcPr>
            <w:tcW w:w="60" w:type="dxa"/>
            <w:vAlign w:val="bottom"/>
            <w:tcBorders>
              <w:top w:val="single" w:sz="8" w:color="CCEEFF"/>
            </w:tcBorders>
            <w:shd w:val="clear" w:color="auto" w:fill="53C072"/>
          </w:tcPr>
          <w:p>
            <w:pPr>
              <w:spacing w:after="0" w:line="20" w:lineRule="exact"/>
              <w:rPr>
                <w:sz w:val="1"/>
                <w:szCs w:val="1"/>
                <w:color w:val="auto"/>
              </w:rPr>
            </w:pPr>
          </w:p>
        </w:tc>
        <w:tc>
          <w:tcPr>
            <w:tcW w:w="20" w:type="dxa"/>
            <w:vAlign w:val="bottom"/>
            <w:tcBorders>
              <w:top w:val="single" w:sz="8" w:color="CCEEFF"/>
            </w:tcBorders>
            <w:shd w:val="clear" w:color="auto" w:fill="53C072"/>
          </w:tcPr>
          <w:p>
            <w:pPr>
              <w:spacing w:after="0" w:line="20" w:lineRule="exact"/>
              <w:rPr>
                <w:sz w:val="1"/>
                <w:szCs w:val="1"/>
                <w:color w:val="auto"/>
              </w:rPr>
            </w:pPr>
          </w:p>
        </w:tc>
        <w:tc>
          <w:tcPr>
            <w:tcW w:w="20" w:type="dxa"/>
            <w:vAlign w:val="bottom"/>
            <w:tcBorders>
              <w:top w:val="single" w:sz="8" w:color="CCEEFF"/>
            </w:tcBorders>
            <w:shd w:val="clear" w:color="auto" w:fill="53C072"/>
          </w:tcPr>
          <w:p>
            <w:pPr>
              <w:spacing w:after="0" w:line="20" w:lineRule="exact"/>
              <w:rPr>
                <w:sz w:val="1"/>
                <w:szCs w:val="1"/>
                <w:color w:val="auto"/>
              </w:rPr>
            </w:pPr>
          </w:p>
        </w:tc>
        <w:tc>
          <w:tcPr>
            <w:tcW w:w="20" w:type="dxa"/>
            <w:vAlign w:val="bottom"/>
            <w:tcBorders>
              <w:top w:val="single" w:sz="8" w:color="CCEEFF"/>
            </w:tcBorders>
            <w:shd w:val="clear" w:color="auto" w:fill="53C072"/>
          </w:tcPr>
          <w:p>
            <w:pPr>
              <w:spacing w:after="0" w:line="20" w:lineRule="exact"/>
              <w:rPr>
                <w:sz w:val="1"/>
                <w:szCs w:val="1"/>
                <w:color w:val="auto"/>
              </w:rPr>
            </w:pPr>
          </w:p>
        </w:tc>
        <w:tc>
          <w:tcPr>
            <w:tcW w:w="12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200" w:type="dxa"/>
            <w:vAlign w:val="bottom"/>
            <w:tcBorders>
              <w:top w:val="single" w:sz="8" w:color="0000EE"/>
            </w:tcBorders>
            <w:shd w:val="clear" w:color="auto" w:fill="53C0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080" w:type="dxa"/>
            <w:vAlign w:val="bottom"/>
            <w:gridSpan w:val="27"/>
          </w:tcPr>
          <w:p>
            <w:pPr>
              <w:spacing w:after="0"/>
              <w:rPr>
                <w:sz w:val="20"/>
                <w:szCs w:val="20"/>
                <w:color w:val="auto"/>
              </w:rPr>
            </w:pPr>
            <w:r>
              <w:rPr>
                <w:rFonts w:ascii="Arial" w:cs="Arial" w:eastAsia="Arial" w:hAnsi="Arial"/>
                <w:sz w:val="22"/>
                <w:szCs w:val="22"/>
                <w:b w:val="1"/>
                <w:bCs w:val="1"/>
                <w:color w:val="53C072"/>
              </w:rPr>
              <w:t>Compensation of Executive Officers</w:t>
            </w:r>
            <w:r>
              <w:rPr>
                <w:rFonts w:ascii="Arial" w:cs="Arial" w:eastAsia="Arial" w:hAnsi="Arial"/>
                <w:sz w:val="17"/>
                <w:szCs w:val="17"/>
                <w:color w:val="000000"/>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0000EE"/>
              </w:rPr>
              <w:t>58</w:t>
            </w:r>
          </w:p>
        </w:tc>
        <w:tc>
          <w:tcPr>
            <w:tcW w:w="0" w:type="dxa"/>
            <w:vAlign w:val="bottom"/>
          </w:tcPr>
          <w:p>
            <w:pPr>
              <w:spacing w:after="0"/>
              <w:rPr>
                <w:sz w:val="1"/>
                <w:szCs w:val="1"/>
                <w:color w:val="auto"/>
              </w:rPr>
            </w:pPr>
          </w:p>
        </w:tc>
      </w:tr>
      <w:tr>
        <w:trPr>
          <w:trHeight w:val="34"/>
        </w:trPr>
        <w:tc>
          <w:tcPr>
            <w:tcW w:w="18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26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320" w:type="dxa"/>
            <w:vAlign w:val="bottom"/>
            <w:tcBorders>
              <w:top w:val="single" w:sz="8" w:color="53C072"/>
              <w:bottom w:val="single" w:sz="8" w:color="53C072"/>
            </w:tcBorders>
          </w:tcPr>
          <w:p>
            <w:pPr>
              <w:spacing w:after="0"/>
              <w:rPr>
                <w:sz w:val="2"/>
                <w:szCs w:val="2"/>
                <w:color w:val="auto"/>
              </w:rPr>
            </w:pPr>
          </w:p>
        </w:tc>
        <w:tc>
          <w:tcPr>
            <w:tcW w:w="380" w:type="dxa"/>
            <w:vAlign w:val="bottom"/>
            <w:tcBorders>
              <w:top w:val="single" w:sz="8" w:color="53C072"/>
              <w:bottom w:val="single" w:sz="8" w:color="53C072"/>
            </w:tcBorders>
          </w:tcPr>
          <w:p>
            <w:pPr>
              <w:spacing w:after="0"/>
              <w:rPr>
                <w:sz w:val="2"/>
                <w:szCs w:val="2"/>
                <w:color w:val="auto"/>
              </w:rPr>
            </w:pPr>
          </w:p>
        </w:tc>
        <w:tc>
          <w:tcPr>
            <w:tcW w:w="24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440" w:type="dxa"/>
            <w:vAlign w:val="bottom"/>
            <w:tcBorders>
              <w:top w:val="single" w:sz="8" w:color="53C072"/>
              <w:bottom w:val="single" w:sz="8" w:color="53C072"/>
            </w:tcBorders>
          </w:tcPr>
          <w:p>
            <w:pPr>
              <w:spacing w:after="0"/>
              <w:rPr>
                <w:sz w:val="2"/>
                <w:szCs w:val="2"/>
                <w:color w:val="auto"/>
              </w:rPr>
            </w:pPr>
          </w:p>
        </w:tc>
        <w:tc>
          <w:tcPr>
            <w:tcW w:w="24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120" w:type="dxa"/>
            <w:vAlign w:val="bottom"/>
            <w:tcBorders>
              <w:top w:val="single" w:sz="8" w:color="53C072"/>
              <w:bottom w:val="single" w:sz="8" w:color="53C072"/>
            </w:tcBorders>
          </w:tcPr>
          <w:p>
            <w:pPr>
              <w:spacing w:after="0"/>
              <w:rPr>
                <w:sz w:val="2"/>
                <w:szCs w:val="2"/>
                <w:color w:val="auto"/>
              </w:rPr>
            </w:pPr>
          </w:p>
        </w:tc>
        <w:tc>
          <w:tcPr>
            <w:tcW w:w="60" w:type="dxa"/>
            <w:vAlign w:val="bottom"/>
            <w:tcBorders>
              <w:top w:val="single" w:sz="8" w:color="53C072"/>
              <w:bottom w:val="single" w:sz="8" w:color="53C072"/>
            </w:tcBorders>
          </w:tcPr>
          <w:p>
            <w:pPr>
              <w:spacing w:after="0"/>
              <w:rPr>
                <w:sz w:val="2"/>
                <w:szCs w:val="2"/>
                <w:color w:val="auto"/>
              </w:rPr>
            </w:pPr>
          </w:p>
        </w:tc>
        <w:tc>
          <w:tcPr>
            <w:tcW w:w="160" w:type="dxa"/>
            <w:vAlign w:val="bottom"/>
            <w:tcBorders>
              <w:top w:val="single" w:sz="8" w:color="53C072"/>
              <w:bottom w:val="single" w:sz="8" w:color="53C072"/>
            </w:tcBorders>
          </w:tcPr>
          <w:p>
            <w:pPr>
              <w:spacing w:after="0"/>
              <w:rPr>
                <w:sz w:val="2"/>
                <w:szCs w:val="2"/>
                <w:color w:val="auto"/>
              </w:rPr>
            </w:pPr>
          </w:p>
        </w:tc>
        <w:tc>
          <w:tcPr>
            <w:tcW w:w="260" w:type="dxa"/>
            <w:vAlign w:val="bottom"/>
            <w:tcBorders>
              <w:top w:val="single" w:sz="8" w:color="53C072"/>
              <w:bottom w:val="single" w:sz="8" w:color="53C072"/>
            </w:tcBorders>
          </w:tcPr>
          <w:p>
            <w:pPr>
              <w:spacing w:after="0"/>
              <w:rPr>
                <w:sz w:val="2"/>
                <w:szCs w:val="2"/>
                <w:color w:val="auto"/>
              </w:rPr>
            </w:pPr>
          </w:p>
        </w:tc>
        <w:tc>
          <w:tcPr>
            <w:tcW w:w="16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12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20" w:type="dxa"/>
            <w:vAlign w:val="bottom"/>
            <w:tcBorders>
              <w:top w:val="single" w:sz="8" w:color="53C072"/>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2420" w:type="dxa"/>
            <w:vAlign w:val="bottom"/>
            <w:gridSpan w:val="10"/>
            <w:shd w:val="clear" w:color="auto" w:fill="CCEEFF"/>
          </w:tcPr>
          <w:p>
            <w:pPr>
              <w:spacing w:after="0"/>
              <w:rPr>
                <w:sz w:val="20"/>
                <w:szCs w:val="20"/>
                <w:color w:val="auto"/>
              </w:rPr>
            </w:pPr>
            <w:r>
              <w:rPr>
                <w:rFonts w:ascii="Arial" w:cs="Arial" w:eastAsia="Arial" w:hAnsi="Arial"/>
                <w:sz w:val="18"/>
                <w:szCs w:val="18"/>
                <w:color w:val="0000EE"/>
                <w:w w:val="96"/>
              </w:rPr>
              <w:t>Summary Compensation Table</w:t>
            </w:r>
          </w:p>
        </w:tc>
        <w:tc>
          <w:tcPr>
            <w:tcW w:w="1480" w:type="dxa"/>
            <w:vAlign w:val="bottom"/>
            <w:gridSpan w:val="16"/>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020" w:type="dxa"/>
            <w:vAlign w:val="bottom"/>
            <w:gridSpan w:val="14"/>
          </w:tcPr>
          <w:p>
            <w:pPr>
              <w:spacing w:after="0" w:line="169" w:lineRule="exact"/>
              <w:rPr>
                <w:sz w:val="20"/>
                <w:szCs w:val="20"/>
                <w:color w:val="auto"/>
              </w:rPr>
            </w:pPr>
            <w:r>
              <w:rPr>
                <w:rFonts w:ascii="Arial" w:cs="Arial" w:eastAsia="Arial" w:hAnsi="Arial"/>
                <w:sz w:val="18"/>
                <w:szCs w:val="18"/>
                <w:color w:val="0000EE"/>
                <w:w w:val="97"/>
              </w:rPr>
              <w:t>Equity Compensation Plan Information</w:t>
            </w:r>
          </w:p>
        </w:tc>
        <w:tc>
          <w:tcPr>
            <w:tcW w:w="880" w:type="dxa"/>
            <w:vAlign w:val="bottom"/>
            <w:gridSpan w:val="12"/>
          </w:tcPr>
          <w:p>
            <w:pPr>
              <w:spacing w:after="0"/>
              <w:rPr>
                <w:sz w:val="14"/>
                <w:szCs w:val="14"/>
                <w:color w:val="auto"/>
              </w:rPr>
            </w:pPr>
          </w:p>
        </w:tc>
        <w:tc>
          <w:tcPr>
            <w:tcW w:w="280" w:type="dxa"/>
            <w:vAlign w:val="bottom"/>
            <w:gridSpan w:val="2"/>
          </w:tcPr>
          <w:p>
            <w:pPr>
              <w:jc w:val="right"/>
              <w:spacing w:after="0" w:line="169" w:lineRule="exact"/>
              <w:rPr>
                <w:sz w:val="20"/>
                <w:szCs w:val="20"/>
                <w:color w:val="auto"/>
              </w:rPr>
            </w:pPr>
            <w:r>
              <w:rPr>
                <w:rFonts w:ascii="Arial" w:cs="Arial" w:eastAsia="Arial" w:hAnsi="Arial"/>
                <w:sz w:val="18"/>
                <w:szCs w:val="18"/>
                <w:color w:val="0000EE"/>
              </w:rPr>
              <w:t>59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020" w:type="dxa"/>
            <w:vAlign w:val="bottom"/>
            <w:tcBorders>
              <w:right w:val="single" w:sz="8" w:color="CCEEFF"/>
            </w:tcBorders>
            <w:gridSpan w:val="14"/>
            <w:shd w:val="clear" w:color="auto" w:fill="CCEEFF"/>
          </w:tcPr>
          <w:p>
            <w:pPr>
              <w:spacing w:after="0" w:line="169" w:lineRule="exact"/>
              <w:rPr>
                <w:sz w:val="20"/>
                <w:szCs w:val="20"/>
                <w:color w:val="auto"/>
              </w:rPr>
            </w:pPr>
            <w:r>
              <w:rPr>
                <w:rFonts w:ascii="Arial" w:cs="Arial" w:eastAsia="Arial" w:hAnsi="Arial"/>
                <w:sz w:val="18"/>
                <w:szCs w:val="18"/>
                <w:color w:val="0000EE"/>
              </w:rPr>
              <w:t>Grants of Plan-Based Awards</w:t>
            </w:r>
          </w:p>
        </w:tc>
        <w:tc>
          <w:tcPr>
            <w:tcW w:w="880" w:type="dxa"/>
            <w:vAlign w:val="bottom"/>
            <w:tcBorders>
              <w:left w:val="single" w:sz="8" w:color="CCEEFF"/>
            </w:tcBorders>
            <w:gridSpan w:val="12"/>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rPr>
              <w:t>60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900" w:type="dxa"/>
            <w:vAlign w:val="bottom"/>
            <w:gridSpan w:val="26"/>
          </w:tcPr>
          <w:p>
            <w:pPr>
              <w:spacing w:after="0" w:line="169" w:lineRule="exact"/>
              <w:rPr>
                <w:sz w:val="20"/>
                <w:szCs w:val="20"/>
                <w:color w:val="auto"/>
              </w:rPr>
            </w:pPr>
            <w:r>
              <w:rPr>
                <w:rFonts w:ascii="Arial" w:cs="Arial" w:eastAsia="Arial" w:hAnsi="Arial"/>
                <w:sz w:val="18"/>
                <w:szCs w:val="18"/>
                <w:color w:val="0000EE"/>
              </w:rPr>
              <w:t>Outstanding Equity Awards at Fiscal Year-End</w:t>
            </w:r>
          </w:p>
        </w:tc>
        <w:tc>
          <w:tcPr>
            <w:tcW w:w="280" w:type="dxa"/>
            <w:vAlign w:val="bottom"/>
            <w:gridSpan w:val="2"/>
          </w:tcPr>
          <w:p>
            <w:pPr>
              <w:jc w:val="right"/>
              <w:spacing w:after="0" w:line="169" w:lineRule="exact"/>
              <w:rPr>
                <w:sz w:val="20"/>
                <w:szCs w:val="20"/>
                <w:color w:val="auto"/>
              </w:rPr>
            </w:pPr>
            <w:r>
              <w:rPr>
                <w:rFonts w:ascii="Arial" w:cs="Arial" w:eastAsia="Arial" w:hAnsi="Arial"/>
                <w:sz w:val="18"/>
                <w:szCs w:val="18"/>
                <w:color w:val="0000EE"/>
              </w:rPr>
              <w:t>61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2760" w:type="dxa"/>
            <w:vAlign w:val="bottom"/>
            <w:tcBorders>
              <w:right w:val="single" w:sz="8" w:color="CCEEFF"/>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6"/>
              </w:rPr>
              <w:t>Option Exercises and Stock Vested</w:t>
            </w:r>
          </w:p>
        </w:tc>
        <w:tc>
          <w:tcPr>
            <w:tcW w:w="1140" w:type="dxa"/>
            <w:vAlign w:val="bottom"/>
            <w:gridSpan w:val="13"/>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EE"/>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2760" w:type="dxa"/>
            <w:vAlign w:val="bottom"/>
            <w:gridSpan w:val="13"/>
          </w:tcPr>
          <w:p>
            <w:pPr>
              <w:spacing w:after="0" w:line="169" w:lineRule="exact"/>
              <w:rPr>
                <w:sz w:val="20"/>
                <w:szCs w:val="20"/>
                <w:color w:val="auto"/>
              </w:rPr>
            </w:pPr>
            <w:r>
              <w:rPr>
                <w:rFonts w:ascii="Arial" w:cs="Arial" w:eastAsia="Arial" w:hAnsi="Arial"/>
                <w:sz w:val="18"/>
                <w:szCs w:val="18"/>
                <w:color w:val="0000EE"/>
              </w:rPr>
              <w:t>Pension Benefits</w:t>
            </w:r>
          </w:p>
        </w:tc>
        <w:tc>
          <w:tcPr>
            <w:tcW w:w="1140" w:type="dxa"/>
            <w:vAlign w:val="bottom"/>
            <w:gridSpan w:val="13"/>
          </w:tcPr>
          <w:p>
            <w:pPr>
              <w:spacing w:after="0"/>
              <w:rPr>
                <w:sz w:val="14"/>
                <w:szCs w:val="14"/>
                <w:color w:val="auto"/>
              </w:rPr>
            </w:pPr>
          </w:p>
        </w:tc>
        <w:tc>
          <w:tcPr>
            <w:tcW w:w="280" w:type="dxa"/>
            <w:vAlign w:val="bottom"/>
            <w:gridSpan w:val="2"/>
          </w:tcPr>
          <w:p>
            <w:pPr>
              <w:jc w:val="right"/>
              <w:spacing w:after="0" w:line="169" w:lineRule="exact"/>
              <w:rPr>
                <w:sz w:val="20"/>
                <w:szCs w:val="20"/>
                <w:color w:val="auto"/>
              </w:rPr>
            </w:pPr>
            <w:r>
              <w:rPr>
                <w:rFonts w:ascii="Arial" w:cs="Arial" w:eastAsia="Arial" w:hAnsi="Arial"/>
                <w:sz w:val="18"/>
                <w:szCs w:val="18"/>
                <w:color w:val="0000EE"/>
              </w:rPr>
              <w:t>62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900" w:type="dxa"/>
            <w:vAlign w:val="bottom"/>
            <w:gridSpan w:val="26"/>
            <w:shd w:val="clear" w:color="auto" w:fill="CCEEFF"/>
          </w:tcPr>
          <w:p>
            <w:pPr>
              <w:spacing w:after="0" w:line="169" w:lineRule="exact"/>
              <w:rPr>
                <w:sz w:val="20"/>
                <w:szCs w:val="20"/>
                <w:color w:val="auto"/>
              </w:rPr>
            </w:pPr>
            <w:r>
              <w:rPr>
                <w:rFonts w:ascii="Arial" w:cs="Arial" w:eastAsia="Arial" w:hAnsi="Arial"/>
                <w:sz w:val="18"/>
                <w:szCs w:val="18"/>
                <w:color w:val="0000EE"/>
                <w:w w:val="99"/>
              </w:rPr>
              <w:t>Potential Payouts Upon Termination and Change</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0000EE"/>
              </w:rPr>
              <w:t>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3820" w:type="dxa"/>
            <w:vAlign w:val="bottom"/>
            <w:tcBorders>
              <w:top w:val="single" w:sz="8" w:color="0000EE"/>
            </w:tcBorders>
            <w:gridSpan w:val="25"/>
            <w:shd w:val="clear" w:color="auto" w:fill="CCEEFF"/>
          </w:tcPr>
          <w:p>
            <w:pPr>
              <w:ind w:left="180"/>
              <w:spacing w:after="0" w:line="196" w:lineRule="exact"/>
              <w:rPr>
                <w:sz w:val="20"/>
                <w:szCs w:val="20"/>
                <w:color w:val="auto"/>
              </w:rPr>
            </w:pPr>
            <w:r>
              <w:rPr>
                <w:rFonts w:ascii="Arial" w:cs="Arial" w:eastAsia="Arial" w:hAnsi="Arial"/>
                <w:sz w:val="18"/>
                <w:szCs w:val="18"/>
                <w:color w:val="0000EE"/>
              </w:rPr>
              <w:t>of Control</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gridSpan w:val="2"/>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4080" w:type="dxa"/>
            <w:vAlign w:val="bottom"/>
            <w:gridSpan w:val="27"/>
          </w:tcPr>
          <w:p>
            <w:pPr>
              <w:spacing w:after="0"/>
              <w:rPr>
                <w:sz w:val="20"/>
                <w:szCs w:val="20"/>
                <w:color w:val="auto"/>
              </w:rPr>
            </w:pPr>
            <w:r>
              <w:rPr>
                <w:rFonts w:ascii="Arial" w:cs="Arial" w:eastAsia="Arial" w:hAnsi="Arial"/>
                <w:sz w:val="22"/>
                <w:szCs w:val="22"/>
                <w:b w:val="1"/>
                <w:bCs w:val="1"/>
                <w:color w:val="53C072"/>
              </w:rPr>
              <w:t>CEO Pay Ratio</w:t>
            </w:r>
            <w:r>
              <w:rPr>
                <w:rFonts w:ascii="Arial" w:cs="Arial" w:eastAsia="Arial" w:hAnsi="Arial"/>
                <w:sz w:val="17"/>
                <w:szCs w:val="17"/>
                <w:color w:val="000000"/>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0000EE"/>
              </w:rPr>
              <w:t>67</w:t>
            </w:r>
          </w:p>
        </w:tc>
        <w:tc>
          <w:tcPr>
            <w:tcW w:w="0" w:type="dxa"/>
            <w:vAlign w:val="bottom"/>
          </w:tcPr>
          <w:p>
            <w:pPr>
              <w:spacing w:after="0"/>
              <w:rPr>
                <w:sz w:val="1"/>
                <w:szCs w:val="1"/>
                <w:color w:val="auto"/>
              </w:rPr>
            </w:pPr>
          </w:p>
        </w:tc>
      </w:tr>
      <w:tr>
        <w:trPr>
          <w:trHeight w:val="34"/>
        </w:trPr>
        <w:tc>
          <w:tcPr>
            <w:tcW w:w="18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26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320" w:type="dxa"/>
            <w:vAlign w:val="bottom"/>
            <w:tcBorders>
              <w:top w:val="single" w:sz="8" w:color="53C072"/>
              <w:bottom w:val="single" w:sz="8" w:color="53C072"/>
            </w:tcBorders>
          </w:tcPr>
          <w:p>
            <w:pPr>
              <w:spacing w:after="0"/>
              <w:rPr>
                <w:sz w:val="2"/>
                <w:szCs w:val="2"/>
                <w:color w:val="auto"/>
              </w:rPr>
            </w:pPr>
          </w:p>
        </w:tc>
        <w:tc>
          <w:tcPr>
            <w:tcW w:w="380" w:type="dxa"/>
            <w:vAlign w:val="bottom"/>
            <w:tcBorders>
              <w:top w:val="single" w:sz="8" w:color="53C072"/>
              <w:bottom w:val="single" w:sz="8" w:color="53C072"/>
            </w:tcBorders>
          </w:tcPr>
          <w:p>
            <w:pPr>
              <w:spacing w:after="0"/>
              <w:rPr>
                <w:sz w:val="2"/>
                <w:szCs w:val="2"/>
                <w:color w:val="auto"/>
              </w:rPr>
            </w:pPr>
          </w:p>
        </w:tc>
        <w:tc>
          <w:tcPr>
            <w:tcW w:w="2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440" w:type="dxa"/>
            <w:vAlign w:val="bottom"/>
            <w:tcBorders>
              <w:bottom w:val="single" w:sz="8" w:color="53C072"/>
            </w:tcBorders>
          </w:tcPr>
          <w:p>
            <w:pPr>
              <w:spacing w:after="0"/>
              <w:rPr>
                <w:sz w:val="2"/>
                <w:szCs w:val="2"/>
                <w:color w:val="auto"/>
              </w:rPr>
            </w:pPr>
          </w:p>
        </w:tc>
        <w:tc>
          <w:tcPr>
            <w:tcW w:w="24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26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4080" w:type="dxa"/>
            <w:vAlign w:val="bottom"/>
            <w:gridSpan w:val="27"/>
            <w:shd w:val="clear" w:color="auto" w:fill="CCEEFF"/>
          </w:tcPr>
          <w:p>
            <w:pPr>
              <w:spacing w:after="0"/>
              <w:rPr>
                <w:sz w:val="20"/>
                <w:szCs w:val="20"/>
                <w:color w:val="auto"/>
              </w:rPr>
            </w:pPr>
            <w:r>
              <w:rPr>
                <w:rFonts w:ascii="Arial" w:cs="Arial" w:eastAsia="Arial" w:hAnsi="Arial"/>
                <w:sz w:val="22"/>
                <w:szCs w:val="22"/>
                <w:b w:val="1"/>
                <w:bCs w:val="1"/>
                <w:color w:val="53C072"/>
              </w:rPr>
              <w:t>Pay Versus Performance</w:t>
            </w:r>
            <w:r>
              <w:rPr>
                <w:rFonts w:ascii="Arial" w:cs="Arial" w:eastAsia="Arial" w:hAnsi="Arial"/>
                <w:sz w:val="17"/>
                <w:szCs w:val="17"/>
                <w:b w:val="1"/>
                <w:bCs w:val="1"/>
                <w:color w:val="000000"/>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560" w:type="dxa"/>
            <w:vAlign w:val="bottom"/>
            <w:tcBorders>
              <w:top w:val="single" w:sz="8" w:color="53C072"/>
              <w:bottom w:val="single" w:sz="8" w:color="53C072"/>
            </w:tcBorders>
            <w:gridSpan w:val="18"/>
          </w:tcPr>
          <w:p>
            <w:pPr>
              <w:spacing w:after="0"/>
              <w:rPr>
                <w:sz w:val="20"/>
                <w:szCs w:val="20"/>
                <w:color w:val="auto"/>
              </w:rPr>
            </w:pPr>
            <w:r>
              <w:rPr>
                <w:rFonts w:ascii="Arial" w:cs="Arial" w:eastAsia="Arial" w:hAnsi="Arial"/>
                <w:sz w:val="22"/>
                <w:szCs w:val="22"/>
                <w:b w:val="1"/>
                <w:bCs w:val="1"/>
                <w:color w:val="53C072"/>
                <w:w w:val="98"/>
              </w:rPr>
              <w:t>Proposal 3 — Approval of the 2025</w:t>
            </w:r>
          </w:p>
        </w:tc>
        <w:tc>
          <w:tcPr>
            <w:tcW w:w="520" w:type="dxa"/>
            <w:vAlign w:val="bottom"/>
            <w:tcBorders>
              <w:top w:val="single" w:sz="8" w:color="53C072"/>
            </w:tcBorders>
            <w:gridSpan w:val="9"/>
          </w:tcPr>
          <w:p>
            <w:pPr>
              <w:spacing w:after="0"/>
              <w:rPr>
                <w:sz w:val="24"/>
                <w:szCs w:val="24"/>
                <w:color w:val="auto"/>
              </w:rPr>
            </w:pPr>
          </w:p>
        </w:tc>
        <w:tc>
          <w:tcPr>
            <w:tcW w:w="80" w:type="dxa"/>
            <w:vAlign w:val="bottom"/>
            <w:tcBorders>
              <w:top w:val="single" w:sz="8" w:color="53C072"/>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3900" w:type="dxa"/>
            <w:vAlign w:val="bottom"/>
            <w:gridSpan w:val="26"/>
          </w:tcPr>
          <w:p>
            <w:pPr>
              <w:spacing w:after="0" w:line="237" w:lineRule="exact"/>
              <w:rPr>
                <w:sz w:val="20"/>
                <w:szCs w:val="20"/>
                <w:color w:val="auto"/>
              </w:rPr>
            </w:pPr>
            <w:r>
              <w:rPr>
                <w:rFonts w:ascii="Arial" w:cs="Arial" w:eastAsia="Arial" w:hAnsi="Arial"/>
                <w:sz w:val="22"/>
                <w:szCs w:val="22"/>
                <w:b w:val="1"/>
                <w:bCs w:val="1"/>
                <w:color w:val="53C072"/>
              </w:rPr>
              <w:t>Stock Compensation and Incentive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3620" w:type="dxa"/>
            <w:vAlign w:val="bottom"/>
            <w:tcBorders>
              <w:top w:val="single" w:sz="8" w:color="53C072"/>
            </w:tcBorders>
            <w:gridSpan w:val="23"/>
          </w:tcPr>
          <w:p>
            <w:pPr>
              <w:spacing w:after="0" w:line="195" w:lineRule="exact"/>
              <w:rPr>
                <w:sz w:val="20"/>
                <w:szCs w:val="20"/>
                <w:color w:val="auto"/>
              </w:rPr>
            </w:pPr>
            <w:r>
              <w:rPr>
                <w:rFonts w:ascii="Arial" w:cs="Arial" w:eastAsia="Arial" w:hAnsi="Arial"/>
                <w:sz w:val="22"/>
                <w:szCs w:val="22"/>
                <w:b w:val="1"/>
                <w:bCs w:val="1"/>
                <w:color w:val="53C072"/>
              </w:rPr>
              <w:t>Plan</w:t>
            </w:r>
          </w:p>
        </w:tc>
        <w:tc>
          <w:tcPr>
            <w:tcW w:w="280" w:type="dxa"/>
            <w:vAlign w:val="bottom"/>
            <w:gridSpan w:val="3"/>
          </w:tcPr>
          <w:p>
            <w:pPr>
              <w:spacing w:after="0"/>
              <w:rPr>
                <w:sz w:val="19"/>
                <w:szCs w:val="19"/>
                <w:color w:val="auto"/>
              </w:rPr>
            </w:pPr>
          </w:p>
        </w:tc>
        <w:tc>
          <w:tcPr>
            <w:tcW w:w="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0000EE"/>
              </w:rPr>
              <w:t>72</w:t>
            </w:r>
          </w:p>
        </w:tc>
        <w:tc>
          <w:tcPr>
            <w:tcW w:w="0" w:type="dxa"/>
            <w:vAlign w:val="bottom"/>
          </w:tcPr>
          <w:p>
            <w:pPr>
              <w:spacing w:after="0"/>
              <w:rPr>
                <w:sz w:val="1"/>
                <w:szCs w:val="1"/>
                <w:color w:val="auto"/>
              </w:rPr>
            </w:pPr>
          </w:p>
        </w:tc>
      </w:tr>
      <w:tr>
        <w:trPr>
          <w:trHeight w:val="28"/>
        </w:trPr>
        <w:tc>
          <w:tcPr>
            <w:tcW w:w="180" w:type="dxa"/>
            <w:vAlign w:val="bottom"/>
            <w:tcBorders>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260" w:type="dxa"/>
            <w:vAlign w:val="bottom"/>
            <w:tcBorders>
              <w:top w:val="single" w:sz="8" w:color="53C072"/>
              <w:bottom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320" w:type="dxa"/>
            <w:vAlign w:val="bottom"/>
            <w:tcBorders>
              <w:bottom w:val="single" w:sz="8" w:color="53C072"/>
            </w:tcBorders>
          </w:tcPr>
          <w:p>
            <w:pPr>
              <w:spacing w:after="0"/>
              <w:rPr>
                <w:sz w:val="2"/>
                <w:szCs w:val="2"/>
                <w:color w:val="auto"/>
              </w:rPr>
            </w:pPr>
          </w:p>
        </w:tc>
        <w:tc>
          <w:tcPr>
            <w:tcW w:w="380" w:type="dxa"/>
            <w:vAlign w:val="bottom"/>
            <w:tcBorders>
              <w:bottom w:val="single" w:sz="8" w:color="53C072"/>
            </w:tcBorders>
          </w:tcPr>
          <w:p>
            <w:pPr>
              <w:spacing w:after="0"/>
              <w:rPr>
                <w:sz w:val="2"/>
                <w:szCs w:val="2"/>
                <w:color w:val="auto"/>
              </w:rPr>
            </w:pPr>
          </w:p>
        </w:tc>
        <w:tc>
          <w:tcPr>
            <w:tcW w:w="2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440" w:type="dxa"/>
            <w:vAlign w:val="bottom"/>
            <w:tcBorders>
              <w:bottom w:val="single" w:sz="8" w:color="53C072"/>
            </w:tcBorders>
          </w:tcPr>
          <w:p>
            <w:pPr>
              <w:spacing w:after="0"/>
              <w:rPr>
                <w:sz w:val="2"/>
                <w:szCs w:val="2"/>
                <w:color w:val="auto"/>
              </w:rPr>
            </w:pPr>
          </w:p>
        </w:tc>
        <w:tc>
          <w:tcPr>
            <w:tcW w:w="24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26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940" w:type="dxa"/>
            <w:vAlign w:val="bottom"/>
            <w:tcBorders>
              <w:bottom w:val="single" w:sz="8" w:color="53C072"/>
              <w:right w:val="single" w:sz="8" w:color="CCEEFF"/>
            </w:tcBorders>
            <w:gridSpan w:val="14"/>
            <w:shd w:val="clear" w:color="auto" w:fill="CCEEFF"/>
          </w:tcPr>
          <w:p>
            <w:pPr>
              <w:spacing w:after="0"/>
              <w:rPr>
                <w:sz w:val="20"/>
                <w:szCs w:val="20"/>
                <w:color w:val="auto"/>
              </w:rPr>
            </w:pPr>
            <w:r>
              <w:rPr>
                <w:rFonts w:ascii="Arial" w:cs="Arial" w:eastAsia="Arial" w:hAnsi="Arial"/>
                <w:sz w:val="22"/>
                <w:szCs w:val="22"/>
                <w:b w:val="1"/>
                <w:bCs w:val="1"/>
                <w:color w:val="53C072"/>
                <w:w w:val="99"/>
              </w:rPr>
              <w:t>Proposal 4 — Ratification of</w:t>
            </w:r>
          </w:p>
        </w:tc>
        <w:tc>
          <w:tcPr>
            <w:tcW w:w="1140" w:type="dxa"/>
            <w:vAlign w:val="bottom"/>
            <w:tcBorders>
              <w:bottom w:val="single" w:sz="8" w:color="CCEEFF"/>
            </w:tcBorders>
            <w:gridSpan w:val="13"/>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3900" w:type="dxa"/>
            <w:vAlign w:val="bottom"/>
            <w:gridSpan w:val="26"/>
            <w:shd w:val="clear" w:color="auto" w:fill="CCEEFF"/>
          </w:tcPr>
          <w:p>
            <w:pPr>
              <w:spacing w:after="0" w:line="237" w:lineRule="exact"/>
              <w:rPr>
                <w:sz w:val="20"/>
                <w:szCs w:val="20"/>
                <w:color w:val="auto"/>
              </w:rPr>
            </w:pPr>
            <w:r>
              <w:rPr>
                <w:rFonts w:ascii="Arial" w:cs="Arial" w:eastAsia="Arial" w:hAnsi="Arial"/>
                <w:sz w:val="22"/>
                <w:szCs w:val="22"/>
                <w:b w:val="1"/>
                <w:bCs w:val="1"/>
                <w:color w:val="53C072"/>
              </w:rPr>
              <w:t>Appointment of Independent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0" w:type="dxa"/>
            <w:vAlign w:val="bottom"/>
            <w:tcBorders>
              <w:top w:val="single" w:sz="8" w:color="CCEEFF"/>
            </w:tcBorders>
            <w:shd w:val="clear" w:color="auto" w:fill="CCEEFF"/>
          </w:tcPr>
          <w:p>
            <w:pPr>
              <w:spacing w:after="0"/>
              <w:rPr>
                <w:sz w:val="23"/>
                <w:szCs w:val="23"/>
                <w:color w:val="auto"/>
              </w:rPr>
            </w:pPr>
          </w:p>
        </w:tc>
        <w:tc>
          <w:tcPr>
            <w:tcW w:w="3020" w:type="dxa"/>
            <w:vAlign w:val="bottom"/>
            <w:tcBorders>
              <w:top w:val="single" w:sz="8" w:color="53C072"/>
              <w:right w:val="single" w:sz="8" w:color="CCEEFF"/>
            </w:tcBorders>
            <w:gridSpan w:val="14"/>
            <w:shd w:val="clear" w:color="auto" w:fill="CCEEFF"/>
          </w:tcPr>
          <w:p>
            <w:pPr>
              <w:spacing w:after="0" w:line="223" w:lineRule="exact"/>
              <w:rPr>
                <w:sz w:val="20"/>
                <w:szCs w:val="20"/>
                <w:color w:val="auto"/>
              </w:rPr>
            </w:pPr>
            <w:r>
              <w:rPr>
                <w:rFonts w:ascii="Arial" w:cs="Arial" w:eastAsia="Arial" w:hAnsi="Arial"/>
                <w:sz w:val="22"/>
                <w:szCs w:val="22"/>
                <w:b w:val="1"/>
                <w:bCs w:val="1"/>
                <w:color w:val="53C072"/>
                <w:w w:val="95"/>
              </w:rPr>
              <w:t>Registered Public Accounting</w:t>
            </w:r>
          </w:p>
        </w:tc>
        <w:tc>
          <w:tcPr>
            <w:tcW w:w="880" w:type="dxa"/>
            <w:vAlign w:val="bottom"/>
            <w:tcBorders>
              <w:top w:val="single" w:sz="8" w:color="CCEEFF"/>
              <w:left w:val="single" w:sz="8" w:color="CCEEFF"/>
            </w:tcBorders>
            <w:gridSpan w:val="12"/>
            <w:shd w:val="clear" w:color="auto" w:fill="CCEEFF"/>
          </w:tcPr>
          <w:p>
            <w:pPr>
              <w:ind w:left="100"/>
              <w:spacing w:after="0" w:line="223" w:lineRule="exact"/>
              <w:rPr>
                <w:sz w:val="20"/>
                <w:szCs w:val="20"/>
                <w:color w:val="auto"/>
              </w:rPr>
            </w:pPr>
            <w:r>
              <w:rPr>
                <w:rFonts w:ascii="Arial" w:cs="Arial" w:eastAsia="Arial" w:hAnsi="Arial"/>
                <w:sz w:val="22"/>
                <w:szCs w:val="22"/>
                <w:b w:val="1"/>
                <w:bCs w:val="1"/>
                <w:color w:val="53C072"/>
              </w:rPr>
              <w:t>Firm</w:t>
            </w:r>
            <w:r>
              <w:rPr>
                <w:rFonts w:ascii="Arial" w:cs="Arial" w:eastAsia="Arial" w:hAnsi="Arial"/>
                <w:sz w:val="17"/>
                <w:szCs w:val="17"/>
                <w:color w:val="53C072"/>
              </w:rPr>
              <w:t>​</w:t>
            </w: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0000EE"/>
              </w:rPr>
              <w:t>81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260" w:type="dxa"/>
            <w:vAlign w:val="bottom"/>
            <w:tcBorders>
              <w:top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320" w:type="dxa"/>
            <w:vAlign w:val="bottom"/>
            <w:tcBorders>
              <w:top w:val="single" w:sz="8" w:color="53C072"/>
            </w:tcBorders>
            <w:shd w:val="clear" w:color="auto" w:fill="53C072"/>
          </w:tcPr>
          <w:p>
            <w:pPr>
              <w:spacing w:after="0" w:line="20" w:lineRule="exact"/>
              <w:rPr>
                <w:sz w:val="1"/>
                <w:szCs w:val="1"/>
                <w:color w:val="auto"/>
              </w:rPr>
            </w:pPr>
          </w:p>
        </w:tc>
        <w:tc>
          <w:tcPr>
            <w:tcW w:w="38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40" w:type="dxa"/>
            <w:vAlign w:val="bottom"/>
            <w:tcBorders>
              <w:top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53C072"/>
            </w:tcBorders>
            <w:shd w:val="clear" w:color="auto" w:fill="53C072"/>
          </w:tcPr>
          <w:p>
            <w:pPr>
              <w:spacing w:after="0" w:line="20" w:lineRule="exact"/>
              <w:rPr>
                <w:sz w:val="1"/>
                <w:szCs w:val="1"/>
                <w:color w:val="auto"/>
              </w:rPr>
            </w:pPr>
          </w:p>
        </w:tc>
        <w:tc>
          <w:tcPr>
            <w:tcW w:w="440" w:type="dxa"/>
            <w:vAlign w:val="bottom"/>
            <w:tcBorders>
              <w:top w:val="single" w:sz="8" w:color="53C072"/>
            </w:tcBorders>
            <w:shd w:val="clear" w:color="auto" w:fill="53C072"/>
          </w:tcPr>
          <w:p>
            <w:pPr>
              <w:spacing w:after="0" w:line="20" w:lineRule="exact"/>
              <w:rPr>
                <w:sz w:val="1"/>
                <w:szCs w:val="1"/>
                <w:color w:val="auto"/>
              </w:rPr>
            </w:pPr>
          </w:p>
        </w:tc>
        <w:tc>
          <w:tcPr>
            <w:tcW w:w="24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53C072"/>
            </w:tcBorders>
            <w:shd w:val="clear" w:color="auto" w:fill="53C072"/>
          </w:tcPr>
          <w:p>
            <w:pPr>
              <w:spacing w:after="0" w:line="20" w:lineRule="exact"/>
              <w:rPr>
                <w:sz w:val="1"/>
                <w:szCs w:val="1"/>
                <w:color w:val="auto"/>
              </w:rPr>
            </w:pPr>
          </w:p>
        </w:tc>
        <w:tc>
          <w:tcPr>
            <w:tcW w:w="60" w:type="dxa"/>
            <w:vAlign w:val="bottom"/>
            <w:tcBorders>
              <w:top w:val="single" w:sz="8" w:color="53C072"/>
            </w:tcBorders>
            <w:shd w:val="clear" w:color="auto" w:fill="53C072"/>
          </w:tcPr>
          <w:p>
            <w:pPr>
              <w:spacing w:after="0" w:line="20" w:lineRule="exact"/>
              <w:rPr>
                <w:sz w:val="1"/>
                <w:szCs w:val="1"/>
                <w:color w:val="auto"/>
              </w:rPr>
            </w:pPr>
          </w:p>
        </w:tc>
        <w:tc>
          <w:tcPr>
            <w:tcW w:w="1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60" w:type="dxa"/>
            <w:vAlign w:val="bottom"/>
            <w:tcBorders>
              <w:top w:val="single" w:sz="8" w:color="53C072"/>
              <w:left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60" w:type="dxa"/>
            <w:vAlign w:val="bottom"/>
            <w:tcBorders>
              <w:top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20" w:type="dxa"/>
            <w:vAlign w:val="bottom"/>
            <w:tcBorders>
              <w:top w:val="single" w:sz="8" w:color="CCEEFF"/>
            </w:tcBorders>
            <w:shd w:val="clear" w:color="auto" w:fill="53C072"/>
          </w:tcPr>
          <w:p>
            <w:pPr>
              <w:spacing w:after="0" w:line="20" w:lineRule="exact"/>
              <w:rPr>
                <w:sz w:val="1"/>
                <w:szCs w:val="1"/>
                <w:color w:val="auto"/>
              </w:rPr>
            </w:pPr>
          </w:p>
        </w:tc>
        <w:tc>
          <w:tcPr>
            <w:tcW w:w="12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200" w:type="dxa"/>
            <w:vAlign w:val="bottom"/>
            <w:tcBorders>
              <w:top w:val="single" w:sz="8" w:color="0000EE"/>
            </w:tcBorders>
            <w:shd w:val="clear" w:color="auto" w:fill="53C0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080" w:type="dxa"/>
            <w:vAlign w:val="bottom"/>
            <w:gridSpan w:val="27"/>
          </w:tcPr>
          <w:p>
            <w:pPr>
              <w:spacing w:after="0"/>
              <w:rPr>
                <w:sz w:val="20"/>
                <w:szCs w:val="20"/>
                <w:color w:val="auto"/>
              </w:rPr>
            </w:pPr>
            <w:r>
              <w:rPr>
                <w:rFonts w:ascii="Arial" w:cs="Arial" w:eastAsia="Arial" w:hAnsi="Arial"/>
                <w:sz w:val="22"/>
                <w:szCs w:val="22"/>
                <w:b w:val="1"/>
                <w:bCs w:val="1"/>
                <w:color w:val="53C072"/>
              </w:rPr>
              <w:t>Principal Accounting Firm Fees</w:t>
            </w:r>
            <w:r>
              <w:rPr>
                <w:rFonts w:ascii="Arial" w:cs="Arial" w:eastAsia="Arial" w:hAnsi="Arial"/>
                <w:sz w:val="17"/>
                <w:szCs w:val="17"/>
                <w:color w:val="000000"/>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0000EE"/>
              </w:rPr>
              <w:t>82</w:t>
            </w:r>
          </w:p>
        </w:tc>
        <w:tc>
          <w:tcPr>
            <w:tcW w:w="0" w:type="dxa"/>
            <w:vAlign w:val="bottom"/>
          </w:tcPr>
          <w:p>
            <w:pPr>
              <w:spacing w:after="0"/>
              <w:rPr>
                <w:sz w:val="1"/>
                <w:szCs w:val="1"/>
                <w:color w:val="auto"/>
              </w:rPr>
            </w:pPr>
          </w:p>
        </w:tc>
      </w:tr>
      <w:tr>
        <w:trPr>
          <w:trHeight w:val="34"/>
        </w:trPr>
        <w:tc>
          <w:tcPr>
            <w:tcW w:w="18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26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320" w:type="dxa"/>
            <w:vAlign w:val="bottom"/>
            <w:tcBorders>
              <w:top w:val="single" w:sz="8" w:color="53C072"/>
              <w:bottom w:val="single" w:sz="8" w:color="53C072"/>
            </w:tcBorders>
          </w:tcPr>
          <w:p>
            <w:pPr>
              <w:spacing w:after="0"/>
              <w:rPr>
                <w:sz w:val="2"/>
                <w:szCs w:val="2"/>
                <w:color w:val="auto"/>
              </w:rPr>
            </w:pPr>
          </w:p>
        </w:tc>
        <w:tc>
          <w:tcPr>
            <w:tcW w:w="380" w:type="dxa"/>
            <w:vAlign w:val="bottom"/>
            <w:tcBorders>
              <w:top w:val="single" w:sz="8" w:color="53C072"/>
              <w:bottom w:val="single" w:sz="8" w:color="53C072"/>
            </w:tcBorders>
          </w:tcPr>
          <w:p>
            <w:pPr>
              <w:spacing w:after="0"/>
              <w:rPr>
                <w:sz w:val="2"/>
                <w:szCs w:val="2"/>
                <w:color w:val="auto"/>
              </w:rPr>
            </w:pPr>
          </w:p>
        </w:tc>
        <w:tc>
          <w:tcPr>
            <w:tcW w:w="24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440" w:type="dxa"/>
            <w:vAlign w:val="bottom"/>
            <w:tcBorders>
              <w:top w:val="single" w:sz="8" w:color="53C072"/>
              <w:bottom w:val="single" w:sz="8" w:color="53C072"/>
            </w:tcBorders>
          </w:tcPr>
          <w:p>
            <w:pPr>
              <w:spacing w:after="0"/>
              <w:rPr>
                <w:sz w:val="2"/>
                <w:szCs w:val="2"/>
                <w:color w:val="auto"/>
              </w:rPr>
            </w:pPr>
          </w:p>
        </w:tc>
        <w:tc>
          <w:tcPr>
            <w:tcW w:w="24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120" w:type="dxa"/>
            <w:vAlign w:val="bottom"/>
            <w:tcBorders>
              <w:top w:val="single" w:sz="8" w:color="53C072"/>
              <w:bottom w:val="single" w:sz="8" w:color="53C072"/>
            </w:tcBorders>
          </w:tcPr>
          <w:p>
            <w:pPr>
              <w:spacing w:after="0"/>
              <w:rPr>
                <w:sz w:val="2"/>
                <w:szCs w:val="2"/>
                <w:color w:val="auto"/>
              </w:rPr>
            </w:pPr>
          </w:p>
        </w:tc>
        <w:tc>
          <w:tcPr>
            <w:tcW w:w="60" w:type="dxa"/>
            <w:vAlign w:val="bottom"/>
            <w:tcBorders>
              <w:top w:val="single" w:sz="8" w:color="53C072"/>
              <w:bottom w:val="single" w:sz="8" w:color="53C072"/>
            </w:tcBorders>
          </w:tcPr>
          <w:p>
            <w:pPr>
              <w:spacing w:after="0"/>
              <w:rPr>
                <w:sz w:val="2"/>
                <w:szCs w:val="2"/>
                <w:color w:val="auto"/>
              </w:rPr>
            </w:pPr>
          </w:p>
        </w:tc>
        <w:tc>
          <w:tcPr>
            <w:tcW w:w="160" w:type="dxa"/>
            <w:vAlign w:val="bottom"/>
            <w:tcBorders>
              <w:top w:val="single" w:sz="8" w:color="53C072"/>
              <w:bottom w:val="single" w:sz="8" w:color="53C072"/>
            </w:tcBorders>
          </w:tcPr>
          <w:p>
            <w:pPr>
              <w:spacing w:after="0"/>
              <w:rPr>
                <w:sz w:val="2"/>
                <w:szCs w:val="2"/>
                <w:color w:val="auto"/>
              </w:rPr>
            </w:pPr>
          </w:p>
        </w:tc>
        <w:tc>
          <w:tcPr>
            <w:tcW w:w="260" w:type="dxa"/>
            <w:vAlign w:val="bottom"/>
            <w:tcBorders>
              <w:top w:val="single" w:sz="8" w:color="53C072"/>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4080" w:type="dxa"/>
            <w:vAlign w:val="bottom"/>
            <w:gridSpan w:val="27"/>
            <w:shd w:val="clear" w:color="auto" w:fill="CCEEFF"/>
          </w:tcPr>
          <w:p>
            <w:pPr>
              <w:spacing w:after="0"/>
              <w:rPr>
                <w:sz w:val="20"/>
                <w:szCs w:val="20"/>
                <w:color w:val="auto"/>
              </w:rPr>
            </w:pPr>
            <w:r>
              <w:rPr>
                <w:rFonts w:ascii="Arial" w:cs="Arial" w:eastAsia="Arial" w:hAnsi="Arial"/>
                <w:sz w:val="22"/>
                <w:szCs w:val="22"/>
                <w:b w:val="1"/>
                <w:bCs w:val="1"/>
                <w:color w:val="53C072"/>
              </w:rPr>
              <w:t>Audit Committee Report</w:t>
            </w:r>
            <w:r>
              <w:rPr>
                <w:rFonts w:ascii="Arial" w:cs="Arial" w:eastAsia="Arial" w:hAnsi="Arial"/>
                <w:sz w:val="17"/>
                <w:szCs w:val="17"/>
                <w:color w:val="000000"/>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80" w:type="dxa"/>
            <w:vAlign w:val="bottom"/>
            <w:tcBorders>
              <w:top w:val="single" w:sz="8" w:color="53C072"/>
            </w:tcBorders>
            <w:gridSpan w:val="27"/>
          </w:tcPr>
          <w:p>
            <w:pPr>
              <w:spacing w:after="0"/>
              <w:rPr>
                <w:sz w:val="20"/>
                <w:szCs w:val="20"/>
                <w:color w:val="auto"/>
              </w:rPr>
            </w:pPr>
            <w:r>
              <w:rPr>
                <w:rFonts w:ascii="Arial" w:cs="Arial" w:eastAsia="Arial" w:hAnsi="Arial"/>
                <w:sz w:val="22"/>
                <w:szCs w:val="22"/>
                <w:b w:val="1"/>
                <w:bCs w:val="1"/>
                <w:color w:val="53C072"/>
              </w:rPr>
              <w:t>Shareholder Proposals and</w:t>
            </w:r>
          </w:p>
        </w:tc>
        <w:tc>
          <w:tcPr>
            <w:tcW w:w="80" w:type="dxa"/>
            <w:vAlign w:val="bottom"/>
            <w:tcBorders>
              <w:top w:val="single" w:sz="8" w:color="53C072"/>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53C072"/>
            </w:tcBorders>
          </w:tcPr>
          <w:p>
            <w:pPr>
              <w:spacing w:after="0"/>
              <w:rPr>
                <w:sz w:val="18"/>
                <w:szCs w:val="18"/>
                <w:color w:val="auto"/>
              </w:rPr>
            </w:pPr>
          </w:p>
        </w:tc>
        <w:tc>
          <w:tcPr>
            <w:tcW w:w="2600" w:type="dxa"/>
            <w:vAlign w:val="bottom"/>
            <w:tcBorders>
              <w:top w:val="single" w:sz="8" w:color="53C072"/>
              <w:bottom w:val="single" w:sz="8" w:color="53C072"/>
            </w:tcBorders>
            <w:gridSpan w:val="12"/>
          </w:tcPr>
          <w:p>
            <w:pPr>
              <w:spacing w:after="0" w:line="209" w:lineRule="exact"/>
              <w:rPr>
                <w:sz w:val="20"/>
                <w:szCs w:val="20"/>
                <w:color w:val="auto"/>
              </w:rPr>
            </w:pPr>
            <w:r>
              <w:rPr>
                <w:rFonts w:ascii="Arial" w:cs="Arial" w:eastAsia="Arial" w:hAnsi="Arial"/>
                <w:sz w:val="22"/>
                <w:szCs w:val="22"/>
                <w:b w:val="1"/>
                <w:bCs w:val="1"/>
                <w:color w:val="53C072"/>
              </w:rPr>
              <w:t>Nominations</w:t>
            </w:r>
          </w:p>
        </w:tc>
        <w:tc>
          <w:tcPr>
            <w:tcW w:w="1300" w:type="dxa"/>
            <w:vAlign w:val="bottom"/>
            <w:gridSpan w:val="14"/>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89"/>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bottom w:val="single" w:sz="8" w:color="53C072"/>
            </w:tcBorders>
          </w:tcPr>
          <w:p>
            <w:pPr>
              <w:spacing w:after="0" w:line="20" w:lineRule="exact"/>
              <w:rPr>
                <w:sz w:val="1"/>
                <w:szCs w:val="1"/>
                <w:color w:val="auto"/>
              </w:rPr>
            </w:pPr>
          </w:p>
        </w:tc>
        <w:tc>
          <w:tcPr>
            <w:tcW w:w="260" w:type="dxa"/>
            <w:vAlign w:val="bottom"/>
            <w:tcBorders>
              <w:bottom w:val="single" w:sz="8" w:color="53C072"/>
            </w:tcBorders>
          </w:tcPr>
          <w:p>
            <w:pPr>
              <w:spacing w:after="0" w:line="20" w:lineRule="exact"/>
              <w:rPr>
                <w:sz w:val="1"/>
                <w:szCs w:val="1"/>
                <w:color w:val="auto"/>
              </w:rPr>
            </w:pPr>
          </w:p>
        </w:tc>
        <w:tc>
          <w:tcPr>
            <w:tcW w:w="180" w:type="dxa"/>
            <w:vAlign w:val="bottom"/>
            <w:tcBorders>
              <w:bottom w:val="single" w:sz="8" w:color="53C072"/>
            </w:tcBorders>
          </w:tcPr>
          <w:p>
            <w:pPr>
              <w:spacing w:after="0" w:line="20" w:lineRule="exact"/>
              <w:rPr>
                <w:sz w:val="1"/>
                <w:szCs w:val="1"/>
                <w:color w:val="auto"/>
              </w:rPr>
            </w:pPr>
          </w:p>
        </w:tc>
        <w:tc>
          <w:tcPr>
            <w:tcW w:w="320" w:type="dxa"/>
            <w:vAlign w:val="bottom"/>
            <w:tcBorders>
              <w:bottom w:val="single" w:sz="8" w:color="53C072"/>
            </w:tcBorders>
          </w:tcPr>
          <w:p>
            <w:pPr>
              <w:spacing w:after="0" w:line="20" w:lineRule="exact"/>
              <w:rPr>
                <w:sz w:val="1"/>
                <w:szCs w:val="1"/>
                <w:color w:val="auto"/>
              </w:rPr>
            </w:pPr>
          </w:p>
        </w:tc>
        <w:tc>
          <w:tcPr>
            <w:tcW w:w="380" w:type="dxa"/>
            <w:vAlign w:val="bottom"/>
            <w:tcBorders>
              <w:bottom w:val="single" w:sz="8" w:color="53C072"/>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Borders>
              <w:bottom w:val="single" w:sz="8" w:color="53C072"/>
            </w:tcBorders>
          </w:tcPr>
          <w:p>
            <w:pPr>
              <w:spacing w:after="0" w:line="20" w:lineRule="exact"/>
              <w:rPr>
                <w:sz w:val="1"/>
                <w:szCs w:val="1"/>
                <w:color w:val="auto"/>
              </w:rPr>
            </w:pPr>
          </w:p>
        </w:tc>
        <w:tc>
          <w:tcPr>
            <w:tcW w:w="180" w:type="dxa"/>
            <w:vAlign w:val="bottom"/>
            <w:tcBorders>
              <w:bottom w:val="single" w:sz="8" w:color="53C072"/>
            </w:tcBorders>
          </w:tcPr>
          <w:p>
            <w:pPr>
              <w:spacing w:after="0" w:line="20" w:lineRule="exact"/>
              <w:rPr>
                <w:sz w:val="1"/>
                <w:szCs w:val="1"/>
                <w:color w:val="auto"/>
              </w:rPr>
            </w:pPr>
          </w:p>
        </w:tc>
        <w:tc>
          <w:tcPr>
            <w:tcW w:w="260" w:type="dxa"/>
            <w:vAlign w:val="bottom"/>
            <w:tcBorders>
              <w:bottom w:val="single" w:sz="8" w:color="53C072"/>
            </w:tcBorders>
          </w:tcPr>
          <w:p>
            <w:pPr>
              <w:spacing w:after="0" w:line="20" w:lineRule="exact"/>
              <w:rPr>
                <w:sz w:val="1"/>
                <w:szCs w:val="1"/>
                <w:color w:val="auto"/>
              </w:rPr>
            </w:pPr>
          </w:p>
        </w:tc>
        <w:tc>
          <w:tcPr>
            <w:tcW w:w="180" w:type="dxa"/>
            <w:vAlign w:val="bottom"/>
            <w:tcBorders>
              <w:bottom w:val="single" w:sz="8" w:color="53C072"/>
            </w:tcBorders>
          </w:tcPr>
          <w:p>
            <w:pPr>
              <w:spacing w:after="0" w:line="20" w:lineRule="exact"/>
              <w:rPr>
                <w:sz w:val="1"/>
                <w:szCs w:val="1"/>
                <w:color w:val="auto"/>
              </w:rPr>
            </w:pPr>
          </w:p>
        </w:tc>
        <w:tc>
          <w:tcPr>
            <w:tcW w:w="320" w:type="dxa"/>
            <w:vAlign w:val="bottom"/>
            <w:tcBorders>
              <w:bottom w:val="single" w:sz="8" w:color="53C072"/>
            </w:tcBorders>
          </w:tcPr>
          <w:p>
            <w:pPr>
              <w:spacing w:after="0" w:line="20" w:lineRule="exact"/>
              <w:rPr>
                <w:sz w:val="1"/>
                <w:szCs w:val="1"/>
                <w:color w:val="auto"/>
              </w:rPr>
            </w:pPr>
          </w:p>
        </w:tc>
        <w:tc>
          <w:tcPr>
            <w:tcW w:w="38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100" w:type="dxa"/>
            <w:vAlign w:val="bottom"/>
            <w:tcBorders>
              <w:bottom w:val="single" w:sz="8" w:color="53C072"/>
            </w:tcBorders>
          </w:tcPr>
          <w:p>
            <w:pPr>
              <w:spacing w:after="0" w:line="20" w:lineRule="exact"/>
              <w:rPr>
                <w:sz w:val="1"/>
                <w:szCs w:val="1"/>
                <w:color w:val="auto"/>
              </w:rPr>
            </w:pPr>
          </w:p>
        </w:tc>
        <w:tc>
          <w:tcPr>
            <w:tcW w:w="44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2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10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200" w:type="dxa"/>
            <w:vAlign w:val="bottom"/>
            <w:tcBorders>
              <w:bottom w:val="single" w:sz="8" w:color="53C0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080" w:type="dxa"/>
            <w:vAlign w:val="bottom"/>
            <w:tcBorders>
              <w:bottom w:val="single" w:sz="8" w:color="53C072"/>
            </w:tcBorders>
            <w:gridSpan w:val="27"/>
            <w:shd w:val="clear" w:color="auto" w:fill="CCEEFF"/>
          </w:tcPr>
          <w:p>
            <w:pPr>
              <w:spacing w:after="0"/>
              <w:rPr>
                <w:sz w:val="20"/>
                <w:szCs w:val="20"/>
                <w:color w:val="auto"/>
              </w:rPr>
            </w:pPr>
            <w:r>
              <w:rPr>
                <w:rFonts w:ascii="Arial" w:cs="Arial" w:eastAsia="Arial" w:hAnsi="Arial"/>
                <w:sz w:val="22"/>
                <w:szCs w:val="22"/>
                <w:b w:val="1"/>
                <w:bCs w:val="1"/>
                <w:color w:val="53C072"/>
                <w:w w:val="98"/>
              </w:rPr>
              <w:t>Delivery of Documents to Shareholders</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0" w:type="dxa"/>
            <w:vAlign w:val="bottom"/>
            <w:shd w:val="clear" w:color="auto" w:fill="CCEEFF"/>
          </w:tcPr>
          <w:p>
            <w:pPr>
              <w:spacing w:after="0"/>
              <w:rPr>
                <w:sz w:val="23"/>
                <w:szCs w:val="23"/>
                <w:color w:val="auto"/>
              </w:rPr>
            </w:pPr>
          </w:p>
        </w:tc>
        <w:tc>
          <w:tcPr>
            <w:tcW w:w="3900" w:type="dxa"/>
            <w:vAlign w:val="bottom"/>
            <w:gridSpan w:val="26"/>
            <w:shd w:val="clear" w:color="auto" w:fill="CCEEFF"/>
          </w:tcPr>
          <w:p>
            <w:pPr>
              <w:spacing w:after="0" w:line="209" w:lineRule="exact"/>
              <w:rPr>
                <w:sz w:val="20"/>
                <w:szCs w:val="20"/>
                <w:color w:val="auto"/>
              </w:rPr>
            </w:pPr>
            <w:r>
              <w:rPr>
                <w:rFonts w:ascii="Arial" w:cs="Arial" w:eastAsia="Arial" w:hAnsi="Arial"/>
                <w:sz w:val="22"/>
                <w:szCs w:val="22"/>
                <w:b w:val="1"/>
                <w:bCs w:val="1"/>
                <w:color w:val="53C072"/>
              </w:rPr>
              <w:t>with Same Last Name and Address</w:t>
            </w:r>
            <w:r>
              <w:rPr>
                <w:rFonts w:ascii="Arial" w:cs="Arial" w:eastAsia="Arial" w:hAnsi="Arial"/>
                <w:sz w:val="17"/>
                <w:szCs w:val="17"/>
                <w:color w:val="000000"/>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85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260" w:type="dxa"/>
            <w:vAlign w:val="bottom"/>
            <w:tcBorders>
              <w:top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320" w:type="dxa"/>
            <w:vAlign w:val="bottom"/>
            <w:tcBorders>
              <w:top w:val="single" w:sz="8" w:color="53C072"/>
            </w:tcBorders>
            <w:shd w:val="clear" w:color="auto" w:fill="53C072"/>
          </w:tcPr>
          <w:p>
            <w:pPr>
              <w:spacing w:after="0" w:line="20" w:lineRule="exact"/>
              <w:rPr>
                <w:sz w:val="1"/>
                <w:szCs w:val="1"/>
                <w:color w:val="auto"/>
              </w:rPr>
            </w:pPr>
          </w:p>
        </w:tc>
        <w:tc>
          <w:tcPr>
            <w:tcW w:w="38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40" w:type="dxa"/>
            <w:vAlign w:val="bottom"/>
            <w:tcBorders>
              <w:top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53C072"/>
            </w:tcBorders>
            <w:shd w:val="clear" w:color="auto" w:fill="53C072"/>
          </w:tcPr>
          <w:p>
            <w:pPr>
              <w:spacing w:after="0" w:line="20" w:lineRule="exact"/>
              <w:rPr>
                <w:sz w:val="1"/>
                <w:szCs w:val="1"/>
                <w:color w:val="auto"/>
              </w:rPr>
            </w:pPr>
          </w:p>
        </w:tc>
        <w:tc>
          <w:tcPr>
            <w:tcW w:w="440" w:type="dxa"/>
            <w:vAlign w:val="bottom"/>
            <w:tcBorders>
              <w:top w:val="single" w:sz="8" w:color="53C072"/>
            </w:tcBorders>
            <w:shd w:val="clear" w:color="auto" w:fill="53C072"/>
          </w:tcPr>
          <w:p>
            <w:pPr>
              <w:spacing w:after="0" w:line="20" w:lineRule="exact"/>
              <w:rPr>
                <w:sz w:val="1"/>
                <w:szCs w:val="1"/>
                <w:color w:val="auto"/>
              </w:rPr>
            </w:pPr>
          </w:p>
        </w:tc>
        <w:tc>
          <w:tcPr>
            <w:tcW w:w="24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53C072"/>
            </w:tcBorders>
            <w:shd w:val="clear" w:color="auto" w:fill="53C072"/>
          </w:tcPr>
          <w:p>
            <w:pPr>
              <w:spacing w:after="0" w:line="20" w:lineRule="exact"/>
              <w:rPr>
                <w:sz w:val="1"/>
                <w:szCs w:val="1"/>
                <w:color w:val="auto"/>
              </w:rPr>
            </w:pPr>
          </w:p>
        </w:tc>
        <w:tc>
          <w:tcPr>
            <w:tcW w:w="60" w:type="dxa"/>
            <w:vAlign w:val="bottom"/>
            <w:tcBorders>
              <w:top w:val="single" w:sz="8" w:color="53C072"/>
            </w:tcBorders>
            <w:shd w:val="clear" w:color="auto" w:fill="53C072"/>
          </w:tcPr>
          <w:p>
            <w:pPr>
              <w:spacing w:after="0" w:line="20" w:lineRule="exact"/>
              <w:rPr>
                <w:sz w:val="1"/>
                <w:szCs w:val="1"/>
                <w:color w:val="auto"/>
              </w:rPr>
            </w:pPr>
          </w:p>
        </w:tc>
        <w:tc>
          <w:tcPr>
            <w:tcW w:w="1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60" w:type="dxa"/>
            <w:vAlign w:val="bottom"/>
            <w:tcBorders>
              <w:top w:val="single" w:sz="8" w:color="53C072"/>
              <w:left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60" w:type="dxa"/>
            <w:vAlign w:val="bottom"/>
            <w:tcBorders>
              <w:top w:val="single" w:sz="8" w:color="53C072"/>
            </w:tcBorders>
            <w:shd w:val="clear" w:color="auto" w:fill="53C072"/>
          </w:tcPr>
          <w:p>
            <w:pPr>
              <w:spacing w:after="0" w:line="20" w:lineRule="exact"/>
              <w:rPr>
                <w:sz w:val="1"/>
                <w:szCs w:val="1"/>
                <w:color w:val="auto"/>
              </w:rPr>
            </w:pPr>
          </w:p>
        </w:tc>
        <w:tc>
          <w:tcPr>
            <w:tcW w:w="20" w:type="dxa"/>
            <w:vAlign w:val="bottom"/>
            <w:tcBorders>
              <w:top w:val="single" w:sz="8" w:color="CCEEFF"/>
            </w:tcBorders>
            <w:shd w:val="clear" w:color="auto" w:fill="53C072"/>
          </w:tcPr>
          <w:p>
            <w:pPr>
              <w:spacing w:after="0" w:line="20" w:lineRule="exact"/>
              <w:rPr>
                <w:sz w:val="1"/>
                <w:szCs w:val="1"/>
                <w:color w:val="auto"/>
              </w:rPr>
            </w:pPr>
          </w:p>
        </w:tc>
        <w:tc>
          <w:tcPr>
            <w:tcW w:w="20" w:type="dxa"/>
            <w:vAlign w:val="bottom"/>
            <w:tcBorders>
              <w:top w:val="single" w:sz="8" w:color="CCEEFF"/>
            </w:tcBorders>
            <w:shd w:val="clear" w:color="auto" w:fill="53C072"/>
          </w:tcPr>
          <w:p>
            <w:pPr>
              <w:spacing w:after="0" w:line="20" w:lineRule="exact"/>
              <w:rPr>
                <w:sz w:val="1"/>
                <w:szCs w:val="1"/>
                <w:color w:val="auto"/>
              </w:rPr>
            </w:pPr>
          </w:p>
        </w:tc>
        <w:tc>
          <w:tcPr>
            <w:tcW w:w="20" w:type="dxa"/>
            <w:vAlign w:val="bottom"/>
            <w:tcBorders>
              <w:top w:val="single" w:sz="8" w:color="CCEEFF"/>
            </w:tcBorders>
            <w:shd w:val="clear" w:color="auto" w:fill="53C072"/>
          </w:tcPr>
          <w:p>
            <w:pPr>
              <w:spacing w:after="0" w:line="20" w:lineRule="exact"/>
              <w:rPr>
                <w:sz w:val="1"/>
                <w:szCs w:val="1"/>
                <w:color w:val="auto"/>
              </w:rPr>
            </w:pPr>
          </w:p>
        </w:tc>
        <w:tc>
          <w:tcPr>
            <w:tcW w:w="12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200" w:type="dxa"/>
            <w:vAlign w:val="bottom"/>
            <w:tcBorders>
              <w:top w:val="single" w:sz="8" w:color="0000EE"/>
            </w:tcBorders>
            <w:shd w:val="clear" w:color="auto" w:fill="53C0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080" w:type="dxa"/>
            <w:vAlign w:val="bottom"/>
            <w:gridSpan w:val="27"/>
          </w:tcPr>
          <w:p>
            <w:pPr>
              <w:spacing w:after="0"/>
              <w:rPr>
                <w:sz w:val="20"/>
                <w:szCs w:val="20"/>
                <w:color w:val="auto"/>
              </w:rPr>
            </w:pPr>
            <w:r>
              <w:rPr>
                <w:rFonts w:ascii="Arial" w:cs="Arial" w:eastAsia="Arial" w:hAnsi="Arial"/>
                <w:sz w:val="22"/>
                <w:szCs w:val="22"/>
                <w:b w:val="1"/>
                <w:bCs w:val="1"/>
                <w:color w:val="53C072"/>
              </w:rPr>
              <w:t>General</w:t>
            </w:r>
            <w:r>
              <w:rPr>
                <w:rFonts w:ascii="Arial" w:cs="Arial" w:eastAsia="Arial" w:hAnsi="Arial"/>
                <w:sz w:val="17"/>
                <w:szCs w:val="17"/>
                <w:color w:val="000000"/>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0000EE"/>
              </w:rPr>
              <w:t>85</w:t>
            </w:r>
          </w:p>
        </w:tc>
        <w:tc>
          <w:tcPr>
            <w:tcW w:w="0" w:type="dxa"/>
            <w:vAlign w:val="bottom"/>
          </w:tcPr>
          <w:p>
            <w:pPr>
              <w:spacing w:after="0"/>
              <w:rPr>
                <w:sz w:val="1"/>
                <w:szCs w:val="1"/>
                <w:color w:val="auto"/>
              </w:rPr>
            </w:pPr>
          </w:p>
        </w:tc>
      </w:tr>
      <w:tr>
        <w:trPr>
          <w:trHeight w:val="34"/>
        </w:trPr>
        <w:tc>
          <w:tcPr>
            <w:tcW w:w="18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26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320" w:type="dxa"/>
            <w:vAlign w:val="bottom"/>
            <w:tcBorders>
              <w:bottom w:val="single" w:sz="8" w:color="53C072"/>
            </w:tcBorders>
          </w:tcPr>
          <w:p>
            <w:pPr>
              <w:spacing w:after="0"/>
              <w:rPr>
                <w:sz w:val="2"/>
                <w:szCs w:val="2"/>
                <w:color w:val="auto"/>
              </w:rPr>
            </w:pPr>
          </w:p>
        </w:tc>
        <w:tc>
          <w:tcPr>
            <w:tcW w:w="380" w:type="dxa"/>
            <w:vAlign w:val="bottom"/>
            <w:tcBorders>
              <w:bottom w:val="single" w:sz="8" w:color="53C072"/>
            </w:tcBorders>
          </w:tcPr>
          <w:p>
            <w:pPr>
              <w:spacing w:after="0"/>
              <w:rPr>
                <w:sz w:val="2"/>
                <w:szCs w:val="2"/>
                <w:color w:val="auto"/>
              </w:rPr>
            </w:pPr>
          </w:p>
        </w:tc>
        <w:tc>
          <w:tcPr>
            <w:tcW w:w="2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440" w:type="dxa"/>
            <w:vAlign w:val="bottom"/>
            <w:tcBorders>
              <w:bottom w:val="single" w:sz="8" w:color="53C072"/>
            </w:tcBorders>
          </w:tcPr>
          <w:p>
            <w:pPr>
              <w:spacing w:after="0"/>
              <w:rPr>
                <w:sz w:val="2"/>
                <w:szCs w:val="2"/>
                <w:color w:val="auto"/>
              </w:rPr>
            </w:pPr>
          </w:p>
        </w:tc>
        <w:tc>
          <w:tcPr>
            <w:tcW w:w="24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26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3760" w:type="dxa"/>
            <w:vAlign w:val="bottom"/>
            <w:tcBorders>
              <w:bottom w:val="single" w:sz="8" w:color="53C072"/>
            </w:tcBorders>
            <w:gridSpan w:val="22"/>
            <w:shd w:val="clear" w:color="auto" w:fill="CCEEFF"/>
          </w:tcPr>
          <w:p>
            <w:pPr>
              <w:spacing w:after="0"/>
              <w:rPr>
                <w:sz w:val="20"/>
                <w:szCs w:val="20"/>
                <w:color w:val="auto"/>
              </w:rPr>
            </w:pPr>
            <w:r>
              <w:rPr>
                <w:rFonts w:ascii="Arial" w:cs="Arial" w:eastAsia="Arial" w:hAnsi="Arial"/>
                <w:sz w:val="22"/>
                <w:szCs w:val="22"/>
                <w:b w:val="1"/>
                <w:bCs w:val="1"/>
                <w:color w:val="53C072"/>
                <w:w w:val="96"/>
              </w:rPr>
              <w:t>Appendix A — Reconciliation of Non-</w:t>
            </w:r>
          </w:p>
        </w:tc>
        <w:tc>
          <w:tcPr>
            <w:tcW w:w="320" w:type="dxa"/>
            <w:vAlign w:val="bottom"/>
            <w:tcBorders>
              <w:bottom w:val="single" w:sz="8" w:color="CCEEFF"/>
            </w:tcBorders>
            <w:gridSpan w:val="5"/>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80" w:type="dxa"/>
            <w:vAlign w:val="bottom"/>
            <w:shd w:val="clear" w:color="auto" w:fill="CCEEFF"/>
          </w:tcPr>
          <w:p>
            <w:pPr>
              <w:spacing w:after="0"/>
              <w:rPr>
                <w:sz w:val="24"/>
                <w:szCs w:val="24"/>
                <w:color w:val="auto"/>
              </w:rPr>
            </w:pPr>
          </w:p>
        </w:tc>
        <w:tc>
          <w:tcPr>
            <w:tcW w:w="3900" w:type="dxa"/>
            <w:vAlign w:val="bottom"/>
            <w:gridSpan w:val="26"/>
            <w:shd w:val="clear" w:color="auto" w:fill="CCEEFF"/>
          </w:tcPr>
          <w:p>
            <w:pPr>
              <w:spacing w:after="0" w:line="209" w:lineRule="exact"/>
              <w:rPr>
                <w:sz w:val="20"/>
                <w:szCs w:val="20"/>
                <w:color w:val="auto"/>
              </w:rPr>
            </w:pPr>
            <w:r>
              <w:rPr>
                <w:rFonts w:ascii="Arial" w:cs="Arial" w:eastAsia="Arial" w:hAnsi="Arial"/>
                <w:sz w:val="22"/>
                <w:szCs w:val="22"/>
                <w:b w:val="1"/>
                <w:bCs w:val="1"/>
                <w:color w:val="53C072"/>
              </w:rPr>
              <w:t>GAAP Measures</w:t>
            </w:r>
            <w:r>
              <w:rPr>
                <w:rFonts w:ascii="Arial" w:cs="Arial" w:eastAsia="Arial" w:hAnsi="Arial"/>
                <w:sz w:val="17"/>
                <w:szCs w:val="17"/>
                <w:color w:val="53C072"/>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80" w:type="dxa"/>
            <w:vAlign w:val="bottom"/>
            <w:tcBorders>
              <w:top w:val="single" w:sz="8" w:color="53C072"/>
            </w:tcBorders>
            <w:gridSpan w:val="27"/>
          </w:tcPr>
          <w:p>
            <w:pPr>
              <w:spacing w:after="0"/>
              <w:rPr>
                <w:sz w:val="20"/>
                <w:szCs w:val="20"/>
                <w:color w:val="auto"/>
              </w:rPr>
            </w:pPr>
            <w:r>
              <w:rPr>
                <w:rFonts w:ascii="Arial" w:cs="Arial" w:eastAsia="Arial" w:hAnsi="Arial"/>
                <w:sz w:val="22"/>
                <w:szCs w:val="22"/>
                <w:b w:val="1"/>
                <w:bCs w:val="1"/>
                <w:color w:val="53C072"/>
              </w:rPr>
              <w:t>Appendix B — 2025 Stock</w:t>
            </w:r>
          </w:p>
        </w:tc>
        <w:tc>
          <w:tcPr>
            <w:tcW w:w="80" w:type="dxa"/>
            <w:vAlign w:val="bottom"/>
            <w:tcBorders>
              <w:top w:val="single" w:sz="8" w:color="53C072"/>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53C072"/>
          </w:tcPr>
          <w:p>
            <w:pPr>
              <w:spacing w:after="0" w:line="20" w:lineRule="exact"/>
              <w:rPr>
                <w:sz w:val="1"/>
                <w:szCs w:val="1"/>
                <w:color w:val="auto"/>
              </w:rPr>
            </w:pPr>
          </w:p>
        </w:tc>
        <w:tc>
          <w:tcPr>
            <w:tcW w:w="2420" w:type="dxa"/>
            <w:vAlign w:val="bottom"/>
            <w:gridSpan w:val="10"/>
            <w:shd w:val="clear" w:color="auto" w:fill="53C072"/>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3900" w:type="dxa"/>
            <w:vAlign w:val="bottom"/>
            <w:gridSpan w:val="26"/>
          </w:tcPr>
          <w:p>
            <w:pPr>
              <w:spacing w:after="0" w:line="209" w:lineRule="exact"/>
              <w:rPr>
                <w:sz w:val="20"/>
                <w:szCs w:val="20"/>
                <w:color w:val="auto"/>
              </w:rPr>
            </w:pPr>
            <w:r>
              <w:rPr>
                <w:rFonts w:ascii="Arial" w:cs="Arial" w:eastAsia="Arial" w:hAnsi="Arial"/>
                <w:sz w:val="22"/>
                <w:szCs w:val="22"/>
                <w:b w:val="1"/>
                <w:bCs w:val="1"/>
                <w:color w:val="53C072"/>
              </w:rPr>
              <w:t>Compensation and Incentive Plan</w:t>
            </w:r>
            <w:r>
              <w:rPr>
                <w:rFonts w:ascii="Arial" w:cs="Arial" w:eastAsia="Arial" w:hAnsi="Arial"/>
                <w:sz w:val="17"/>
                <w:szCs w:val="17"/>
                <w:color w:val="53C072"/>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0000EE"/>
              </w:rPr>
              <w:t>88</w:t>
            </w:r>
          </w:p>
        </w:tc>
        <w:tc>
          <w:tcPr>
            <w:tcW w:w="0" w:type="dxa"/>
            <w:vAlign w:val="bottom"/>
          </w:tcPr>
          <w:p>
            <w:pPr>
              <w:spacing w:after="0"/>
              <w:rPr>
                <w:sz w:val="1"/>
                <w:szCs w:val="1"/>
                <w:color w:val="auto"/>
              </w:rPr>
            </w:pPr>
          </w:p>
        </w:tc>
      </w:tr>
      <w:tr>
        <w:trPr>
          <w:trHeight w:val="121"/>
        </w:trPr>
        <w:tc>
          <w:tcPr>
            <w:tcW w:w="180" w:type="dxa"/>
            <w:vAlign w:val="bottom"/>
            <w:tcBorders>
              <w:bottom w:val="single" w:sz="8" w:color="53C072"/>
            </w:tcBorders>
          </w:tcPr>
          <w:p>
            <w:pPr>
              <w:spacing w:after="0"/>
              <w:rPr>
                <w:sz w:val="10"/>
                <w:szCs w:val="10"/>
                <w:color w:val="auto"/>
              </w:rPr>
            </w:pPr>
          </w:p>
        </w:tc>
        <w:tc>
          <w:tcPr>
            <w:tcW w:w="180" w:type="dxa"/>
            <w:vAlign w:val="bottom"/>
            <w:tcBorders>
              <w:top w:val="single" w:sz="8" w:color="53C072"/>
              <w:bottom w:val="single" w:sz="8" w:color="53C072"/>
            </w:tcBorders>
          </w:tcPr>
          <w:p>
            <w:pPr>
              <w:spacing w:after="0"/>
              <w:rPr>
                <w:sz w:val="10"/>
                <w:szCs w:val="10"/>
                <w:color w:val="auto"/>
              </w:rPr>
            </w:pPr>
          </w:p>
        </w:tc>
        <w:tc>
          <w:tcPr>
            <w:tcW w:w="260" w:type="dxa"/>
            <w:vAlign w:val="bottom"/>
            <w:tcBorders>
              <w:top w:val="single" w:sz="8" w:color="53C072"/>
              <w:bottom w:val="single" w:sz="8" w:color="53C072"/>
            </w:tcBorders>
          </w:tcPr>
          <w:p>
            <w:pPr>
              <w:spacing w:after="0"/>
              <w:rPr>
                <w:sz w:val="10"/>
                <w:szCs w:val="10"/>
                <w:color w:val="auto"/>
              </w:rPr>
            </w:pPr>
          </w:p>
        </w:tc>
        <w:tc>
          <w:tcPr>
            <w:tcW w:w="180" w:type="dxa"/>
            <w:vAlign w:val="bottom"/>
            <w:tcBorders>
              <w:top w:val="single" w:sz="8" w:color="53C072"/>
              <w:bottom w:val="single" w:sz="8" w:color="53C072"/>
            </w:tcBorders>
          </w:tcPr>
          <w:p>
            <w:pPr>
              <w:spacing w:after="0"/>
              <w:rPr>
                <w:sz w:val="10"/>
                <w:szCs w:val="10"/>
                <w:color w:val="auto"/>
              </w:rPr>
            </w:pPr>
          </w:p>
        </w:tc>
        <w:tc>
          <w:tcPr>
            <w:tcW w:w="320" w:type="dxa"/>
            <w:vAlign w:val="bottom"/>
            <w:tcBorders>
              <w:top w:val="single" w:sz="8" w:color="53C072"/>
              <w:bottom w:val="single" w:sz="8" w:color="53C072"/>
            </w:tcBorders>
          </w:tcPr>
          <w:p>
            <w:pPr>
              <w:spacing w:after="0"/>
              <w:rPr>
                <w:sz w:val="10"/>
                <w:szCs w:val="10"/>
                <w:color w:val="auto"/>
              </w:rPr>
            </w:pPr>
          </w:p>
        </w:tc>
        <w:tc>
          <w:tcPr>
            <w:tcW w:w="380" w:type="dxa"/>
            <w:vAlign w:val="bottom"/>
            <w:tcBorders>
              <w:top w:val="single" w:sz="8" w:color="53C072"/>
              <w:bottom w:val="single" w:sz="8" w:color="53C072"/>
            </w:tcBorders>
          </w:tcPr>
          <w:p>
            <w:pPr>
              <w:spacing w:after="0"/>
              <w:rPr>
                <w:sz w:val="10"/>
                <w:szCs w:val="10"/>
                <w:color w:val="auto"/>
              </w:rPr>
            </w:pPr>
          </w:p>
        </w:tc>
        <w:tc>
          <w:tcPr>
            <w:tcW w:w="240" w:type="dxa"/>
            <w:vAlign w:val="bottom"/>
            <w:tcBorders>
              <w:top w:val="single" w:sz="8" w:color="53C072"/>
              <w:bottom w:val="single" w:sz="8" w:color="53C072"/>
            </w:tcBorders>
          </w:tcPr>
          <w:p>
            <w:pPr>
              <w:spacing w:after="0"/>
              <w:rPr>
                <w:sz w:val="10"/>
                <w:szCs w:val="10"/>
                <w:color w:val="auto"/>
              </w:rPr>
            </w:pPr>
          </w:p>
        </w:tc>
        <w:tc>
          <w:tcPr>
            <w:tcW w:w="100" w:type="dxa"/>
            <w:vAlign w:val="bottom"/>
            <w:tcBorders>
              <w:top w:val="single" w:sz="8" w:color="53C072"/>
              <w:bottom w:val="single" w:sz="8" w:color="53C072"/>
            </w:tcBorders>
          </w:tcPr>
          <w:p>
            <w:pPr>
              <w:spacing w:after="0"/>
              <w:rPr>
                <w:sz w:val="10"/>
                <w:szCs w:val="10"/>
                <w:color w:val="auto"/>
              </w:rPr>
            </w:pPr>
          </w:p>
        </w:tc>
        <w:tc>
          <w:tcPr>
            <w:tcW w:w="440" w:type="dxa"/>
            <w:vAlign w:val="bottom"/>
            <w:tcBorders>
              <w:top w:val="single" w:sz="8" w:color="53C072"/>
              <w:bottom w:val="single" w:sz="8" w:color="53C072"/>
            </w:tcBorders>
          </w:tcPr>
          <w:p>
            <w:pPr>
              <w:spacing w:after="0"/>
              <w:rPr>
                <w:sz w:val="10"/>
                <w:szCs w:val="10"/>
                <w:color w:val="auto"/>
              </w:rPr>
            </w:pPr>
          </w:p>
        </w:tc>
        <w:tc>
          <w:tcPr>
            <w:tcW w:w="240" w:type="dxa"/>
            <w:vAlign w:val="bottom"/>
            <w:tcBorders>
              <w:top w:val="single" w:sz="8" w:color="53C072"/>
              <w:bottom w:val="single" w:sz="8" w:color="53C072"/>
            </w:tcBorders>
          </w:tcPr>
          <w:p>
            <w:pPr>
              <w:spacing w:after="0"/>
              <w:rPr>
                <w:sz w:val="10"/>
                <w:szCs w:val="10"/>
                <w:color w:val="auto"/>
              </w:rPr>
            </w:pPr>
          </w:p>
        </w:tc>
        <w:tc>
          <w:tcPr>
            <w:tcW w:w="80" w:type="dxa"/>
            <w:vAlign w:val="bottom"/>
            <w:tcBorders>
              <w:top w:val="single" w:sz="8" w:color="53C072"/>
              <w:bottom w:val="single" w:sz="8" w:color="53C072"/>
            </w:tcBorders>
          </w:tcPr>
          <w:p>
            <w:pPr>
              <w:spacing w:after="0"/>
              <w:rPr>
                <w:sz w:val="10"/>
                <w:szCs w:val="10"/>
                <w:color w:val="auto"/>
              </w:rPr>
            </w:pPr>
          </w:p>
        </w:tc>
        <w:tc>
          <w:tcPr>
            <w:tcW w:w="120" w:type="dxa"/>
            <w:vAlign w:val="bottom"/>
            <w:tcBorders>
              <w:top w:val="single" w:sz="8" w:color="53C072"/>
              <w:bottom w:val="single" w:sz="8" w:color="53C072"/>
            </w:tcBorders>
          </w:tcPr>
          <w:p>
            <w:pPr>
              <w:spacing w:after="0"/>
              <w:rPr>
                <w:sz w:val="10"/>
                <w:szCs w:val="10"/>
                <w:color w:val="auto"/>
              </w:rPr>
            </w:pPr>
          </w:p>
        </w:tc>
        <w:tc>
          <w:tcPr>
            <w:tcW w:w="60" w:type="dxa"/>
            <w:vAlign w:val="bottom"/>
            <w:tcBorders>
              <w:top w:val="single" w:sz="8" w:color="53C072"/>
              <w:bottom w:val="single" w:sz="8" w:color="53C072"/>
            </w:tcBorders>
          </w:tcPr>
          <w:p>
            <w:pPr>
              <w:spacing w:after="0"/>
              <w:rPr>
                <w:sz w:val="10"/>
                <w:szCs w:val="10"/>
                <w:color w:val="auto"/>
              </w:rPr>
            </w:pPr>
          </w:p>
        </w:tc>
        <w:tc>
          <w:tcPr>
            <w:tcW w:w="160" w:type="dxa"/>
            <w:vAlign w:val="bottom"/>
            <w:tcBorders>
              <w:top w:val="single" w:sz="8" w:color="53C072"/>
              <w:bottom w:val="single" w:sz="8" w:color="53C072"/>
            </w:tcBorders>
          </w:tcPr>
          <w:p>
            <w:pPr>
              <w:spacing w:after="0"/>
              <w:rPr>
                <w:sz w:val="10"/>
                <w:szCs w:val="10"/>
                <w:color w:val="auto"/>
              </w:rPr>
            </w:pPr>
          </w:p>
        </w:tc>
        <w:tc>
          <w:tcPr>
            <w:tcW w:w="260" w:type="dxa"/>
            <w:vAlign w:val="bottom"/>
            <w:tcBorders>
              <w:top w:val="single" w:sz="8" w:color="53C072"/>
              <w:bottom w:val="single" w:sz="8" w:color="53C072"/>
            </w:tcBorders>
          </w:tcPr>
          <w:p>
            <w:pPr>
              <w:spacing w:after="0"/>
              <w:rPr>
                <w:sz w:val="10"/>
                <w:szCs w:val="10"/>
                <w:color w:val="auto"/>
              </w:rPr>
            </w:pPr>
          </w:p>
        </w:tc>
        <w:tc>
          <w:tcPr>
            <w:tcW w:w="160" w:type="dxa"/>
            <w:vAlign w:val="bottom"/>
            <w:tcBorders>
              <w:top w:val="single" w:sz="8" w:color="53C072"/>
              <w:bottom w:val="single" w:sz="8" w:color="53C072"/>
            </w:tcBorders>
          </w:tcPr>
          <w:p>
            <w:pPr>
              <w:spacing w:after="0"/>
              <w:rPr>
                <w:sz w:val="10"/>
                <w:szCs w:val="10"/>
                <w:color w:val="auto"/>
              </w:rPr>
            </w:pPr>
          </w:p>
        </w:tc>
        <w:tc>
          <w:tcPr>
            <w:tcW w:w="80" w:type="dxa"/>
            <w:vAlign w:val="bottom"/>
            <w:tcBorders>
              <w:top w:val="single" w:sz="8" w:color="53C072"/>
              <w:bottom w:val="single" w:sz="8" w:color="53C072"/>
            </w:tcBorders>
          </w:tcPr>
          <w:p>
            <w:pPr>
              <w:spacing w:after="0"/>
              <w:rPr>
                <w:sz w:val="10"/>
                <w:szCs w:val="10"/>
                <w:color w:val="auto"/>
              </w:rPr>
            </w:pPr>
          </w:p>
        </w:tc>
        <w:tc>
          <w:tcPr>
            <w:tcW w:w="120" w:type="dxa"/>
            <w:vAlign w:val="bottom"/>
            <w:tcBorders>
              <w:top w:val="single" w:sz="8" w:color="53C072"/>
              <w:bottom w:val="single" w:sz="8" w:color="53C072"/>
            </w:tcBorders>
          </w:tcPr>
          <w:p>
            <w:pPr>
              <w:spacing w:after="0"/>
              <w:rPr>
                <w:sz w:val="10"/>
                <w:szCs w:val="10"/>
                <w:color w:val="auto"/>
              </w:rPr>
            </w:pPr>
          </w:p>
        </w:tc>
        <w:tc>
          <w:tcPr>
            <w:tcW w:w="100" w:type="dxa"/>
            <w:vAlign w:val="bottom"/>
            <w:tcBorders>
              <w:top w:val="single" w:sz="8" w:color="53C072"/>
              <w:bottom w:val="single" w:sz="8" w:color="53C072"/>
            </w:tcBorders>
          </w:tcPr>
          <w:p>
            <w:pPr>
              <w:spacing w:after="0"/>
              <w:rPr>
                <w:sz w:val="10"/>
                <w:szCs w:val="10"/>
                <w:color w:val="auto"/>
              </w:rPr>
            </w:pPr>
          </w:p>
        </w:tc>
        <w:tc>
          <w:tcPr>
            <w:tcW w:w="20" w:type="dxa"/>
            <w:vAlign w:val="bottom"/>
            <w:tcBorders>
              <w:bottom w:val="single" w:sz="8" w:color="53C072"/>
            </w:tcBorders>
          </w:tcPr>
          <w:p>
            <w:pPr>
              <w:spacing w:after="0"/>
              <w:rPr>
                <w:sz w:val="10"/>
                <w:szCs w:val="10"/>
                <w:color w:val="auto"/>
              </w:rPr>
            </w:pPr>
          </w:p>
        </w:tc>
        <w:tc>
          <w:tcPr>
            <w:tcW w:w="60" w:type="dxa"/>
            <w:vAlign w:val="bottom"/>
            <w:tcBorders>
              <w:bottom w:val="single" w:sz="8" w:color="53C072"/>
            </w:tcBorders>
          </w:tcPr>
          <w:p>
            <w:pPr>
              <w:spacing w:after="0"/>
              <w:rPr>
                <w:sz w:val="10"/>
                <w:szCs w:val="10"/>
                <w:color w:val="auto"/>
              </w:rPr>
            </w:pPr>
          </w:p>
        </w:tc>
        <w:tc>
          <w:tcPr>
            <w:tcW w:w="20" w:type="dxa"/>
            <w:vAlign w:val="bottom"/>
            <w:tcBorders>
              <w:bottom w:val="single" w:sz="8" w:color="53C072"/>
            </w:tcBorders>
          </w:tcPr>
          <w:p>
            <w:pPr>
              <w:spacing w:after="0"/>
              <w:rPr>
                <w:sz w:val="10"/>
                <w:szCs w:val="10"/>
                <w:color w:val="auto"/>
              </w:rPr>
            </w:pPr>
          </w:p>
        </w:tc>
        <w:tc>
          <w:tcPr>
            <w:tcW w:w="20" w:type="dxa"/>
            <w:vAlign w:val="bottom"/>
            <w:tcBorders>
              <w:bottom w:val="single" w:sz="8" w:color="53C072"/>
            </w:tcBorders>
          </w:tcPr>
          <w:p>
            <w:pPr>
              <w:spacing w:after="0"/>
              <w:rPr>
                <w:sz w:val="10"/>
                <w:szCs w:val="10"/>
                <w:color w:val="auto"/>
              </w:rPr>
            </w:pPr>
          </w:p>
        </w:tc>
        <w:tc>
          <w:tcPr>
            <w:tcW w:w="20" w:type="dxa"/>
            <w:vAlign w:val="bottom"/>
            <w:tcBorders>
              <w:bottom w:val="single" w:sz="8" w:color="53C072"/>
            </w:tcBorders>
          </w:tcPr>
          <w:p>
            <w:pPr>
              <w:spacing w:after="0"/>
              <w:rPr>
                <w:sz w:val="10"/>
                <w:szCs w:val="10"/>
                <w:color w:val="auto"/>
              </w:rPr>
            </w:pPr>
          </w:p>
        </w:tc>
        <w:tc>
          <w:tcPr>
            <w:tcW w:w="120" w:type="dxa"/>
            <w:vAlign w:val="bottom"/>
            <w:tcBorders>
              <w:bottom w:val="single" w:sz="8" w:color="53C072"/>
            </w:tcBorders>
          </w:tcPr>
          <w:p>
            <w:pPr>
              <w:spacing w:after="0"/>
              <w:rPr>
                <w:sz w:val="10"/>
                <w:szCs w:val="10"/>
                <w:color w:val="auto"/>
              </w:rPr>
            </w:pPr>
          </w:p>
        </w:tc>
        <w:tc>
          <w:tcPr>
            <w:tcW w:w="80" w:type="dxa"/>
            <w:vAlign w:val="bottom"/>
            <w:tcBorders>
              <w:bottom w:val="single" w:sz="8" w:color="53C072"/>
            </w:tcBorders>
          </w:tcPr>
          <w:p>
            <w:pPr>
              <w:spacing w:after="0"/>
              <w:rPr>
                <w:sz w:val="10"/>
                <w:szCs w:val="10"/>
                <w:color w:val="auto"/>
              </w:rPr>
            </w:pPr>
          </w:p>
        </w:tc>
        <w:tc>
          <w:tcPr>
            <w:tcW w:w="80" w:type="dxa"/>
            <w:vAlign w:val="bottom"/>
            <w:tcBorders>
              <w:bottom w:val="single" w:sz="8" w:color="53C072"/>
            </w:tcBorders>
          </w:tcPr>
          <w:p>
            <w:pPr>
              <w:spacing w:after="0"/>
              <w:rPr>
                <w:sz w:val="10"/>
                <w:szCs w:val="10"/>
                <w:color w:val="auto"/>
              </w:rPr>
            </w:pPr>
          </w:p>
        </w:tc>
        <w:tc>
          <w:tcPr>
            <w:tcW w:w="80" w:type="dxa"/>
            <w:vAlign w:val="bottom"/>
            <w:tcBorders>
              <w:bottom w:val="single" w:sz="8" w:color="53C072"/>
            </w:tcBorders>
          </w:tcPr>
          <w:p>
            <w:pPr>
              <w:spacing w:after="0"/>
              <w:rPr>
                <w:sz w:val="10"/>
                <w:szCs w:val="10"/>
                <w:color w:val="auto"/>
              </w:rPr>
            </w:pPr>
          </w:p>
        </w:tc>
        <w:tc>
          <w:tcPr>
            <w:tcW w:w="200" w:type="dxa"/>
            <w:vAlign w:val="bottom"/>
            <w:tcBorders>
              <w:top w:val="single" w:sz="8" w:color="0000EE"/>
              <w:bottom w:val="single" w:sz="8" w:color="53C072"/>
            </w:tcBorders>
          </w:tcPr>
          <w:p>
            <w:pPr>
              <w:spacing w:after="0"/>
              <w:rPr>
                <w:sz w:val="10"/>
                <w:szCs w:val="10"/>
                <w:color w:val="auto"/>
              </w:rPr>
            </w:pPr>
          </w:p>
        </w:tc>
        <w:tc>
          <w:tcPr>
            <w:tcW w:w="20" w:type="dxa"/>
            <w:vAlign w:val="bottom"/>
            <w:tcBorders>
              <w:bottom w:val="single" w:sz="8" w:color="53C072"/>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2">
            <w:col w:w="5260" w:space="220"/>
            <w:col w:w="439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420"/>
        <w:spacing w:after="0"/>
        <w:rPr>
          <w:sz w:val="20"/>
          <w:szCs w:val="20"/>
          <w:color w:val="auto"/>
        </w:rPr>
      </w:pPr>
      <w:r>
        <w:rPr>
          <w:rFonts w:ascii="Arial" w:cs="Arial" w:eastAsia="Arial" w:hAnsi="Arial"/>
          <w:sz w:val="40"/>
          <w:szCs w:val="40"/>
          <w:b w:val="1"/>
          <w:bCs w:val="1"/>
          <w:color w:val="FEFEFE"/>
        </w:rPr>
        <w:t>PROXY STATEMENT SUMMARY</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ind w:left="1000" w:right="659"/>
        <w:spacing w:after="0" w:line="287" w:lineRule="auto"/>
        <w:rPr>
          <w:sz w:val="20"/>
          <w:szCs w:val="20"/>
          <w:color w:val="auto"/>
        </w:rPr>
      </w:pPr>
      <w:r>
        <w:rPr>
          <w:rFonts w:ascii="Arial" w:cs="Arial" w:eastAsia="Arial" w:hAnsi="Arial"/>
          <w:sz w:val="18"/>
          <w:szCs w:val="18"/>
          <w:color w:val="auto"/>
        </w:rPr>
        <w:t>This summary highlights selected information in this Proxy Statement. Please review the entire document before voting.</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132080</wp:posOffset>
            </wp:positionV>
            <wp:extent cx="5554980" cy="12261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54980" cy="1226185"/>
                    </a:xfrm>
                    <a:prstGeom prst="rect">
                      <a:avLst/>
                    </a:prstGeom>
                    <a:noFill/>
                  </pic:spPr>
                </pic:pic>
              </a:graphicData>
            </a:graphic>
          </wp:anchor>
        </w:drawing>
      </w:r>
    </w:p>
    <w:p>
      <w:pPr>
        <w:spacing w:after="0" w:line="168" w:lineRule="exact"/>
        <w:rPr>
          <w:sz w:val="20"/>
          <w:szCs w:val="20"/>
          <w:color w:val="auto"/>
        </w:rPr>
      </w:pPr>
    </w:p>
    <w:tbl>
      <w:tblPr>
        <w:tblLayout w:type="fixed"/>
        <w:tblInd w:w="980" w:type="dxa"/>
        <w:tblCellMar>
          <w:top w:w="0" w:type="dxa"/>
          <w:left w:w="0" w:type="dxa"/>
          <w:bottom w:w="0" w:type="dxa"/>
          <w:right w:w="0" w:type="dxa"/>
        </w:tblCellMar>
      </w:tblPr>
      <w:tr>
        <w:trPr>
          <w:trHeight w:val="228"/>
        </w:trPr>
        <w:tc>
          <w:tcPr>
            <w:tcW w:w="2500" w:type="dxa"/>
            <w:vAlign w:val="bottom"/>
            <w:tcBorders>
              <w:top w:val="single" w:sz="8" w:color="53C072"/>
            </w:tcBorders>
          </w:tcPr>
          <w:p>
            <w:pPr>
              <w:ind w:left="2200"/>
              <w:spacing w:after="0"/>
              <w:rPr>
                <w:sz w:val="20"/>
                <w:szCs w:val="20"/>
                <w:color w:val="auto"/>
              </w:rPr>
            </w:pPr>
            <w:r>
              <w:rPr>
                <w:rFonts w:ascii="Arial" w:cs="Arial" w:eastAsia="Arial" w:hAnsi="Arial"/>
                <w:sz w:val="16"/>
                <w:szCs w:val="16"/>
                <w:color w:val="auto"/>
              </w:rPr>
              <w:t>​ ​</w:t>
            </w:r>
          </w:p>
        </w:tc>
        <w:tc>
          <w:tcPr>
            <w:tcW w:w="2040" w:type="dxa"/>
            <w:vAlign w:val="bottom"/>
            <w:tcBorders>
              <w:top w:val="single" w:sz="8" w:color="53C072"/>
            </w:tcBorders>
          </w:tcPr>
          <w:p>
            <w:pPr>
              <w:ind w:left="1800"/>
              <w:spacing w:after="0"/>
              <w:rPr>
                <w:sz w:val="20"/>
                <w:szCs w:val="20"/>
                <w:color w:val="auto"/>
              </w:rPr>
            </w:pPr>
            <w:r>
              <w:rPr>
                <w:rFonts w:ascii="Arial" w:cs="Arial" w:eastAsia="Arial" w:hAnsi="Arial"/>
                <w:sz w:val="16"/>
                <w:szCs w:val="16"/>
                <w:color w:val="auto"/>
              </w:rPr>
              <w:t>​ ​</w:t>
            </w:r>
          </w:p>
        </w:tc>
        <w:tc>
          <w:tcPr>
            <w:tcW w:w="2180" w:type="dxa"/>
            <w:vAlign w:val="bottom"/>
            <w:tcBorders>
              <w:top w:val="single" w:sz="8" w:color="53C072"/>
            </w:tcBorders>
          </w:tcPr>
          <w:p>
            <w:pPr>
              <w:ind w:left="1900"/>
              <w:spacing w:after="0"/>
              <w:rPr>
                <w:sz w:val="20"/>
                <w:szCs w:val="20"/>
                <w:color w:val="auto"/>
              </w:rPr>
            </w:pPr>
            <w:r>
              <w:rPr>
                <w:rFonts w:ascii="Arial" w:cs="Arial" w:eastAsia="Arial" w:hAnsi="Arial"/>
                <w:sz w:val="16"/>
                <w:szCs w:val="16"/>
                <w:color w:val="auto"/>
              </w:rPr>
              <w:t>​ ​</w:t>
            </w:r>
          </w:p>
        </w:tc>
        <w:tc>
          <w:tcPr>
            <w:tcW w:w="2040" w:type="dxa"/>
            <w:vAlign w:val="bottom"/>
            <w:tcBorders>
              <w:top w:val="single" w:sz="8" w:color="53C072"/>
            </w:tcBorders>
          </w:tcPr>
          <w:p>
            <w:pPr>
              <w:ind w:left="1920"/>
              <w:spacing w:after="0"/>
              <w:rPr>
                <w:sz w:val="20"/>
                <w:szCs w:val="20"/>
                <w:color w:val="auto"/>
              </w:rPr>
            </w:pPr>
            <w:r>
              <w:rPr>
                <w:rFonts w:ascii="Arial" w:cs="Arial" w:eastAsia="Arial" w:hAnsi="Arial"/>
                <w:sz w:val="16"/>
                <w:szCs w:val="16"/>
                <w:color w:val="auto"/>
              </w:rPr>
              <w:t>​</w:t>
            </w:r>
          </w:p>
        </w:tc>
      </w:tr>
      <w:tr>
        <w:trPr>
          <w:trHeight w:val="892"/>
        </w:trPr>
        <w:tc>
          <w:tcPr>
            <w:tcW w:w="2500" w:type="dxa"/>
            <w:vAlign w:val="bottom"/>
          </w:tcPr>
          <w:p>
            <w:pPr>
              <w:jc w:val="center"/>
              <w:ind w:right="79"/>
              <w:spacing w:after="0"/>
              <w:rPr>
                <w:sz w:val="20"/>
                <w:szCs w:val="20"/>
                <w:color w:val="auto"/>
              </w:rPr>
            </w:pPr>
            <w:r>
              <w:rPr>
                <w:rFonts w:ascii="Arial" w:cs="Arial" w:eastAsia="Arial" w:hAnsi="Arial"/>
                <w:sz w:val="16"/>
                <w:szCs w:val="16"/>
                <w:b w:val="1"/>
                <w:bCs w:val="1"/>
                <w:color w:val="404040"/>
                <w:w w:val="96"/>
              </w:rPr>
              <w:t>DATE</w:t>
            </w:r>
          </w:p>
        </w:tc>
        <w:tc>
          <w:tcPr>
            <w:tcW w:w="2040" w:type="dxa"/>
            <w:vAlign w:val="bottom"/>
          </w:tcPr>
          <w:p>
            <w:pPr>
              <w:jc w:val="center"/>
              <w:ind w:right="379"/>
              <w:spacing w:after="0"/>
              <w:rPr>
                <w:sz w:val="20"/>
                <w:szCs w:val="20"/>
                <w:color w:val="auto"/>
              </w:rPr>
            </w:pPr>
            <w:r>
              <w:rPr>
                <w:rFonts w:ascii="Arial" w:cs="Arial" w:eastAsia="Arial" w:hAnsi="Arial"/>
                <w:sz w:val="16"/>
                <w:szCs w:val="16"/>
                <w:b w:val="1"/>
                <w:bCs w:val="1"/>
                <w:color w:val="404040"/>
                <w:w w:val="99"/>
              </w:rPr>
              <w:t>TIME</w:t>
            </w:r>
          </w:p>
        </w:tc>
        <w:tc>
          <w:tcPr>
            <w:tcW w:w="2180" w:type="dxa"/>
            <w:vAlign w:val="bottom"/>
          </w:tcPr>
          <w:p>
            <w:pPr>
              <w:jc w:val="center"/>
              <w:ind w:right="359"/>
              <w:spacing w:after="0"/>
              <w:rPr>
                <w:sz w:val="20"/>
                <w:szCs w:val="20"/>
                <w:color w:val="auto"/>
              </w:rPr>
            </w:pPr>
            <w:r>
              <w:rPr>
                <w:rFonts w:ascii="Arial" w:cs="Arial" w:eastAsia="Arial" w:hAnsi="Arial"/>
                <w:sz w:val="16"/>
                <w:szCs w:val="16"/>
                <w:b w:val="1"/>
                <w:bCs w:val="1"/>
                <w:color w:val="404040"/>
                <w:w w:val="99"/>
              </w:rPr>
              <w:t>PLACE</w:t>
            </w:r>
          </w:p>
        </w:tc>
        <w:tc>
          <w:tcPr>
            <w:tcW w:w="2040" w:type="dxa"/>
            <w:vAlign w:val="bottom"/>
          </w:tcPr>
          <w:p>
            <w:pPr>
              <w:jc w:val="center"/>
              <w:ind w:right="319"/>
              <w:spacing w:after="0"/>
              <w:rPr>
                <w:sz w:val="20"/>
                <w:szCs w:val="20"/>
                <w:color w:val="auto"/>
              </w:rPr>
            </w:pPr>
            <w:r>
              <w:rPr>
                <w:rFonts w:ascii="Arial" w:cs="Arial" w:eastAsia="Arial" w:hAnsi="Arial"/>
                <w:sz w:val="16"/>
                <w:szCs w:val="16"/>
                <w:b w:val="1"/>
                <w:bCs w:val="1"/>
                <w:color w:val="404040"/>
                <w:w w:val="98"/>
              </w:rPr>
              <w:t>RECORD DATE</w:t>
            </w:r>
          </w:p>
        </w:tc>
      </w:tr>
      <w:tr>
        <w:trPr>
          <w:trHeight w:val="241"/>
        </w:trPr>
        <w:tc>
          <w:tcPr>
            <w:tcW w:w="2500" w:type="dxa"/>
            <w:vAlign w:val="bottom"/>
          </w:tcPr>
          <w:p>
            <w:pPr>
              <w:jc w:val="center"/>
              <w:ind w:right="39"/>
              <w:spacing w:after="0"/>
              <w:rPr>
                <w:sz w:val="20"/>
                <w:szCs w:val="20"/>
                <w:color w:val="auto"/>
              </w:rPr>
            </w:pPr>
            <w:r>
              <w:rPr>
                <w:rFonts w:ascii="Arial" w:cs="Arial" w:eastAsia="Arial" w:hAnsi="Arial"/>
                <w:sz w:val="16"/>
                <w:szCs w:val="16"/>
                <w:color w:val="404040"/>
              </w:rPr>
              <w:t>November 21, 2025</w:t>
            </w:r>
          </w:p>
        </w:tc>
        <w:tc>
          <w:tcPr>
            <w:tcW w:w="2040" w:type="dxa"/>
            <w:vAlign w:val="bottom"/>
          </w:tcPr>
          <w:p>
            <w:pPr>
              <w:jc w:val="center"/>
              <w:ind w:right="359"/>
              <w:spacing w:after="0"/>
              <w:rPr>
                <w:sz w:val="20"/>
                <w:szCs w:val="20"/>
                <w:color w:val="auto"/>
              </w:rPr>
            </w:pPr>
            <w:r>
              <w:rPr>
                <w:rFonts w:ascii="Arial" w:cs="Arial" w:eastAsia="Arial" w:hAnsi="Arial"/>
                <w:sz w:val="16"/>
                <w:szCs w:val="16"/>
                <w:color w:val="404040"/>
              </w:rPr>
              <w:t>8:00 am local time</w:t>
            </w:r>
          </w:p>
        </w:tc>
        <w:tc>
          <w:tcPr>
            <w:tcW w:w="2180" w:type="dxa"/>
            <w:vAlign w:val="bottom"/>
          </w:tcPr>
          <w:p>
            <w:pPr>
              <w:jc w:val="center"/>
              <w:ind w:right="359"/>
              <w:spacing w:after="0"/>
              <w:rPr>
                <w:sz w:val="20"/>
                <w:szCs w:val="20"/>
                <w:color w:val="auto"/>
              </w:rPr>
            </w:pPr>
            <w:r>
              <w:rPr>
                <w:rFonts w:ascii="Arial" w:cs="Arial" w:eastAsia="Arial" w:hAnsi="Arial"/>
                <w:sz w:val="16"/>
                <w:szCs w:val="16"/>
                <w:color w:val="404040"/>
              </w:rPr>
              <w:t>Avnet’s Headquarters</w:t>
            </w:r>
          </w:p>
        </w:tc>
        <w:tc>
          <w:tcPr>
            <w:tcW w:w="2040" w:type="dxa"/>
            <w:vAlign w:val="bottom"/>
          </w:tcPr>
          <w:p>
            <w:pPr>
              <w:jc w:val="center"/>
              <w:ind w:right="279"/>
              <w:spacing w:after="0"/>
              <w:rPr>
                <w:sz w:val="20"/>
                <w:szCs w:val="20"/>
                <w:color w:val="auto"/>
              </w:rPr>
            </w:pPr>
            <w:r>
              <w:rPr>
                <w:rFonts w:ascii="Arial" w:cs="Arial" w:eastAsia="Arial" w:hAnsi="Arial"/>
                <w:sz w:val="16"/>
                <w:szCs w:val="16"/>
                <w:color w:val="404040"/>
              </w:rPr>
              <w:t>September 22, 2025</w:t>
            </w:r>
          </w:p>
        </w:tc>
      </w:tr>
    </w:tbl>
    <w:p>
      <w:pPr>
        <w:ind w:left="5560"/>
        <w:spacing w:after="0"/>
        <w:rPr>
          <w:sz w:val="20"/>
          <w:szCs w:val="20"/>
          <w:color w:val="auto"/>
        </w:rPr>
      </w:pPr>
      <w:r>
        <w:rPr>
          <w:rFonts w:ascii="Arial" w:cs="Arial" w:eastAsia="Arial" w:hAnsi="Arial"/>
          <w:sz w:val="16"/>
          <w:szCs w:val="16"/>
          <w:color w:val="404040"/>
        </w:rPr>
        <w:t>2211 South 47th Street</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6"/>
          <w:szCs w:val="16"/>
          <w:color w:val="404040"/>
        </w:rPr>
        <w:t>Phoenix, Arizona 85034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121920</wp:posOffset>
            </wp:positionV>
            <wp:extent cx="5554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3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PROPOSALS AND BOARD RECOMMENDATIONS</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53C072"/>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17780</wp:posOffset>
            </wp:positionV>
            <wp:extent cx="3789045" cy="1071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89045" cy="1071245"/>
                    </a:xfrm>
                    <a:prstGeom prst="rect">
                      <a:avLst/>
                    </a:prstGeom>
                    <a:noFill/>
                  </pic:spPr>
                </pic:pic>
              </a:graphicData>
            </a:graphic>
          </wp:anchor>
        </w:drawing>
      </w:r>
    </w:p>
    <w:p>
      <w:pPr>
        <w:ind w:left="1740" w:hanging="487"/>
        <w:spacing w:after="0"/>
        <w:tabs>
          <w:tab w:leader="none" w:pos="1740" w:val="left"/>
        </w:tabs>
        <w:numPr>
          <w:ilvl w:val="0"/>
          <w:numId w:val="6"/>
        </w:numPr>
        <w:rPr>
          <w:rFonts w:ascii="Arial" w:cs="Arial" w:eastAsia="Arial" w:hAnsi="Arial"/>
          <w:sz w:val="32"/>
          <w:szCs w:val="32"/>
          <w:b w:val="1"/>
          <w:bCs w:val="1"/>
          <w:color w:val="FEFEFE"/>
        </w:rPr>
      </w:pPr>
      <w:r>
        <w:rPr>
          <w:rFonts w:ascii="Arial" w:cs="Arial" w:eastAsia="Arial" w:hAnsi="Arial"/>
          <w:sz w:val="18"/>
          <w:szCs w:val="18"/>
          <w:b w:val="1"/>
          <w:bCs w:val="1"/>
          <w:color w:val="auto"/>
        </w:rPr>
        <w:t>​  Election of Directors</w:t>
      </w:r>
    </w:p>
    <w:p>
      <w:pPr>
        <w:spacing w:after="0" w:line="24" w:lineRule="exact"/>
        <w:rPr>
          <w:sz w:val="20"/>
          <w:szCs w:val="20"/>
          <w:color w:val="auto"/>
        </w:rPr>
      </w:pPr>
    </w:p>
    <w:p>
      <w:pPr>
        <w:ind w:left="1740" w:hanging="487"/>
        <w:spacing w:after="0"/>
        <w:tabs>
          <w:tab w:leader="none" w:pos="1740" w:val="left"/>
        </w:tabs>
        <w:numPr>
          <w:ilvl w:val="0"/>
          <w:numId w:val="7"/>
        </w:numPr>
        <w:rPr>
          <w:rFonts w:ascii="Arial" w:cs="Arial" w:eastAsia="Arial" w:hAnsi="Arial"/>
          <w:sz w:val="32"/>
          <w:szCs w:val="32"/>
          <w:b w:val="1"/>
          <w:bCs w:val="1"/>
          <w:color w:val="FEFEFE"/>
        </w:rPr>
      </w:pPr>
      <w:r>
        <w:rPr>
          <w:rFonts w:ascii="Arial" w:cs="Arial" w:eastAsia="Arial" w:hAnsi="Arial"/>
          <w:sz w:val="18"/>
          <w:szCs w:val="18"/>
          <w:b w:val="1"/>
          <w:bCs w:val="1"/>
          <w:color w:val="auto"/>
        </w:rPr>
        <w:t>​ Advisory vote on named executive compensation</w:t>
      </w:r>
    </w:p>
    <w:p>
      <w:pPr>
        <w:spacing w:after="0" w:line="10" w:lineRule="exact"/>
        <w:rPr>
          <w:sz w:val="20"/>
          <w:szCs w:val="20"/>
          <w:color w:val="auto"/>
        </w:rPr>
      </w:pPr>
    </w:p>
    <w:p>
      <w:pPr>
        <w:ind w:left="1740" w:hanging="487"/>
        <w:spacing w:after="0"/>
        <w:tabs>
          <w:tab w:leader="none" w:pos="1740" w:val="left"/>
        </w:tabs>
        <w:numPr>
          <w:ilvl w:val="0"/>
          <w:numId w:val="8"/>
        </w:numPr>
        <w:rPr>
          <w:rFonts w:ascii="Arial" w:cs="Arial" w:eastAsia="Arial" w:hAnsi="Arial"/>
          <w:sz w:val="32"/>
          <w:szCs w:val="32"/>
          <w:b w:val="1"/>
          <w:bCs w:val="1"/>
          <w:color w:val="FEFEFE"/>
        </w:rPr>
      </w:pPr>
      <w:r>
        <w:rPr>
          <w:rFonts w:ascii="Arial" w:cs="Arial" w:eastAsia="Arial" w:hAnsi="Arial"/>
          <w:sz w:val="18"/>
          <w:szCs w:val="18"/>
          <w:b w:val="1"/>
          <w:bCs w:val="1"/>
          <w:color w:val="auto"/>
        </w:rPr>
        <w:t>​ Approval of 2025 Stock Compensation and Incentive Plan</w:t>
      </w:r>
    </w:p>
    <w:p>
      <w:pPr>
        <w:ind w:left="1920" w:hanging="667"/>
        <w:spacing w:after="0" w:line="182" w:lineRule="auto"/>
        <w:tabs>
          <w:tab w:leader="none" w:pos="1920" w:val="left"/>
        </w:tabs>
        <w:numPr>
          <w:ilvl w:val="0"/>
          <w:numId w:val="9"/>
        </w:numPr>
        <w:rPr>
          <w:rFonts w:ascii="Arial" w:cs="Arial" w:eastAsia="Arial" w:hAnsi="Arial"/>
          <w:sz w:val="34"/>
          <w:szCs w:val="34"/>
          <w:b w:val="1"/>
          <w:bCs w:val="1"/>
          <w:color w:val="FEFEFE"/>
          <w:vertAlign w:val="subscript"/>
        </w:rPr>
      </w:pPr>
      <w:r>
        <w:rPr>
          <w:rFonts w:ascii="Arial" w:cs="Arial" w:eastAsia="Arial" w:hAnsi="Arial"/>
          <w:sz w:val="15"/>
          <w:szCs w:val="15"/>
          <w:b w:val="1"/>
          <w:bCs w:val="1"/>
          <w:color w:val="auto"/>
        </w:rPr>
        <w:t>Ratification of independent registered public accounting</w:t>
      </w:r>
    </w:p>
    <w:p>
      <w:pPr>
        <w:spacing w:after="0" w:line="1" w:lineRule="exact"/>
        <w:rPr>
          <w:rFonts w:ascii="Arial" w:cs="Arial" w:eastAsia="Arial" w:hAnsi="Arial"/>
          <w:sz w:val="34"/>
          <w:szCs w:val="34"/>
          <w:b w:val="1"/>
          <w:bCs w:val="1"/>
          <w:color w:val="FEFEFE"/>
          <w:vertAlign w:val="subscript"/>
        </w:rPr>
      </w:pPr>
    </w:p>
    <w:p>
      <w:pPr>
        <w:ind w:left="1920" w:hanging="181"/>
        <w:spacing w:after="0" w:line="183" w:lineRule="auto"/>
        <w:tabs>
          <w:tab w:leader="none" w:pos="1920" w:val="left"/>
        </w:tabs>
        <w:numPr>
          <w:ilvl w:val="1"/>
          <w:numId w:val="9"/>
        </w:numPr>
        <w:rPr>
          <w:rFonts w:ascii="Arial" w:cs="Arial" w:eastAsia="Arial" w:hAnsi="Arial"/>
          <w:sz w:val="26"/>
          <w:szCs w:val="26"/>
          <w:b w:val="1"/>
          <w:bCs w:val="1"/>
          <w:color w:val="auto"/>
          <w:vertAlign w:val="superscript"/>
        </w:rPr>
      </w:pPr>
      <w:r>
        <w:rPr>
          <w:rFonts w:ascii="Arial" w:cs="Arial" w:eastAsia="Arial" w:hAnsi="Arial"/>
          <w:sz w:val="15"/>
          <w:szCs w:val="15"/>
          <w:b w:val="1"/>
          <w:bCs w:val="1"/>
          <w:color w:val="auto"/>
        </w:rPr>
        <w:t>firm</w:t>
      </w:r>
    </w:p>
    <w:p>
      <w:pPr>
        <w:spacing w:after="0" w:line="23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157480</wp:posOffset>
            </wp:positionV>
            <wp:extent cx="2708910" cy="642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08910" cy="642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59" w:firstLine="468"/>
        <w:spacing w:after="0" w:line="265" w:lineRule="auto"/>
        <w:rPr>
          <w:sz w:val="20"/>
          <w:szCs w:val="20"/>
          <w:color w:val="auto"/>
        </w:rPr>
      </w:pPr>
      <w:r>
        <w:rPr>
          <w:rFonts w:ascii="Arial" w:cs="Arial" w:eastAsia="Arial" w:hAnsi="Arial"/>
          <w:sz w:val="18"/>
          <w:szCs w:val="18"/>
          <w:b w:val="1"/>
          <w:bCs w:val="1"/>
          <w:color w:val="53C072"/>
        </w:rPr>
        <w:t>Board Page Recommendation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-12065</wp:posOffset>
            </wp:positionV>
            <wp:extent cx="1757680" cy="1071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57680" cy="1071245"/>
                    </a:xfrm>
                    <a:prstGeom prst="rect">
                      <a:avLst/>
                    </a:prstGeom>
                    <a:noFill/>
                  </pic:spPr>
                </pic:pic>
              </a:graphicData>
            </a:graphic>
          </wp:anchor>
        </w:drawing>
      </w:r>
    </w:p>
    <w:p>
      <w:pPr>
        <w:ind w:left="440"/>
        <w:spacing w:after="0" w:line="184" w:lineRule="auto"/>
        <w:tabs>
          <w:tab w:leader="none" w:pos="2120" w:val="left"/>
        </w:tabs>
        <w:rPr>
          <w:sz w:val="20"/>
          <w:szCs w:val="20"/>
          <w:color w:val="auto"/>
        </w:rPr>
      </w:pPr>
      <w:r>
        <w:rPr>
          <w:rFonts w:ascii="Arial" w:cs="Arial" w:eastAsia="Arial" w:hAnsi="Arial"/>
          <w:sz w:val="28"/>
          <w:szCs w:val="28"/>
          <w:b w:val="1"/>
          <w:bCs w:val="1"/>
          <w:color w:val="FFFFFF"/>
        </w:rPr>
        <w:t>FOR</w:t>
      </w:r>
      <w:r>
        <w:rPr>
          <w:sz w:val="20"/>
          <w:szCs w:val="20"/>
          <w:color w:val="auto"/>
        </w:rPr>
        <w:tab/>
      </w:r>
      <w:r>
        <w:rPr>
          <w:rFonts w:ascii="Arial" w:cs="Arial" w:eastAsia="Arial" w:hAnsi="Arial"/>
          <w:sz w:val="17"/>
          <w:szCs w:val="17"/>
          <w:b w:val="1"/>
          <w:bCs w:val="1"/>
          <w:color w:val="auto"/>
        </w:rPr>
        <w:t>8</w:t>
      </w:r>
    </w:p>
    <w:p>
      <w:pPr>
        <w:spacing w:after="0" w:line="72" w:lineRule="exact"/>
        <w:rPr>
          <w:sz w:val="20"/>
          <w:szCs w:val="20"/>
          <w:color w:val="auto"/>
        </w:rPr>
      </w:pPr>
    </w:p>
    <w:p>
      <w:pPr>
        <w:ind w:left="440"/>
        <w:spacing w:after="0"/>
        <w:tabs>
          <w:tab w:leader="none" w:pos="2080" w:val="left"/>
        </w:tabs>
        <w:rPr>
          <w:sz w:val="20"/>
          <w:szCs w:val="20"/>
          <w:color w:val="auto"/>
        </w:rPr>
      </w:pPr>
      <w:r>
        <w:rPr>
          <w:rFonts w:ascii="Arial" w:cs="Arial" w:eastAsia="Arial" w:hAnsi="Arial"/>
          <w:sz w:val="29"/>
          <w:szCs w:val="29"/>
          <w:b w:val="1"/>
          <w:bCs w:val="1"/>
          <w:color w:val="FFFFFF"/>
        </w:rPr>
        <w:t>FOR</w:t>
      </w:r>
      <w:r>
        <w:rPr>
          <w:sz w:val="20"/>
          <w:szCs w:val="20"/>
          <w:color w:val="auto"/>
        </w:rPr>
        <w:tab/>
      </w:r>
      <w:r>
        <w:rPr>
          <w:rFonts w:ascii="Arial" w:cs="Arial" w:eastAsia="Arial" w:hAnsi="Arial"/>
          <w:sz w:val="18"/>
          <w:szCs w:val="18"/>
          <w:b w:val="1"/>
          <w:bCs w:val="1"/>
          <w:color w:val="auto"/>
        </w:rPr>
        <w:t>38</w:t>
      </w:r>
    </w:p>
    <w:p>
      <w:pPr>
        <w:spacing w:after="0" w:line="63" w:lineRule="exact"/>
        <w:rPr>
          <w:sz w:val="20"/>
          <w:szCs w:val="20"/>
          <w:color w:val="auto"/>
        </w:rPr>
      </w:pPr>
    </w:p>
    <w:p>
      <w:pPr>
        <w:ind w:left="440"/>
        <w:spacing w:after="0"/>
        <w:tabs>
          <w:tab w:leader="none" w:pos="2080" w:val="left"/>
        </w:tabs>
        <w:rPr>
          <w:sz w:val="20"/>
          <w:szCs w:val="20"/>
          <w:color w:val="auto"/>
        </w:rPr>
      </w:pPr>
      <w:r>
        <w:rPr>
          <w:rFonts w:ascii="Arial" w:cs="Arial" w:eastAsia="Arial" w:hAnsi="Arial"/>
          <w:sz w:val="29"/>
          <w:szCs w:val="29"/>
          <w:b w:val="1"/>
          <w:bCs w:val="1"/>
          <w:color w:val="FFFFFF"/>
        </w:rPr>
        <w:t>FOR</w:t>
      </w:r>
      <w:r>
        <w:rPr>
          <w:sz w:val="20"/>
          <w:szCs w:val="20"/>
          <w:color w:val="auto"/>
        </w:rPr>
        <w:tab/>
      </w:r>
      <w:r>
        <w:rPr>
          <w:rFonts w:ascii="Arial" w:cs="Arial" w:eastAsia="Arial" w:hAnsi="Arial"/>
          <w:sz w:val="18"/>
          <w:szCs w:val="18"/>
          <w:b w:val="1"/>
          <w:bCs w:val="1"/>
          <w:color w:val="auto"/>
        </w:rPr>
        <w:t>72</w:t>
      </w:r>
    </w:p>
    <w:p>
      <w:pPr>
        <w:spacing w:after="0" w:line="66" w:lineRule="exact"/>
        <w:rPr>
          <w:sz w:val="20"/>
          <w:szCs w:val="20"/>
          <w:color w:val="auto"/>
        </w:rPr>
      </w:pPr>
    </w:p>
    <w:p>
      <w:pPr>
        <w:ind w:left="440"/>
        <w:spacing w:after="0"/>
        <w:tabs>
          <w:tab w:leader="none" w:pos="2080" w:val="left"/>
        </w:tabs>
        <w:rPr>
          <w:sz w:val="20"/>
          <w:szCs w:val="20"/>
          <w:color w:val="auto"/>
        </w:rPr>
      </w:pPr>
      <w:r>
        <w:rPr>
          <w:rFonts w:ascii="Arial" w:cs="Arial" w:eastAsia="Arial" w:hAnsi="Arial"/>
          <w:sz w:val="29"/>
          <w:szCs w:val="29"/>
          <w:b w:val="1"/>
          <w:bCs w:val="1"/>
          <w:color w:val="FFFFFF"/>
        </w:rPr>
        <w:t>FOR</w:t>
      </w:r>
      <w:r>
        <w:rPr>
          <w:sz w:val="20"/>
          <w:szCs w:val="20"/>
          <w:color w:val="auto"/>
        </w:rPr>
        <w:tab/>
      </w:r>
      <w:r>
        <w:rPr>
          <w:rFonts w:ascii="Arial" w:cs="Arial" w:eastAsia="Arial" w:hAnsi="Arial"/>
          <w:sz w:val="18"/>
          <w:szCs w:val="18"/>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576580</wp:posOffset>
            </wp:positionV>
            <wp:extent cx="2708910" cy="5829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08910" cy="582930"/>
                    </a:xfrm>
                    <a:prstGeom prst="rect">
                      <a:avLst/>
                    </a:prstGeom>
                    <a:noFill/>
                  </pic:spPr>
                </pic:pic>
              </a:graphicData>
            </a:graphic>
          </wp:anchor>
        </w:drawing>
      </w:r>
    </w:p>
    <w:p>
      <w:pPr>
        <w:spacing w:after="0" w:line="859" w:lineRule="exact"/>
        <w:rPr>
          <w:sz w:val="20"/>
          <w:szCs w:val="20"/>
          <w:color w:val="auto"/>
        </w:rPr>
      </w:pPr>
    </w:p>
    <w:p>
      <w:pPr>
        <w:sectPr>
          <w:pgSz w:w="11900" w:h="16838" w:orient="portrait"/>
          <w:cols w:equalWidth="0" w:num="2">
            <w:col w:w="6800" w:space="300"/>
            <w:col w:w="2779"/>
          </w:cols>
          <w:pgMar w:left="580" w:top="97" w:right="1440" w:bottom="1440" w:gutter="0" w:footer="0" w:header="0"/>
          <w:type w:val="continuous"/>
        </w:sectPr>
      </w:pP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53C072"/>
        </w:rPr>
        <w:t>INTERNET</w:t>
      </w:r>
    </w:p>
    <w:p>
      <w:pPr>
        <w:spacing w:after="0" w:line="59" w:lineRule="exact"/>
        <w:rPr>
          <w:sz w:val="20"/>
          <w:szCs w:val="20"/>
          <w:color w:val="auto"/>
        </w:rPr>
      </w:pPr>
    </w:p>
    <w:p>
      <w:pPr>
        <w:ind w:left="1120" w:right="820"/>
        <w:spacing w:after="0" w:line="304" w:lineRule="auto"/>
        <w:rPr>
          <w:sz w:val="20"/>
          <w:szCs w:val="20"/>
          <w:color w:val="auto"/>
        </w:rPr>
      </w:pPr>
      <w:r>
        <w:rPr>
          <w:rFonts w:ascii="Arial" w:cs="Arial" w:eastAsia="Arial" w:hAnsi="Arial"/>
          <w:sz w:val="16"/>
          <w:szCs w:val="16"/>
          <w:color w:val="auto"/>
        </w:rPr>
        <w:t>Visit the website noted on your proxy card to vote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227330</wp:posOffset>
            </wp:positionV>
            <wp:extent cx="2708910" cy="711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08910" cy="71120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53C072"/>
        </w:rPr>
        <w:t>TELEPHONE</w:t>
      </w:r>
    </w:p>
    <w:p>
      <w:pPr>
        <w:spacing w:after="0" w:line="73" w:lineRule="exact"/>
        <w:rPr>
          <w:sz w:val="20"/>
          <w:szCs w:val="20"/>
          <w:color w:val="auto"/>
        </w:rPr>
      </w:pPr>
    </w:p>
    <w:p>
      <w:pPr>
        <w:jc w:val="both"/>
        <w:ind w:left="1120" w:right="1100"/>
        <w:spacing w:after="0" w:line="340" w:lineRule="auto"/>
        <w:rPr>
          <w:sz w:val="20"/>
          <w:szCs w:val="20"/>
          <w:color w:val="auto"/>
        </w:rPr>
      </w:pPr>
      <w:r>
        <w:rPr>
          <w:rFonts w:ascii="Arial" w:cs="Arial" w:eastAsia="Arial" w:hAnsi="Arial"/>
          <w:sz w:val="15"/>
          <w:szCs w:val="15"/>
          <w:color w:val="auto"/>
        </w:rPr>
        <w:t>Use the toll-free telephone number on your proxy card to vote by telephone.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53C072"/>
        </w:rPr>
        <w:t>MAIL</w:t>
      </w:r>
    </w:p>
    <w:p>
      <w:pPr>
        <w:spacing w:after="0" w:line="59" w:lineRule="exact"/>
        <w:rPr>
          <w:sz w:val="20"/>
          <w:szCs w:val="20"/>
          <w:color w:val="auto"/>
        </w:rPr>
      </w:pPr>
    </w:p>
    <w:p>
      <w:pPr>
        <w:ind w:right="1439"/>
        <w:spacing w:after="0" w:line="340" w:lineRule="auto"/>
        <w:rPr>
          <w:sz w:val="20"/>
          <w:szCs w:val="20"/>
          <w:color w:val="auto"/>
        </w:rPr>
      </w:pPr>
      <w:r>
        <w:rPr>
          <w:rFonts w:ascii="Arial" w:cs="Arial" w:eastAsia="Arial" w:hAnsi="Arial"/>
          <w:sz w:val="15"/>
          <w:szCs w:val="15"/>
          <w:color w:val="auto"/>
        </w:rPr>
        <w:t>Sign, date, and return your proxy card in the enclosed envelope to 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153035</wp:posOffset>
            </wp:positionV>
            <wp:extent cx="2708910" cy="676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08910" cy="67691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53C072"/>
        </w:rPr>
        <w:t>IN PERSON</w:t>
      </w:r>
    </w:p>
    <w:p>
      <w:pPr>
        <w:spacing w:after="0" w:line="73" w:lineRule="exact"/>
        <w:rPr>
          <w:sz w:val="20"/>
          <w:szCs w:val="20"/>
          <w:color w:val="auto"/>
        </w:rPr>
      </w:pPr>
    </w:p>
    <w:p>
      <w:pPr>
        <w:ind w:right="1599"/>
        <w:spacing w:after="0" w:line="304" w:lineRule="auto"/>
        <w:rPr>
          <w:sz w:val="20"/>
          <w:szCs w:val="20"/>
          <w:color w:val="auto"/>
        </w:rPr>
      </w:pPr>
      <w:r>
        <w:rPr>
          <w:rFonts w:ascii="Arial" w:cs="Arial" w:eastAsia="Arial" w:hAnsi="Arial"/>
          <w:sz w:val="16"/>
          <w:szCs w:val="16"/>
          <w:color w:val="auto"/>
        </w:rPr>
        <w:t>Cast your vote in person at the annual meeting.</w:t>
      </w:r>
    </w:p>
    <w:p>
      <w:pPr>
        <w:spacing w:after="0" w:line="317" w:lineRule="exact"/>
        <w:rPr>
          <w:sz w:val="20"/>
          <w:szCs w:val="20"/>
          <w:color w:val="auto"/>
        </w:rPr>
      </w:pPr>
    </w:p>
    <w:p>
      <w:pPr>
        <w:sectPr>
          <w:pgSz w:w="11900" w:h="16838" w:orient="portrait"/>
          <w:cols w:equalWidth="0" w:num="2">
            <w:col w:w="4880" w:space="720"/>
            <w:col w:w="42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640"/>
        <w:spacing w:after="0"/>
        <w:rPr>
          <w:sz w:val="20"/>
          <w:szCs w:val="20"/>
          <w:color w:val="auto"/>
        </w:rPr>
      </w:pPr>
      <w:r>
        <w:rPr>
          <w:sz w:val="1"/>
          <w:szCs w:val="1"/>
          <w:color w:val="auto"/>
        </w:rPr>
        <w:drawing>
          <wp:inline distT="0" distB="0" distL="0" distR="0">
            <wp:extent cx="1243330" cy="24003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7"/>
          <w:szCs w:val="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54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200" w:type="dxa"/>
            <w:vAlign w:val="bottom"/>
            <w:vMerge w:val="restart"/>
          </w:tcPr>
          <w:p>
            <w:pPr>
              <w:ind w:left="3180"/>
              <w:spacing w:after="0"/>
              <w:rPr>
                <w:sz w:val="20"/>
                <w:szCs w:val="20"/>
                <w:color w:val="auto"/>
              </w:rPr>
            </w:pPr>
            <w:r>
              <w:rPr>
                <w:rFonts w:ascii="Arial" w:cs="Arial" w:eastAsia="Arial" w:hAnsi="Arial"/>
                <w:sz w:val="14"/>
                <w:szCs w:val="14"/>
                <w:color w:val="auto"/>
              </w:rPr>
              <w:t>Proxy Summary</w:t>
            </w:r>
          </w:p>
        </w:tc>
        <w:tc>
          <w:tcPr>
            <w:tcW w:w="0" w:type="dxa"/>
            <w:vAlign w:val="bottom"/>
          </w:tcPr>
          <w:p>
            <w:pPr>
              <w:spacing w:after="0"/>
              <w:rPr>
                <w:sz w:val="1"/>
                <w:szCs w:val="1"/>
                <w:color w:val="auto"/>
              </w:rPr>
            </w:pPr>
          </w:p>
        </w:tc>
      </w:tr>
      <w:tr>
        <w:trPr>
          <w:trHeight w:val="88"/>
        </w:trPr>
        <w:tc>
          <w:tcPr>
            <w:tcW w:w="55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540" w:type="dxa"/>
            <w:vAlign w:val="bottom"/>
            <w:vMerge w:val="continue"/>
          </w:tcPr>
          <w:p>
            <w:pPr>
              <w:spacing w:after="0"/>
              <w:rPr>
                <w:sz w:val="11"/>
                <w:szCs w:val="11"/>
                <w:color w:val="auto"/>
              </w:rPr>
            </w:pPr>
          </w:p>
        </w:tc>
        <w:tc>
          <w:tcPr>
            <w:tcW w:w="4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SNAPSHOT OF 2025 DIRECTOR NOMINEES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19"/>
        </w:trPr>
        <w:tc>
          <w:tcPr>
            <w:tcW w:w="2920" w:type="dxa"/>
            <w:vAlign w:val="bottom"/>
          </w:tcPr>
          <w:p>
            <w:pPr>
              <w:spacing w:after="0"/>
              <w:rPr>
                <w:sz w:val="19"/>
                <w:szCs w:val="19"/>
                <w:color w:val="auto"/>
              </w:rPr>
            </w:pPr>
          </w:p>
        </w:tc>
        <w:tc>
          <w:tcPr>
            <w:tcW w:w="4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xml:space="preserve">   </w:t>
            </w:r>
          </w:p>
        </w:tc>
        <w:tc>
          <w:tcPr>
            <w:tcW w:w="760" w:type="dxa"/>
            <w:vAlign w:val="bottom"/>
            <w:vMerge w:val="restart"/>
          </w:tcPr>
          <w:p>
            <w:pPr>
              <w:jc w:val="center"/>
              <w:ind w:right="10"/>
              <w:spacing w:after="0"/>
              <w:rPr>
                <w:sz w:val="20"/>
                <w:szCs w:val="20"/>
                <w:color w:val="auto"/>
              </w:rPr>
            </w:pPr>
            <w:r>
              <w:rPr>
                <w:rFonts w:ascii="Arial" w:cs="Arial" w:eastAsia="Arial" w:hAnsi="Arial"/>
                <w:sz w:val="14"/>
                <w:szCs w:val="14"/>
                <w:b w:val="1"/>
                <w:bCs w:val="1"/>
                <w:color w:val="auto"/>
              </w:rPr>
              <w:t>Director</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53C072"/>
            </w:tcBorders>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53C072"/>
            </w:tcBorders>
          </w:tcPr>
          <w:p>
            <w:pPr>
              <w:spacing w:after="0"/>
              <w:rPr>
                <w:sz w:val="19"/>
                <w:szCs w:val="19"/>
                <w:color w:val="auto"/>
              </w:rPr>
            </w:pPr>
          </w:p>
        </w:tc>
        <w:tc>
          <w:tcPr>
            <w:tcW w:w="60" w:type="dxa"/>
            <w:vAlign w:val="bottom"/>
            <w:tcBorders>
              <w:bottom w:val="single" w:sz="8" w:color="53C072"/>
            </w:tcBorders>
          </w:tcPr>
          <w:p>
            <w:pPr>
              <w:spacing w:after="0"/>
              <w:rPr>
                <w:sz w:val="19"/>
                <w:szCs w:val="19"/>
                <w:color w:val="auto"/>
              </w:rPr>
            </w:pPr>
          </w:p>
        </w:tc>
        <w:tc>
          <w:tcPr>
            <w:tcW w:w="180" w:type="dxa"/>
            <w:vAlign w:val="bottom"/>
            <w:tcBorders>
              <w:bottom w:val="single" w:sz="8" w:color="53C072"/>
            </w:tcBorders>
          </w:tcPr>
          <w:p>
            <w:pPr>
              <w:spacing w:after="0"/>
              <w:rPr>
                <w:sz w:val="19"/>
                <w:szCs w:val="19"/>
                <w:color w:val="auto"/>
              </w:rPr>
            </w:pPr>
          </w:p>
        </w:tc>
        <w:tc>
          <w:tcPr>
            <w:tcW w:w="140" w:type="dxa"/>
            <w:vAlign w:val="bottom"/>
            <w:tcBorders>
              <w:bottom w:val="single" w:sz="8" w:color="53C072"/>
            </w:tcBorders>
          </w:tcPr>
          <w:p>
            <w:pPr>
              <w:spacing w:after="0"/>
              <w:rPr>
                <w:sz w:val="19"/>
                <w:szCs w:val="19"/>
                <w:color w:val="auto"/>
              </w:rPr>
            </w:pPr>
          </w:p>
        </w:tc>
        <w:tc>
          <w:tcPr>
            <w:tcW w:w="100" w:type="dxa"/>
            <w:vAlign w:val="bottom"/>
            <w:tcBorders>
              <w:bottom w:val="single" w:sz="8" w:color="53C072"/>
            </w:tcBorders>
          </w:tcPr>
          <w:p>
            <w:pPr>
              <w:spacing w:after="0"/>
              <w:rPr>
                <w:sz w:val="19"/>
                <w:szCs w:val="19"/>
                <w:color w:val="auto"/>
              </w:rPr>
            </w:pPr>
          </w:p>
        </w:tc>
        <w:tc>
          <w:tcPr>
            <w:tcW w:w="200" w:type="dxa"/>
            <w:vAlign w:val="bottom"/>
            <w:tcBorders>
              <w:bottom w:val="single" w:sz="8" w:color="53C072"/>
            </w:tcBorders>
          </w:tcPr>
          <w:p>
            <w:pPr>
              <w:spacing w:after="0"/>
              <w:rPr>
                <w:sz w:val="19"/>
                <w:szCs w:val="19"/>
                <w:color w:val="auto"/>
              </w:rPr>
            </w:pPr>
          </w:p>
        </w:tc>
        <w:tc>
          <w:tcPr>
            <w:tcW w:w="60" w:type="dxa"/>
            <w:vAlign w:val="bottom"/>
            <w:tcBorders>
              <w:bottom w:val="single" w:sz="8" w:color="53C072"/>
            </w:tcBorders>
          </w:tcPr>
          <w:p>
            <w:pPr>
              <w:spacing w:after="0"/>
              <w:rPr>
                <w:sz w:val="19"/>
                <w:szCs w:val="19"/>
                <w:color w:val="auto"/>
              </w:rPr>
            </w:pPr>
          </w:p>
        </w:tc>
        <w:tc>
          <w:tcPr>
            <w:tcW w:w="1460" w:type="dxa"/>
            <w:vAlign w:val="bottom"/>
            <w:tcBorders>
              <w:bottom w:val="single" w:sz="8" w:color="53C072"/>
            </w:tcBorders>
            <w:gridSpan w:val="13"/>
          </w:tcPr>
          <w:p>
            <w:pPr>
              <w:jc w:val="center"/>
              <w:spacing w:after="0"/>
              <w:rPr>
                <w:sz w:val="20"/>
                <w:szCs w:val="20"/>
                <w:color w:val="auto"/>
              </w:rPr>
            </w:pPr>
            <w:r>
              <w:rPr>
                <w:rFonts w:ascii="Arial" w:cs="Arial" w:eastAsia="Arial" w:hAnsi="Arial"/>
                <w:sz w:val="14"/>
                <w:szCs w:val="14"/>
                <w:b w:val="1"/>
                <w:bCs w:val="1"/>
                <w:color w:val="auto"/>
              </w:rPr>
              <w:t>Avnet Committees</w:t>
            </w:r>
          </w:p>
        </w:tc>
        <w:tc>
          <w:tcPr>
            <w:tcW w:w="140" w:type="dxa"/>
            <w:vAlign w:val="bottom"/>
            <w:tcBorders>
              <w:bottom w:val="single" w:sz="8" w:color="53C072"/>
            </w:tcBorders>
          </w:tcPr>
          <w:p>
            <w:pPr>
              <w:spacing w:after="0"/>
              <w:rPr>
                <w:sz w:val="19"/>
                <w:szCs w:val="19"/>
                <w:color w:val="auto"/>
              </w:rPr>
            </w:pPr>
          </w:p>
        </w:tc>
        <w:tc>
          <w:tcPr>
            <w:tcW w:w="160" w:type="dxa"/>
            <w:vAlign w:val="bottom"/>
            <w:tcBorders>
              <w:bottom w:val="single" w:sz="8" w:color="53C072"/>
            </w:tcBorders>
          </w:tcPr>
          <w:p>
            <w:pPr>
              <w:spacing w:after="0"/>
              <w:rPr>
                <w:sz w:val="19"/>
                <w:szCs w:val="19"/>
                <w:color w:val="auto"/>
              </w:rPr>
            </w:pPr>
          </w:p>
        </w:tc>
        <w:tc>
          <w:tcPr>
            <w:tcW w:w="80" w:type="dxa"/>
            <w:vAlign w:val="bottom"/>
            <w:tcBorders>
              <w:bottom w:val="single" w:sz="8" w:color="53C072"/>
            </w:tcBorders>
          </w:tcPr>
          <w:p>
            <w:pPr>
              <w:spacing w:after="0"/>
              <w:rPr>
                <w:sz w:val="19"/>
                <w:szCs w:val="19"/>
                <w:color w:val="auto"/>
              </w:rPr>
            </w:pPr>
          </w:p>
        </w:tc>
        <w:tc>
          <w:tcPr>
            <w:tcW w:w="200" w:type="dxa"/>
            <w:vAlign w:val="bottom"/>
            <w:tcBorders>
              <w:bottom w:val="single" w:sz="8" w:color="53C072"/>
            </w:tcBorders>
          </w:tcPr>
          <w:p>
            <w:pPr>
              <w:spacing w:after="0"/>
              <w:rPr>
                <w:sz w:val="19"/>
                <w:szCs w:val="19"/>
                <w:color w:val="auto"/>
              </w:rPr>
            </w:pPr>
          </w:p>
        </w:tc>
        <w:tc>
          <w:tcPr>
            <w:tcW w:w="80" w:type="dxa"/>
            <w:vAlign w:val="bottom"/>
            <w:tcBorders>
              <w:bottom w:val="single" w:sz="8" w:color="53C072"/>
            </w:tcBorders>
          </w:tcPr>
          <w:p>
            <w:pPr>
              <w:spacing w:after="0"/>
              <w:rPr>
                <w:sz w:val="19"/>
                <w:szCs w:val="19"/>
                <w:color w:val="auto"/>
              </w:rPr>
            </w:pPr>
          </w:p>
        </w:tc>
        <w:tc>
          <w:tcPr>
            <w:tcW w:w="180" w:type="dxa"/>
            <w:vAlign w:val="bottom"/>
            <w:tcBorders>
              <w:bottom w:val="single" w:sz="8" w:color="53C072"/>
            </w:tcBorders>
          </w:tcPr>
          <w:p>
            <w:pPr>
              <w:spacing w:after="0"/>
              <w:rPr>
                <w:sz w:val="19"/>
                <w:szCs w:val="19"/>
                <w:color w:val="auto"/>
              </w:rPr>
            </w:pPr>
          </w:p>
        </w:tc>
        <w:tc>
          <w:tcPr>
            <w:tcW w:w="160" w:type="dxa"/>
            <w:vAlign w:val="bottom"/>
            <w:tcBorders>
              <w:bottom w:val="single" w:sz="8" w:color="53C072"/>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9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920" w:type="dxa"/>
            <w:vAlign w:val="bottom"/>
            <w:tcBorders>
              <w:bottom w:val="single" w:sz="8" w:color="53C072"/>
            </w:tcBorders>
          </w:tcPr>
          <w:p>
            <w:pPr>
              <w:ind w:left="4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53C072"/>
            </w:tcBorders>
          </w:tcPr>
          <w:p>
            <w:pPr>
              <w:ind w:left="140"/>
              <w:spacing w:after="0"/>
              <w:rPr>
                <w:sz w:val="20"/>
                <w:szCs w:val="20"/>
                <w:color w:val="auto"/>
              </w:rPr>
            </w:pPr>
            <w:r>
              <w:rPr>
                <w:rFonts w:ascii="Arial" w:cs="Arial" w:eastAsia="Arial" w:hAnsi="Arial"/>
                <w:sz w:val="14"/>
                <w:szCs w:val="14"/>
                <w:b w:val="1"/>
                <w:bCs w:val="1"/>
                <w:color w:val="auto"/>
              </w:rPr>
              <w:t>Age</w:t>
            </w:r>
          </w:p>
        </w:tc>
        <w:tc>
          <w:tcPr>
            <w:tcW w:w="760" w:type="dxa"/>
            <w:vAlign w:val="bottom"/>
            <w:tcBorders>
              <w:bottom w:val="single" w:sz="8" w:color="53C072"/>
            </w:tcBorders>
          </w:tcPr>
          <w:p>
            <w:pPr>
              <w:jc w:val="center"/>
              <w:spacing w:after="0"/>
              <w:rPr>
                <w:sz w:val="20"/>
                <w:szCs w:val="20"/>
                <w:color w:val="auto"/>
              </w:rPr>
            </w:pPr>
            <w:r>
              <w:rPr>
                <w:rFonts w:ascii="Arial" w:cs="Arial" w:eastAsia="Arial" w:hAnsi="Arial"/>
                <w:sz w:val="14"/>
                <w:szCs w:val="14"/>
                <w:b w:val="1"/>
                <w:bCs w:val="1"/>
                <w:color w:val="auto"/>
              </w:rPr>
              <w:t>Since</w:t>
            </w:r>
          </w:p>
        </w:tc>
        <w:tc>
          <w:tcPr>
            <w:tcW w:w="1040" w:type="dxa"/>
            <w:vAlign w:val="bottom"/>
            <w:tcBorders>
              <w:bottom w:val="single" w:sz="8" w:color="53C072"/>
            </w:tcBorders>
            <w:gridSpan w:val="4"/>
          </w:tcPr>
          <w:p>
            <w:pPr>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Independent</w:t>
            </w:r>
          </w:p>
        </w:tc>
        <w:tc>
          <w:tcPr>
            <w:tcW w:w="340" w:type="dxa"/>
            <w:vAlign w:val="bottom"/>
            <w:tcBorders>
              <w:bottom w:val="single" w:sz="8" w:color="53C072"/>
            </w:tcBorders>
            <w:gridSpan w:val="3"/>
          </w:tcPr>
          <w:p>
            <w:pPr>
              <w:jc w:val="right"/>
              <w:ind w:right="88"/>
              <w:spacing w:after="0"/>
              <w:rPr>
                <w:sz w:val="20"/>
                <w:szCs w:val="20"/>
                <w:color w:val="auto"/>
              </w:rPr>
            </w:pPr>
            <w:r>
              <w:rPr>
                <w:rFonts w:ascii="Arial" w:cs="Arial" w:eastAsia="Arial" w:hAnsi="Arial"/>
                <w:sz w:val="14"/>
                <w:szCs w:val="14"/>
                <w:b w:val="1"/>
                <w:bCs w:val="1"/>
                <w:color w:val="auto"/>
              </w:rPr>
              <w:t>​ ​</w:t>
            </w:r>
          </w:p>
        </w:tc>
        <w:tc>
          <w:tcPr>
            <w:tcW w:w="20" w:type="dxa"/>
            <w:vAlign w:val="bottom"/>
            <w:tcBorders>
              <w:bottom w:val="single" w:sz="8" w:color="53C072"/>
            </w:tcBorders>
          </w:tcPr>
          <w:p>
            <w:pPr>
              <w:spacing w:after="0"/>
              <w:rPr>
                <w:sz w:val="20"/>
                <w:szCs w:val="20"/>
                <w:color w:val="auto"/>
              </w:rPr>
            </w:pPr>
          </w:p>
        </w:tc>
        <w:tc>
          <w:tcPr>
            <w:tcW w:w="60" w:type="dxa"/>
            <w:vAlign w:val="bottom"/>
            <w:tcBorders>
              <w:bottom w:val="single" w:sz="8" w:color="53C072"/>
            </w:tcBorders>
          </w:tcPr>
          <w:p>
            <w:pPr>
              <w:spacing w:after="0"/>
              <w:rPr>
                <w:sz w:val="20"/>
                <w:szCs w:val="20"/>
                <w:color w:val="auto"/>
              </w:rPr>
            </w:pPr>
          </w:p>
        </w:tc>
        <w:tc>
          <w:tcPr>
            <w:tcW w:w="180" w:type="dxa"/>
            <w:vAlign w:val="bottom"/>
            <w:tcBorders>
              <w:bottom w:val="single" w:sz="8" w:color="53C072"/>
            </w:tcBorders>
          </w:tcPr>
          <w:p>
            <w:pPr>
              <w:spacing w:after="0"/>
              <w:rPr>
                <w:sz w:val="20"/>
                <w:szCs w:val="20"/>
                <w:color w:val="auto"/>
              </w:rPr>
            </w:pPr>
            <w:r>
              <w:rPr>
                <w:rFonts w:ascii="Arial" w:cs="Arial" w:eastAsia="Arial" w:hAnsi="Arial"/>
                <w:sz w:val="14"/>
                <w:szCs w:val="14"/>
                <w:b w:val="1"/>
                <w:bCs w:val="1"/>
                <w:color w:val="auto"/>
              </w:rPr>
              <w:t>A</w:t>
            </w:r>
          </w:p>
        </w:tc>
        <w:tc>
          <w:tcPr>
            <w:tcW w:w="140" w:type="dxa"/>
            <w:vAlign w:val="bottom"/>
            <w:tcBorders>
              <w:bottom w:val="single" w:sz="8" w:color="53C072"/>
            </w:tcBorders>
          </w:tcPr>
          <w:p>
            <w:pPr>
              <w:spacing w:after="0"/>
              <w:rPr>
                <w:sz w:val="20"/>
                <w:szCs w:val="20"/>
                <w:color w:val="auto"/>
              </w:rPr>
            </w:pPr>
          </w:p>
        </w:tc>
        <w:tc>
          <w:tcPr>
            <w:tcW w:w="100" w:type="dxa"/>
            <w:vAlign w:val="bottom"/>
            <w:tcBorders>
              <w:bottom w:val="single" w:sz="8" w:color="53C072"/>
            </w:tcBorders>
          </w:tcPr>
          <w:p>
            <w:pPr>
              <w:spacing w:after="0"/>
              <w:rPr>
                <w:sz w:val="20"/>
                <w:szCs w:val="20"/>
                <w:color w:val="auto"/>
              </w:rPr>
            </w:pPr>
          </w:p>
        </w:tc>
        <w:tc>
          <w:tcPr>
            <w:tcW w:w="200" w:type="dxa"/>
            <w:vAlign w:val="bottom"/>
            <w:tcBorders>
              <w:bottom w:val="single" w:sz="8" w:color="53C072"/>
            </w:tcBorders>
          </w:tcPr>
          <w:p>
            <w:pPr>
              <w:spacing w:after="0"/>
              <w:rPr>
                <w:sz w:val="20"/>
                <w:szCs w:val="20"/>
                <w:color w:val="auto"/>
              </w:rPr>
            </w:pPr>
          </w:p>
        </w:tc>
        <w:tc>
          <w:tcPr>
            <w:tcW w:w="60" w:type="dxa"/>
            <w:vAlign w:val="bottom"/>
            <w:tcBorders>
              <w:bottom w:val="single" w:sz="8" w:color="53C072"/>
            </w:tcBorders>
          </w:tcPr>
          <w:p>
            <w:pPr>
              <w:spacing w:after="0"/>
              <w:rPr>
                <w:sz w:val="20"/>
                <w:szCs w:val="20"/>
                <w:color w:val="auto"/>
              </w:rPr>
            </w:pPr>
          </w:p>
        </w:tc>
        <w:tc>
          <w:tcPr>
            <w:tcW w:w="200" w:type="dxa"/>
            <w:vAlign w:val="bottom"/>
            <w:tcBorders>
              <w:bottom w:val="single" w:sz="8" w:color="53C072"/>
            </w:tcBorders>
          </w:tcPr>
          <w:p>
            <w:pPr>
              <w:ind w:left="20"/>
              <w:spacing w:after="0"/>
              <w:rPr>
                <w:sz w:val="20"/>
                <w:szCs w:val="20"/>
                <w:color w:val="auto"/>
              </w:rPr>
            </w:pPr>
            <w:r>
              <w:rPr>
                <w:rFonts w:ascii="Arial" w:cs="Arial" w:eastAsia="Arial" w:hAnsi="Arial"/>
                <w:sz w:val="14"/>
                <w:szCs w:val="14"/>
                <w:b w:val="1"/>
                <w:bCs w:val="1"/>
                <w:color w:val="auto"/>
              </w:rPr>
              <w:t>C</w:t>
            </w:r>
          </w:p>
        </w:tc>
        <w:tc>
          <w:tcPr>
            <w:tcW w:w="160" w:type="dxa"/>
            <w:vAlign w:val="bottom"/>
            <w:tcBorders>
              <w:bottom w:val="single" w:sz="8" w:color="53C072"/>
            </w:tcBorders>
          </w:tcPr>
          <w:p>
            <w:pPr>
              <w:spacing w:after="0"/>
              <w:rPr>
                <w:sz w:val="20"/>
                <w:szCs w:val="20"/>
                <w:color w:val="auto"/>
              </w:rPr>
            </w:pPr>
          </w:p>
        </w:tc>
        <w:tc>
          <w:tcPr>
            <w:tcW w:w="80" w:type="dxa"/>
            <w:vAlign w:val="bottom"/>
            <w:tcBorders>
              <w:bottom w:val="single" w:sz="8" w:color="53C072"/>
            </w:tcBorders>
          </w:tcPr>
          <w:p>
            <w:pPr>
              <w:spacing w:after="0"/>
              <w:rPr>
                <w:sz w:val="20"/>
                <w:szCs w:val="20"/>
                <w:color w:val="auto"/>
              </w:rPr>
            </w:pPr>
          </w:p>
        </w:tc>
        <w:tc>
          <w:tcPr>
            <w:tcW w:w="200" w:type="dxa"/>
            <w:vAlign w:val="bottom"/>
            <w:tcBorders>
              <w:bottom w:val="single" w:sz="8" w:color="53C072"/>
            </w:tcBorders>
          </w:tcPr>
          <w:p>
            <w:pPr>
              <w:spacing w:after="0"/>
              <w:rPr>
                <w:sz w:val="20"/>
                <w:szCs w:val="20"/>
                <w:color w:val="auto"/>
              </w:rPr>
            </w:pPr>
          </w:p>
        </w:tc>
        <w:tc>
          <w:tcPr>
            <w:tcW w:w="20" w:type="dxa"/>
            <w:vAlign w:val="bottom"/>
            <w:tcBorders>
              <w:bottom w:val="single" w:sz="8" w:color="53C072"/>
            </w:tcBorders>
          </w:tcPr>
          <w:p>
            <w:pPr>
              <w:spacing w:after="0"/>
              <w:rPr>
                <w:sz w:val="20"/>
                <w:szCs w:val="20"/>
                <w:color w:val="auto"/>
              </w:rPr>
            </w:pPr>
          </w:p>
        </w:tc>
        <w:tc>
          <w:tcPr>
            <w:tcW w:w="360" w:type="dxa"/>
            <w:vAlign w:val="bottom"/>
            <w:tcBorders>
              <w:bottom w:val="single" w:sz="8" w:color="53C072"/>
            </w:tcBorders>
            <w:gridSpan w:val="3"/>
          </w:tcPr>
          <w:p>
            <w:pPr>
              <w:jc w:val="center"/>
              <w:ind w:right="140"/>
              <w:spacing w:after="0"/>
              <w:rPr>
                <w:sz w:val="20"/>
                <w:szCs w:val="20"/>
                <w:color w:val="auto"/>
              </w:rPr>
            </w:pPr>
            <w:r>
              <w:rPr>
                <w:rFonts w:ascii="Arial" w:cs="Arial" w:eastAsia="Arial" w:hAnsi="Arial"/>
                <w:sz w:val="14"/>
                <w:szCs w:val="14"/>
                <w:b w:val="1"/>
                <w:bCs w:val="1"/>
                <w:color w:val="auto"/>
              </w:rPr>
              <w:t>CG</w:t>
            </w:r>
          </w:p>
        </w:tc>
        <w:tc>
          <w:tcPr>
            <w:tcW w:w="40" w:type="dxa"/>
            <w:vAlign w:val="bottom"/>
            <w:tcBorders>
              <w:bottom w:val="single" w:sz="8" w:color="53C072"/>
            </w:tcBorders>
          </w:tcPr>
          <w:p>
            <w:pPr>
              <w:spacing w:after="0"/>
              <w:rPr>
                <w:sz w:val="20"/>
                <w:szCs w:val="20"/>
                <w:color w:val="auto"/>
              </w:rPr>
            </w:pPr>
          </w:p>
        </w:tc>
        <w:tc>
          <w:tcPr>
            <w:tcW w:w="80" w:type="dxa"/>
            <w:vAlign w:val="bottom"/>
            <w:tcBorders>
              <w:bottom w:val="single" w:sz="8" w:color="53C072"/>
            </w:tcBorders>
          </w:tcPr>
          <w:p>
            <w:pPr>
              <w:spacing w:after="0"/>
              <w:rPr>
                <w:sz w:val="20"/>
                <w:szCs w:val="20"/>
                <w:color w:val="auto"/>
              </w:rPr>
            </w:pPr>
          </w:p>
        </w:tc>
        <w:tc>
          <w:tcPr>
            <w:tcW w:w="200" w:type="dxa"/>
            <w:vAlign w:val="bottom"/>
            <w:tcBorders>
              <w:bottom w:val="single" w:sz="8" w:color="53C072"/>
            </w:tcBorders>
          </w:tcPr>
          <w:p>
            <w:pPr>
              <w:spacing w:after="0"/>
              <w:rPr>
                <w:sz w:val="20"/>
                <w:szCs w:val="20"/>
                <w:color w:val="auto"/>
              </w:rPr>
            </w:pPr>
          </w:p>
        </w:tc>
        <w:tc>
          <w:tcPr>
            <w:tcW w:w="20" w:type="dxa"/>
            <w:vAlign w:val="bottom"/>
            <w:tcBorders>
              <w:bottom w:val="single" w:sz="8" w:color="53C072"/>
            </w:tcBorders>
          </w:tcPr>
          <w:p>
            <w:pPr>
              <w:spacing w:after="0"/>
              <w:rPr>
                <w:sz w:val="20"/>
                <w:szCs w:val="20"/>
                <w:color w:val="auto"/>
              </w:rPr>
            </w:pPr>
          </w:p>
        </w:tc>
        <w:tc>
          <w:tcPr>
            <w:tcW w:w="240" w:type="dxa"/>
            <w:vAlign w:val="bottom"/>
            <w:tcBorders>
              <w:bottom w:val="single" w:sz="8" w:color="53C072"/>
            </w:tcBorders>
            <w:gridSpan w:val="2"/>
          </w:tcPr>
          <w:p>
            <w:pPr>
              <w:jc w:val="right"/>
              <w:spacing w:after="0"/>
              <w:rPr>
                <w:sz w:val="20"/>
                <w:szCs w:val="20"/>
                <w:color w:val="auto"/>
              </w:rPr>
            </w:pPr>
            <w:r>
              <w:rPr>
                <w:rFonts w:ascii="Arial" w:cs="Arial" w:eastAsia="Arial" w:hAnsi="Arial"/>
                <w:sz w:val="14"/>
                <w:szCs w:val="14"/>
                <w:b w:val="1"/>
                <w:bCs w:val="1"/>
                <w:color w:val="auto"/>
                <w:w w:val="96"/>
              </w:rPr>
              <w:t>TR</w:t>
            </w:r>
          </w:p>
        </w:tc>
        <w:tc>
          <w:tcPr>
            <w:tcW w:w="160" w:type="dxa"/>
            <w:vAlign w:val="bottom"/>
            <w:tcBorders>
              <w:bottom w:val="single" w:sz="8" w:color="53C072"/>
            </w:tcBorders>
          </w:tcPr>
          <w:p>
            <w:pPr>
              <w:spacing w:after="0"/>
              <w:rPr>
                <w:sz w:val="20"/>
                <w:szCs w:val="20"/>
                <w:color w:val="auto"/>
              </w:rPr>
            </w:pPr>
          </w:p>
        </w:tc>
        <w:tc>
          <w:tcPr>
            <w:tcW w:w="80" w:type="dxa"/>
            <w:vAlign w:val="bottom"/>
            <w:tcBorders>
              <w:bottom w:val="single" w:sz="8" w:color="53C072"/>
            </w:tcBorders>
          </w:tcPr>
          <w:p>
            <w:pPr>
              <w:spacing w:after="0"/>
              <w:rPr>
                <w:sz w:val="20"/>
                <w:szCs w:val="20"/>
                <w:color w:val="auto"/>
              </w:rPr>
            </w:pPr>
          </w:p>
        </w:tc>
        <w:tc>
          <w:tcPr>
            <w:tcW w:w="200" w:type="dxa"/>
            <w:vAlign w:val="bottom"/>
            <w:tcBorders>
              <w:bottom w:val="single" w:sz="8" w:color="53C072"/>
            </w:tcBorders>
          </w:tcPr>
          <w:p>
            <w:pPr>
              <w:spacing w:after="0"/>
              <w:rPr>
                <w:sz w:val="20"/>
                <w:szCs w:val="20"/>
                <w:color w:val="auto"/>
              </w:rPr>
            </w:pPr>
          </w:p>
        </w:tc>
        <w:tc>
          <w:tcPr>
            <w:tcW w:w="80" w:type="dxa"/>
            <w:vAlign w:val="bottom"/>
            <w:tcBorders>
              <w:bottom w:val="single" w:sz="8" w:color="53C072"/>
            </w:tcBorders>
          </w:tcPr>
          <w:p>
            <w:pPr>
              <w:spacing w:after="0"/>
              <w:rPr>
                <w:sz w:val="20"/>
                <w:szCs w:val="20"/>
                <w:color w:val="auto"/>
              </w:rPr>
            </w:pPr>
          </w:p>
        </w:tc>
        <w:tc>
          <w:tcPr>
            <w:tcW w:w="180" w:type="dxa"/>
            <w:vAlign w:val="bottom"/>
            <w:tcBorders>
              <w:bottom w:val="single" w:sz="8" w:color="53C072"/>
            </w:tcBorders>
          </w:tcPr>
          <w:p>
            <w:pPr>
              <w:jc w:val="right"/>
              <w:spacing w:after="0"/>
              <w:rPr>
                <w:sz w:val="20"/>
                <w:szCs w:val="20"/>
                <w:color w:val="auto"/>
              </w:rPr>
            </w:pPr>
            <w:r>
              <w:rPr>
                <w:rFonts w:ascii="Arial" w:cs="Arial" w:eastAsia="Arial" w:hAnsi="Arial"/>
                <w:sz w:val="14"/>
                <w:szCs w:val="14"/>
                <w:b w:val="1"/>
                <w:bCs w:val="1"/>
                <w:color w:val="auto"/>
                <w:w w:val="85"/>
              </w:rPr>
              <w:t>E</w:t>
            </w:r>
          </w:p>
        </w:tc>
        <w:tc>
          <w:tcPr>
            <w:tcW w:w="160" w:type="dxa"/>
            <w:vAlign w:val="bottom"/>
            <w:tcBorders>
              <w:bottom w:val="single" w:sz="8" w:color="53C072"/>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920" w:type="dxa"/>
            <w:vAlign w:val="bottom"/>
          </w:tcPr>
          <w:p>
            <w:pPr>
              <w:ind w:left="60"/>
              <w:spacing w:after="0"/>
              <w:rPr>
                <w:sz w:val="20"/>
                <w:szCs w:val="20"/>
                <w:color w:val="auto"/>
              </w:rPr>
            </w:pPr>
            <w:r>
              <w:rPr>
                <w:rFonts w:ascii="Arial" w:cs="Arial" w:eastAsia="Arial" w:hAnsi="Arial"/>
                <w:sz w:val="14"/>
                <w:szCs w:val="14"/>
                <w:b w:val="1"/>
                <w:bCs w:val="1"/>
                <w:color w:val="404040"/>
              </w:rPr>
              <w:t>Rodney C. Adkins</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shd w:val="clear" w:color="auto" w:fill="B2B2B2"/>
          </w:tcPr>
          <w:p>
            <w:pPr>
              <w:spacing w:after="0"/>
              <w:rPr>
                <w:sz w:val="17"/>
                <w:szCs w:val="17"/>
                <w:color w:val="auto"/>
              </w:rPr>
            </w:pPr>
          </w:p>
        </w:tc>
        <w:tc>
          <w:tcPr>
            <w:tcW w:w="160" w:type="dxa"/>
            <w:vAlign w:val="bottom"/>
            <w:tcBorders>
              <w:right w:val="single" w:sz="8" w:color="B2B2B2"/>
            </w:tcBorders>
            <w:shd w:val="clear" w:color="auto" w:fill="B2B2B2"/>
          </w:tcPr>
          <w:p>
            <w:pPr>
              <w:spacing w:after="0"/>
              <w:rPr>
                <w:sz w:val="17"/>
                <w:szCs w:val="17"/>
                <w:color w:val="auto"/>
              </w:rPr>
            </w:pPr>
          </w:p>
        </w:tc>
        <w:tc>
          <w:tcPr>
            <w:tcW w:w="20" w:type="dxa"/>
            <w:vAlign w:val="bottom"/>
            <w:shd w:val="clear" w:color="auto" w:fill="B2B2B2"/>
          </w:tcPr>
          <w:p>
            <w:pPr>
              <w:spacing w:after="0"/>
              <w:rPr>
                <w:sz w:val="17"/>
                <w:szCs w:val="17"/>
                <w:color w:val="auto"/>
              </w:rPr>
            </w:pPr>
          </w:p>
        </w:tc>
        <w:tc>
          <w:tcPr>
            <w:tcW w:w="60" w:type="dxa"/>
            <w:vAlign w:val="bottom"/>
            <w:shd w:val="clear" w:color="auto" w:fill="B2B2B2"/>
          </w:tcPr>
          <w:p>
            <w:pPr>
              <w:spacing w:after="0"/>
              <w:rPr>
                <w:sz w:val="17"/>
                <w:szCs w:val="17"/>
                <w:color w:val="auto"/>
              </w:rPr>
            </w:pPr>
          </w:p>
        </w:tc>
        <w:tc>
          <w:tcPr>
            <w:tcW w:w="180" w:type="dxa"/>
            <w:vAlign w:val="bottom"/>
            <w:shd w:val="clear" w:color="auto" w:fill="B2B2B2"/>
          </w:tcPr>
          <w:p>
            <w:pPr>
              <w:spacing w:after="0"/>
              <w:rPr>
                <w:sz w:val="17"/>
                <w:szCs w:val="17"/>
                <w:color w:val="auto"/>
              </w:rPr>
            </w:pPr>
          </w:p>
        </w:tc>
        <w:tc>
          <w:tcPr>
            <w:tcW w:w="140" w:type="dxa"/>
            <w:vAlign w:val="bottom"/>
            <w:shd w:val="clear" w:color="auto" w:fill="B2B2B2"/>
          </w:tcPr>
          <w:p>
            <w:pPr>
              <w:spacing w:after="0"/>
              <w:rPr>
                <w:sz w:val="17"/>
                <w:szCs w:val="17"/>
                <w:color w:val="auto"/>
              </w:rPr>
            </w:pPr>
          </w:p>
        </w:tc>
        <w:tc>
          <w:tcPr>
            <w:tcW w:w="100" w:type="dxa"/>
            <w:vAlign w:val="bottom"/>
            <w:tcBorders>
              <w:right w:val="single" w:sz="8" w:color="FEFEFE"/>
            </w:tcBorders>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60" w:type="dxa"/>
            <w:vAlign w:val="bottom"/>
            <w:tcBorders>
              <w:right w:val="single" w:sz="8" w:color="B2B2B2"/>
            </w:tcBorders>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60" w:type="dxa"/>
            <w:vAlign w:val="bottom"/>
            <w:shd w:val="clear" w:color="auto" w:fill="B2B2B2"/>
          </w:tcPr>
          <w:p>
            <w:pPr>
              <w:spacing w:after="0"/>
              <w:rPr>
                <w:sz w:val="17"/>
                <w:szCs w:val="17"/>
                <w:color w:val="auto"/>
              </w:rPr>
            </w:pPr>
          </w:p>
        </w:tc>
        <w:tc>
          <w:tcPr>
            <w:tcW w:w="80" w:type="dxa"/>
            <w:vAlign w:val="bottom"/>
            <w:tcBorders>
              <w:right w:val="single" w:sz="8" w:color="FEFEFE"/>
            </w:tcBorders>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60" w:type="dxa"/>
            <w:vAlign w:val="bottom"/>
            <w:gridSpan w:val="2"/>
            <w:vMerge w:val="restart"/>
            <w:shd w:val="clear" w:color="auto" w:fill="B2B2B2"/>
          </w:tcPr>
          <w:p>
            <w:pPr>
              <w:ind w:left="40"/>
              <w:spacing w:after="0"/>
              <w:rPr>
                <w:sz w:val="20"/>
                <w:szCs w:val="20"/>
                <w:color w:val="auto"/>
              </w:rPr>
            </w:pPr>
            <w:r>
              <w:rPr>
                <w:rFonts w:ascii="Arial" w:cs="Arial" w:eastAsia="Arial" w:hAnsi="Arial"/>
                <w:sz w:val="25"/>
                <w:szCs w:val="25"/>
                <w:color w:val="auto"/>
              </w:rPr>
              <w:t>•</w:t>
            </w:r>
          </w:p>
        </w:tc>
        <w:tc>
          <w:tcPr>
            <w:tcW w:w="40" w:type="dxa"/>
            <w:vAlign w:val="bottom"/>
            <w:shd w:val="clear" w:color="auto" w:fill="B2B2B2"/>
          </w:tcPr>
          <w:p>
            <w:pPr>
              <w:spacing w:after="0"/>
              <w:rPr>
                <w:sz w:val="17"/>
                <w:szCs w:val="17"/>
                <w:color w:val="auto"/>
              </w:rPr>
            </w:pPr>
          </w:p>
        </w:tc>
        <w:tc>
          <w:tcPr>
            <w:tcW w:w="80" w:type="dxa"/>
            <w:vAlign w:val="bottom"/>
            <w:tcBorders>
              <w:right w:val="single" w:sz="8" w:color="FEFEFE"/>
            </w:tcBorders>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40" w:type="dxa"/>
            <w:vAlign w:val="bottom"/>
            <w:shd w:val="clear" w:color="auto" w:fill="B2B2B2"/>
          </w:tcPr>
          <w:p>
            <w:pPr>
              <w:spacing w:after="0"/>
              <w:rPr>
                <w:sz w:val="17"/>
                <w:szCs w:val="17"/>
                <w:color w:val="auto"/>
              </w:rPr>
            </w:pPr>
          </w:p>
        </w:tc>
        <w:tc>
          <w:tcPr>
            <w:tcW w:w="160" w:type="dxa"/>
            <w:vAlign w:val="bottom"/>
            <w:shd w:val="clear" w:color="auto" w:fill="B2B2B2"/>
          </w:tcPr>
          <w:p>
            <w:pPr>
              <w:spacing w:after="0"/>
              <w:rPr>
                <w:sz w:val="17"/>
                <w:szCs w:val="17"/>
                <w:color w:val="auto"/>
              </w:rPr>
            </w:pPr>
          </w:p>
        </w:tc>
        <w:tc>
          <w:tcPr>
            <w:tcW w:w="80" w:type="dxa"/>
            <w:vAlign w:val="bottom"/>
            <w:tcBorders>
              <w:right w:val="single" w:sz="8" w:color="FEFEFE"/>
            </w:tcBorders>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80" w:type="dxa"/>
            <w:vAlign w:val="bottom"/>
            <w:tcBorders>
              <w:right w:val="single" w:sz="8" w:color="B2B2B2"/>
            </w:tcBorders>
            <w:shd w:val="clear" w:color="auto" w:fill="B2B2B2"/>
          </w:tcPr>
          <w:p>
            <w:pPr>
              <w:spacing w:after="0"/>
              <w:rPr>
                <w:sz w:val="17"/>
                <w:szCs w:val="17"/>
                <w:color w:val="auto"/>
              </w:rPr>
            </w:pPr>
          </w:p>
        </w:tc>
        <w:tc>
          <w:tcPr>
            <w:tcW w:w="180" w:type="dxa"/>
            <w:vAlign w:val="bottom"/>
            <w:vMerge w:val="restart"/>
            <w:shd w:val="clear" w:color="auto" w:fill="B2B2B2"/>
          </w:tcPr>
          <w:p>
            <w:pPr>
              <w:jc w:val="right"/>
              <w:spacing w:after="0"/>
              <w:rPr>
                <w:sz w:val="20"/>
                <w:szCs w:val="20"/>
                <w:color w:val="auto"/>
              </w:rPr>
            </w:pPr>
            <w:r>
              <w:rPr>
                <w:rFonts w:ascii="Times New Roman" w:cs="Times New Roman" w:eastAsia="Times New Roman" w:hAnsi="Times New Roman"/>
                <w:sz w:val="25"/>
                <w:szCs w:val="25"/>
                <w:color w:val="auto"/>
              </w:rPr>
              <w:t>◦</w:t>
            </w:r>
          </w:p>
        </w:tc>
        <w:tc>
          <w:tcPr>
            <w:tcW w:w="160" w:type="dxa"/>
            <w:vAlign w:val="bottom"/>
            <w:shd w:val="clear" w:color="auto" w:fill="B2B2B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40"/>
              <w:spacing w:after="0" w:line="202" w:lineRule="exact"/>
              <w:rPr>
                <w:sz w:val="20"/>
                <w:szCs w:val="20"/>
                <w:color w:val="auto"/>
              </w:rPr>
            </w:pPr>
            <w:r>
              <w:rPr>
                <w:rFonts w:ascii="Arial" w:cs="Arial" w:eastAsia="Arial" w:hAnsi="Arial"/>
                <w:sz w:val="23"/>
                <w:szCs w:val="23"/>
                <w:color w:val="404040"/>
                <w:vertAlign w:val="superscript"/>
              </w:rPr>
              <w:t>​</w:t>
            </w:r>
            <w:r>
              <w:rPr>
                <w:rFonts w:ascii="Arial" w:cs="Arial" w:eastAsia="Arial" w:hAnsi="Arial"/>
                <w:sz w:val="13"/>
                <w:szCs w:val="13"/>
                <w:color w:val="404040"/>
              </w:rPr>
              <w:t>Chairman of the Board of Avnet, Inc,</w:t>
            </w:r>
          </w:p>
        </w:tc>
        <w:tc>
          <w:tcPr>
            <w:tcW w:w="480" w:type="dxa"/>
            <w:vAlign w:val="bottom"/>
          </w:tcPr>
          <w:p>
            <w:pPr>
              <w:ind w:left="180"/>
              <w:spacing w:after="0"/>
              <w:rPr>
                <w:sz w:val="20"/>
                <w:szCs w:val="20"/>
                <w:color w:val="auto"/>
              </w:rPr>
            </w:pPr>
            <w:r>
              <w:rPr>
                <w:rFonts w:ascii="Arial" w:cs="Arial" w:eastAsia="Arial" w:hAnsi="Arial"/>
                <w:sz w:val="14"/>
                <w:szCs w:val="14"/>
                <w:color w:val="404040"/>
              </w:rPr>
              <w:t>67</w:t>
            </w:r>
          </w:p>
        </w:tc>
        <w:tc>
          <w:tcPr>
            <w:tcW w:w="760" w:type="dxa"/>
            <w:vAlign w:val="bottom"/>
          </w:tcPr>
          <w:p>
            <w:pPr>
              <w:jc w:val="center"/>
              <w:spacing w:after="0"/>
              <w:rPr>
                <w:sz w:val="20"/>
                <w:szCs w:val="20"/>
                <w:color w:val="auto"/>
              </w:rPr>
            </w:pPr>
            <w:r>
              <w:rPr>
                <w:rFonts w:ascii="Arial" w:cs="Arial" w:eastAsia="Arial" w:hAnsi="Arial"/>
                <w:sz w:val="14"/>
                <w:szCs w:val="14"/>
                <w:color w:val="404040"/>
              </w:rPr>
              <w:t>2015</w:t>
            </w:r>
          </w:p>
        </w:tc>
        <w:tc>
          <w:tcPr>
            <w:tcW w:w="180" w:type="dxa"/>
            <w:vAlign w:val="bottom"/>
          </w:tcPr>
          <w:p>
            <w:pPr>
              <w:spacing w:after="0"/>
              <w:rPr>
                <w:sz w:val="20"/>
                <w:szCs w:val="20"/>
                <w:color w:val="auto"/>
              </w:rPr>
            </w:pPr>
            <w:r>
              <w:rPr>
                <w:rFonts w:ascii="Arial" w:cs="Arial" w:eastAsia="Arial" w:hAnsi="Arial"/>
                <w:sz w:val="14"/>
                <w:szCs w:val="14"/>
                <w:color w:val="404040"/>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Arial" w:cs="Arial" w:eastAsia="Arial" w:hAnsi="Arial"/>
                <w:sz w:val="14"/>
                <w:szCs w:val="14"/>
                <w:color w:val="404040"/>
              </w:rPr>
              <w:t>​YES</w:t>
            </w:r>
          </w:p>
        </w:tc>
        <w:tc>
          <w:tcPr>
            <w:tcW w:w="120" w:type="dxa"/>
            <w:vAlign w:val="bottom"/>
          </w:tcPr>
          <w:p>
            <w:pPr>
              <w:ind w:left="40"/>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60" w:type="dxa"/>
            <w:vAlign w:val="bottom"/>
            <w:tcBorders>
              <w:right w:val="single" w:sz="8" w:color="B2B2B2"/>
            </w:tcBorders>
            <w:shd w:val="clear" w:color="auto" w:fill="B2B2B2"/>
          </w:tcPr>
          <w:p>
            <w:pPr>
              <w:spacing w:after="0"/>
              <w:rPr>
                <w:sz w:val="17"/>
                <w:szCs w:val="17"/>
                <w:color w:val="auto"/>
              </w:rPr>
            </w:pPr>
          </w:p>
        </w:tc>
        <w:tc>
          <w:tcPr>
            <w:tcW w:w="80" w:type="dxa"/>
            <w:vAlign w:val="bottom"/>
            <w:gridSpan w:val="2"/>
            <w:shd w:val="clear" w:color="auto" w:fill="B2B2B2"/>
          </w:tcPr>
          <w:p>
            <w:pPr>
              <w:spacing w:after="0"/>
              <w:rPr>
                <w:sz w:val="20"/>
                <w:szCs w:val="20"/>
                <w:color w:val="auto"/>
              </w:rPr>
            </w:pPr>
            <w:r>
              <w:rPr>
                <w:rFonts w:ascii="Arial" w:cs="Arial" w:eastAsia="Arial" w:hAnsi="Arial"/>
                <w:sz w:val="14"/>
                <w:szCs w:val="14"/>
                <w:color w:val="404040"/>
              </w:rPr>
              <w:t>​</w:t>
            </w:r>
          </w:p>
        </w:tc>
        <w:tc>
          <w:tcPr>
            <w:tcW w:w="180" w:type="dxa"/>
            <w:vAlign w:val="bottom"/>
            <w:shd w:val="clear" w:color="auto" w:fill="B2B2B2"/>
          </w:tcPr>
          <w:p>
            <w:pPr>
              <w:spacing w:after="0"/>
              <w:rPr>
                <w:sz w:val="17"/>
                <w:szCs w:val="17"/>
                <w:color w:val="auto"/>
              </w:rPr>
            </w:pPr>
          </w:p>
        </w:tc>
        <w:tc>
          <w:tcPr>
            <w:tcW w:w="240" w:type="dxa"/>
            <w:vAlign w:val="bottom"/>
            <w:tcBorders>
              <w:right w:val="single" w:sz="8" w:color="FEFEFE"/>
            </w:tcBorders>
            <w:gridSpan w:val="2"/>
            <w:shd w:val="clear" w:color="auto" w:fill="B2B2B2"/>
          </w:tcPr>
          <w:p>
            <w:pPr>
              <w:ind w:left="140"/>
              <w:spacing w:after="0"/>
              <w:rPr>
                <w:sz w:val="20"/>
                <w:szCs w:val="20"/>
                <w:color w:val="auto"/>
              </w:rPr>
            </w:pPr>
            <w:r>
              <w:rPr>
                <w:rFonts w:ascii="Arial" w:cs="Arial" w:eastAsia="Arial" w:hAnsi="Arial"/>
                <w:sz w:val="14"/>
                <w:szCs w:val="14"/>
                <w:color w:val="404040"/>
              </w:rPr>
              <w:t>​</w:t>
            </w:r>
          </w:p>
        </w:tc>
        <w:tc>
          <w:tcPr>
            <w:tcW w:w="260" w:type="dxa"/>
            <w:vAlign w:val="bottom"/>
            <w:tcBorders>
              <w:right w:val="single" w:sz="8" w:color="B2B2B2"/>
            </w:tcBorders>
            <w:gridSpan w:val="2"/>
            <w:shd w:val="clear" w:color="auto" w:fill="B2B2B2"/>
          </w:tcPr>
          <w:p>
            <w:pPr>
              <w:ind w:left="200"/>
              <w:spacing w:after="0"/>
              <w:rPr>
                <w:sz w:val="20"/>
                <w:szCs w:val="20"/>
                <w:color w:val="auto"/>
              </w:rPr>
            </w:pPr>
            <w:r>
              <w:rPr>
                <w:rFonts w:ascii="Arial" w:cs="Arial" w:eastAsia="Arial" w:hAnsi="Arial"/>
                <w:sz w:val="14"/>
                <w:szCs w:val="14"/>
                <w:color w:val="404040"/>
              </w:rPr>
              <w:t>​</w:t>
            </w:r>
          </w:p>
        </w:tc>
        <w:tc>
          <w:tcPr>
            <w:tcW w:w="200" w:type="dxa"/>
            <w:vAlign w:val="bottom"/>
            <w:shd w:val="clear" w:color="auto" w:fill="B2B2B2"/>
          </w:tcPr>
          <w:p>
            <w:pPr>
              <w:spacing w:after="0"/>
              <w:rPr>
                <w:sz w:val="17"/>
                <w:szCs w:val="17"/>
                <w:color w:val="auto"/>
              </w:rPr>
            </w:pPr>
          </w:p>
        </w:tc>
        <w:tc>
          <w:tcPr>
            <w:tcW w:w="240" w:type="dxa"/>
            <w:vAlign w:val="bottom"/>
            <w:tcBorders>
              <w:right w:val="single" w:sz="8" w:color="FEFEFE"/>
            </w:tcBorders>
            <w:gridSpan w:val="2"/>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320" w:type="dxa"/>
            <w:vAlign w:val="bottom"/>
            <w:gridSpan w:val="3"/>
            <w:shd w:val="clear" w:color="auto" w:fill="B2B2B2"/>
          </w:tcPr>
          <w:p>
            <w:pPr>
              <w:ind w:left="200"/>
              <w:spacing w:after="0"/>
              <w:rPr>
                <w:sz w:val="20"/>
                <w:szCs w:val="20"/>
                <w:color w:val="auto"/>
              </w:rPr>
            </w:pPr>
            <w:r>
              <w:rPr>
                <w:rFonts w:ascii="Arial" w:cs="Arial" w:eastAsia="Arial" w:hAnsi="Arial"/>
                <w:sz w:val="14"/>
                <w:szCs w:val="14"/>
                <w:color w:val="404040"/>
              </w:rPr>
              <w:t>​</w:t>
            </w:r>
          </w:p>
        </w:tc>
        <w:tc>
          <w:tcPr>
            <w:tcW w:w="260" w:type="dxa"/>
            <w:vAlign w:val="bottom"/>
            <w:gridSpan w:val="2"/>
            <w:vMerge w:val="continue"/>
            <w:shd w:val="clear" w:color="auto" w:fill="B2B2B2"/>
          </w:tcPr>
          <w:p>
            <w:pPr>
              <w:spacing w:after="0"/>
              <w:rPr>
                <w:sz w:val="17"/>
                <w:szCs w:val="17"/>
                <w:color w:val="auto"/>
              </w:rPr>
            </w:pPr>
          </w:p>
        </w:tc>
        <w:tc>
          <w:tcPr>
            <w:tcW w:w="120" w:type="dxa"/>
            <w:vAlign w:val="bottom"/>
            <w:tcBorders>
              <w:right w:val="single" w:sz="8" w:color="FEFEFE"/>
            </w:tcBorders>
            <w:gridSpan w:val="2"/>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320" w:type="dxa"/>
            <w:vAlign w:val="bottom"/>
            <w:gridSpan w:val="3"/>
            <w:shd w:val="clear" w:color="auto" w:fill="B2B2B2"/>
          </w:tcPr>
          <w:p>
            <w:pPr>
              <w:ind w:left="200"/>
              <w:spacing w:after="0"/>
              <w:rPr>
                <w:sz w:val="20"/>
                <w:szCs w:val="20"/>
                <w:color w:val="auto"/>
              </w:rPr>
            </w:pPr>
            <w:r>
              <w:rPr>
                <w:rFonts w:ascii="Arial" w:cs="Arial" w:eastAsia="Arial" w:hAnsi="Arial"/>
                <w:sz w:val="14"/>
                <w:szCs w:val="14"/>
                <w:color w:val="404040"/>
              </w:rPr>
              <w:t>​</w:t>
            </w:r>
          </w:p>
        </w:tc>
        <w:tc>
          <w:tcPr>
            <w:tcW w:w="140" w:type="dxa"/>
            <w:vAlign w:val="bottom"/>
            <w:shd w:val="clear" w:color="auto" w:fill="B2B2B2"/>
          </w:tcPr>
          <w:p>
            <w:pPr>
              <w:spacing w:after="0"/>
              <w:rPr>
                <w:sz w:val="17"/>
                <w:szCs w:val="17"/>
                <w:color w:val="auto"/>
              </w:rPr>
            </w:pPr>
          </w:p>
        </w:tc>
        <w:tc>
          <w:tcPr>
            <w:tcW w:w="240" w:type="dxa"/>
            <w:vAlign w:val="bottom"/>
            <w:tcBorders>
              <w:right w:val="single" w:sz="8" w:color="FEFEFE"/>
            </w:tcBorders>
            <w:gridSpan w:val="2"/>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280" w:type="dxa"/>
            <w:vAlign w:val="bottom"/>
            <w:tcBorders>
              <w:right w:val="single" w:sz="8" w:color="B2B2B2"/>
            </w:tcBorders>
            <w:gridSpan w:val="2"/>
            <w:shd w:val="clear" w:color="auto" w:fill="B2B2B2"/>
          </w:tcPr>
          <w:p>
            <w:pPr>
              <w:ind w:left="200"/>
              <w:spacing w:after="0"/>
              <w:rPr>
                <w:sz w:val="20"/>
                <w:szCs w:val="20"/>
                <w:color w:val="auto"/>
              </w:rPr>
            </w:pPr>
            <w:r>
              <w:rPr>
                <w:rFonts w:ascii="Arial" w:cs="Arial" w:eastAsia="Arial" w:hAnsi="Arial"/>
                <w:sz w:val="14"/>
                <w:szCs w:val="14"/>
                <w:color w:val="404040"/>
              </w:rPr>
              <w:t>​</w:t>
            </w:r>
          </w:p>
        </w:tc>
        <w:tc>
          <w:tcPr>
            <w:tcW w:w="180" w:type="dxa"/>
            <w:vAlign w:val="bottom"/>
            <w:vMerge w:val="continue"/>
            <w:shd w:val="clear" w:color="auto" w:fill="B2B2B2"/>
          </w:tcPr>
          <w:p>
            <w:pPr>
              <w:spacing w:after="0"/>
              <w:rPr>
                <w:sz w:val="17"/>
                <w:szCs w:val="17"/>
                <w:color w:val="auto"/>
              </w:rPr>
            </w:pPr>
          </w:p>
        </w:tc>
        <w:tc>
          <w:tcPr>
            <w:tcW w:w="160" w:type="dxa"/>
            <w:vAlign w:val="bottom"/>
            <w:shd w:val="clear" w:color="auto" w:fill="B2B2B2"/>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94"/>
        </w:trPr>
        <w:tc>
          <w:tcPr>
            <w:tcW w:w="292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404040"/>
              </w:rPr>
              <w:t>President, 3RAM Group LLC</w:t>
            </w:r>
          </w:p>
        </w:tc>
        <w:tc>
          <w:tcPr>
            <w:tcW w:w="480" w:type="dxa"/>
            <w:vAlign w:val="bottom"/>
            <w:tcBorders>
              <w:bottom w:val="single" w:sz="8" w:color="7F7F7F"/>
            </w:tcBorders>
          </w:tcPr>
          <w:p>
            <w:pPr>
              <w:spacing w:after="0"/>
              <w:rPr>
                <w:sz w:val="16"/>
                <w:szCs w:val="16"/>
                <w:color w:val="auto"/>
              </w:rPr>
            </w:pPr>
          </w:p>
        </w:tc>
        <w:tc>
          <w:tcPr>
            <w:tcW w:w="760" w:type="dxa"/>
            <w:vAlign w:val="bottom"/>
            <w:tcBorders>
              <w:bottom w:val="single" w:sz="8" w:color="7F7F7F"/>
            </w:tcBorders>
          </w:tcPr>
          <w:p>
            <w:pPr>
              <w:spacing w:after="0"/>
              <w:rPr>
                <w:sz w:val="16"/>
                <w:szCs w:val="16"/>
                <w:color w:val="auto"/>
              </w:rPr>
            </w:pPr>
          </w:p>
        </w:tc>
        <w:tc>
          <w:tcPr>
            <w:tcW w:w="18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660" w:type="dxa"/>
            <w:vAlign w:val="bottom"/>
            <w:tcBorders>
              <w:bottom w:val="single" w:sz="8" w:color="7F7F7F"/>
            </w:tcBorders>
          </w:tcPr>
          <w:p>
            <w:pPr>
              <w:spacing w:after="0"/>
              <w:rPr>
                <w:sz w:val="16"/>
                <w:szCs w:val="16"/>
                <w:color w:val="auto"/>
              </w:rPr>
            </w:pPr>
          </w:p>
        </w:tc>
        <w:tc>
          <w:tcPr>
            <w:tcW w:w="120" w:type="dxa"/>
            <w:vAlign w:val="bottom"/>
            <w:tcBorders>
              <w:bottom w:val="single" w:sz="8" w:color="7F7F7F"/>
            </w:tcBorders>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right w:val="single" w:sz="8" w:color="B2B2B2"/>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80" w:type="dxa"/>
            <w:vAlign w:val="bottom"/>
            <w:tcBorders>
              <w:bottom w:val="single" w:sz="8" w:color="7F7F7F"/>
            </w:tcBorders>
            <w:shd w:val="clear" w:color="auto" w:fill="B2B2B2"/>
          </w:tcPr>
          <w:p>
            <w:pPr>
              <w:spacing w:after="0"/>
              <w:rPr>
                <w:sz w:val="16"/>
                <w:szCs w:val="16"/>
                <w:color w:val="auto"/>
              </w:rPr>
            </w:pPr>
          </w:p>
        </w:tc>
        <w:tc>
          <w:tcPr>
            <w:tcW w:w="140" w:type="dxa"/>
            <w:vAlign w:val="bottom"/>
            <w:tcBorders>
              <w:bottom w:val="single" w:sz="8" w:color="7F7F7F"/>
            </w:tcBorders>
            <w:shd w:val="clear" w:color="auto" w:fill="B2B2B2"/>
          </w:tcPr>
          <w:p>
            <w:pPr>
              <w:spacing w:after="0"/>
              <w:rPr>
                <w:sz w:val="16"/>
                <w:szCs w:val="16"/>
                <w:color w:val="auto"/>
              </w:rPr>
            </w:pPr>
          </w:p>
        </w:tc>
        <w:tc>
          <w:tcPr>
            <w:tcW w:w="10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right w:val="single" w:sz="8" w:color="B2B2B2"/>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100" w:type="dxa"/>
            <w:vAlign w:val="bottom"/>
            <w:tcBorders>
              <w:bottom w:val="single" w:sz="8" w:color="7F7F7F"/>
            </w:tcBorders>
            <w:shd w:val="clear" w:color="auto" w:fill="B2B2B2"/>
          </w:tcPr>
          <w:p>
            <w:pPr>
              <w:spacing w:after="0"/>
              <w:rPr>
                <w:sz w:val="16"/>
                <w:szCs w:val="16"/>
                <w:color w:val="auto"/>
              </w:rPr>
            </w:pPr>
          </w:p>
        </w:tc>
        <w:tc>
          <w:tcPr>
            <w:tcW w:w="140" w:type="dxa"/>
            <w:vAlign w:val="bottom"/>
            <w:tcBorders>
              <w:bottom w:val="single" w:sz="8" w:color="7F7F7F"/>
            </w:tcBorders>
            <w:shd w:val="clear" w:color="auto" w:fill="B2B2B2"/>
          </w:tcPr>
          <w:p>
            <w:pPr>
              <w:spacing w:after="0"/>
              <w:rPr>
                <w:sz w:val="16"/>
                <w:szCs w:val="16"/>
                <w:color w:val="auto"/>
              </w:rPr>
            </w:pPr>
          </w:p>
        </w:tc>
        <w:tc>
          <w:tcPr>
            <w:tcW w:w="1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100" w:type="dxa"/>
            <w:vAlign w:val="bottom"/>
            <w:tcBorders>
              <w:bottom w:val="single" w:sz="8" w:color="7F7F7F"/>
            </w:tcBorders>
            <w:shd w:val="clear" w:color="auto" w:fill="B2B2B2"/>
          </w:tcPr>
          <w:p>
            <w:pPr>
              <w:spacing w:after="0"/>
              <w:rPr>
                <w:sz w:val="16"/>
                <w:szCs w:val="16"/>
                <w:color w:val="auto"/>
              </w:rPr>
            </w:pPr>
          </w:p>
        </w:tc>
        <w:tc>
          <w:tcPr>
            <w:tcW w:w="14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B2B2B2"/>
            </w:tcBorders>
            <w:shd w:val="clear" w:color="auto" w:fill="B2B2B2"/>
          </w:tcPr>
          <w:p>
            <w:pPr>
              <w:spacing w:after="0"/>
              <w:rPr>
                <w:sz w:val="16"/>
                <w:szCs w:val="16"/>
                <w:color w:val="auto"/>
              </w:rPr>
            </w:pPr>
          </w:p>
        </w:tc>
        <w:tc>
          <w:tcPr>
            <w:tcW w:w="18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20" w:type="dxa"/>
            <w:vAlign w:val="bottom"/>
          </w:tcPr>
          <w:p>
            <w:pPr>
              <w:ind w:left="60"/>
              <w:spacing w:after="0"/>
              <w:rPr>
                <w:sz w:val="20"/>
                <w:szCs w:val="20"/>
                <w:color w:val="auto"/>
              </w:rPr>
            </w:pPr>
            <w:r>
              <w:rPr>
                <w:rFonts w:ascii="Arial" w:cs="Arial" w:eastAsia="Arial" w:hAnsi="Arial"/>
                <w:sz w:val="14"/>
                <w:szCs w:val="14"/>
                <w:b w:val="1"/>
                <w:bCs w:val="1"/>
                <w:color w:val="404040"/>
              </w:rPr>
              <w:t>Brenda L. Freeman</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right w:val="single" w:sz="8" w:color="B2B2B2"/>
            </w:tcBorders>
            <w:shd w:val="clear" w:color="auto" w:fill="B2B2B2"/>
          </w:tcPr>
          <w:p>
            <w:pPr>
              <w:spacing w:after="0"/>
              <w:rPr>
                <w:sz w:val="16"/>
                <w:szCs w:val="16"/>
                <w:color w:val="auto"/>
              </w:rPr>
            </w:pPr>
          </w:p>
        </w:tc>
        <w:tc>
          <w:tcPr>
            <w:tcW w:w="20" w:type="dxa"/>
            <w:vAlign w:val="bottom"/>
            <w:shd w:val="clear" w:color="auto" w:fill="B2B2B2"/>
          </w:tcPr>
          <w:p>
            <w:pPr>
              <w:spacing w:after="0"/>
              <w:rPr>
                <w:sz w:val="16"/>
                <w:szCs w:val="16"/>
                <w:color w:val="auto"/>
              </w:rPr>
            </w:pPr>
          </w:p>
        </w:tc>
        <w:tc>
          <w:tcPr>
            <w:tcW w:w="60" w:type="dxa"/>
            <w:vAlign w:val="bottom"/>
            <w:shd w:val="clear" w:color="auto" w:fill="B2B2B2"/>
          </w:tcPr>
          <w:p>
            <w:pPr>
              <w:spacing w:after="0"/>
              <w:rPr>
                <w:sz w:val="16"/>
                <w:szCs w:val="16"/>
                <w:color w:val="auto"/>
              </w:rPr>
            </w:pPr>
          </w:p>
        </w:tc>
        <w:tc>
          <w:tcPr>
            <w:tcW w:w="18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100" w:type="dxa"/>
            <w:vAlign w:val="bottom"/>
            <w:tcBorders>
              <w:right w:val="single" w:sz="8" w:color="FEFEFE"/>
            </w:tcBorders>
            <w:shd w:val="clear" w:color="auto" w:fill="B2B2B2"/>
          </w:tcPr>
          <w:p>
            <w:pPr>
              <w:spacing w:after="0"/>
              <w:rPr>
                <w:sz w:val="16"/>
                <w:szCs w:val="16"/>
                <w:color w:val="auto"/>
              </w:rPr>
            </w:pPr>
          </w:p>
        </w:tc>
        <w:tc>
          <w:tcPr>
            <w:tcW w:w="200" w:type="dxa"/>
            <w:vAlign w:val="bottom"/>
            <w:shd w:val="clear" w:color="auto" w:fill="B2B2B2"/>
          </w:tcPr>
          <w:p>
            <w:pPr>
              <w:spacing w:after="0"/>
              <w:rPr>
                <w:sz w:val="16"/>
                <w:szCs w:val="16"/>
                <w:color w:val="auto"/>
              </w:rPr>
            </w:pPr>
          </w:p>
        </w:tc>
        <w:tc>
          <w:tcPr>
            <w:tcW w:w="60" w:type="dxa"/>
            <w:vAlign w:val="bottom"/>
            <w:tcBorders>
              <w:right w:val="single" w:sz="8" w:color="B2B2B2"/>
            </w:tcBorders>
            <w:shd w:val="clear" w:color="auto" w:fill="B2B2B2"/>
          </w:tcPr>
          <w:p>
            <w:pPr>
              <w:spacing w:after="0"/>
              <w:rPr>
                <w:sz w:val="16"/>
                <w:szCs w:val="16"/>
                <w:color w:val="auto"/>
              </w:rPr>
            </w:pPr>
          </w:p>
        </w:tc>
        <w:tc>
          <w:tcPr>
            <w:tcW w:w="200" w:type="dxa"/>
            <w:vAlign w:val="bottom"/>
            <w:vMerge w:val="restart"/>
            <w:shd w:val="clear" w:color="auto" w:fill="B2B2B2"/>
          </w:tcPr>
          <w:p>
            <w:pPr>
              <w:ind w:left="120"/>
              <w:spacing w:after="0"/>
              <w:rPr>
                <w:sz w:val="20"/>
                <w:szCs w:val="20"/>
                <w:color w:val="auto"/>
              </w:rPr>
            </w:pPr>
            <w:r>
              <w:rPr>
                <w:rFonts w:ascii="Arial" w:cs="Arial" w:eastAsia="Arial" w:hAnsi="Arial"/>
                <w:sz w:val="24"/>
                <w:szCs w:val="24"/>
                <w:color w:val="auto"/>
                <w:w w:val="70"/>
              </w:rPr>
              <w:t>•</w:t>
            </w:r>
          </w:p>
        </w:tc>
        <w:tc>
          <w:tcPr>
            <w:tcW w:w="160" w:type="dxa"/>
            <w:vAlign w:val="bottom"/>
            <w:shd w:val="clear" w:color="auto" w:fill="B2B2B2"/>
          </w:tcPr>
          <w:p>
            <w:pPr>
              <w:spacing w:after="0"/>
              <w:rPr>
                <w:sz w:val="16"/>
                <w:szCs w:val="16"/>
                <w:color w:val="auto"/>
              </w:rPr>
            </w:pPr>
          </w:p>
        </w:tc>
        <w:tc>
          <w:tcPr>
            <w:tcW w:w="80" w:type="dxa"/>
            <w:vAlign w:val="bottom"/>
            <w:tcBorders>
              <w:right w:val="single" w:sz="8" w:color="FEFEFE"/>
            </w:tcBorders>
            <w:shd w:val="clear" w:color="auto" w:fill="B2B2B2"/>
          </w:tcPr>
          <w:p>
            <w:pPr>
              <w:spacing w:after="0"/>
              <w:rPr>
                <w:sz w:val="16"/>
                <w:szCs w:val="16"/>
                <w:color w:val="auto"/>
              </w:rPr>
            </w:pPr>
          </w:p>
        </w:tc>
        <w:tc>
          <w:tcPr>
            <w:tcW w:w="200" w:type="dxa"/>
            <w:vAlign w:val="bottom"/>
            <w:shd w:val="clear" w:color="auto" w:fill="B2B2B2"/>
          </w:tcPr>
          <w:p>
            <w:pPr>
              <w:spacing w:after="0"/>
              <w:rPr>
                <w:sz w:val="16"/>
                <w:szCs w:val="16"/>
                <w:color w:val="auto"/>
              </w:rPr>
            </w:pPr>
          </w:p>
        </w:tc>
        <w:tc>
          <w:tcPr>
            <w:tcW w:w="2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260" w:type="dxa"/>
            <w:vAlign w:val="bottom"/>
            <w:gridSpan w:val="2"/>
            <w:vMerge w:val="restart"/>
            <w:shd w:val="clear" w:color="auto" w:fill="B2B2B2"/>
          </w:tcPr>
          <w:p>
            <w:pPr>
              <w:ind w:left="60"/>
              <w:spacing w:after="0"/>
              <w:rPr>
                <w:sz w:val="20"/>
                <w:szCs w:val="20"/>
                <w:color w:val="auto"/>
              </w:rPr>
            </w:pPr>
            <w:r>
              <w:rPr>
                <w:rFonts w:ascii="Arial" w:cs="Arial" w:eastAsia="Arial" w:hAnsi="Arial"/>
                <w:sz w:val="25"/>
                <w:szCs w:val="25"/>
                <w:color w:val="auto"/>
              </w:rPr>
              <w:t>•</w:t>
            </w:r>
          </w:p>
        </w:tc>
        <w:tc>
          <w:tcPr>
            <w:tcW w:w="40" w:type="dxa"/>
            <w:vAlign w:val="bottom"/>
            <w:shd w:val="clear" w:color="auto" w:fill="B2B2B2"/>
          </w:tcPr>
          <w:p>
            <w:pPr>
              <w:spacing w:after="0"/>
              <w:rPr>
                <w:sz w:val="16"/>
                <w:szCs w:val="16"/>
                <w:color w:val="auto"/>
              </w:rPr>
            </w:pPr>
          </w:p>
        </w:tc>
        <w:tc>
          <w:tcPr>
            <w:tcW w:w="80" w:type="dxa"/>
            <w:vAlign w:val="bottom"/>
            <w:tcBorders>
              <w:right w:val="single" w:sz="8" w:color="FEFEFE"/>
            </w:tcBorders>
            <w:shd w:val="clear" w:color="auto" w:fill="B2B2B2"/>
          </w:tcPr>
          <w:p>
            <w:pPr>
              <w:spacing w:after="0"/>
              <w:rPr>
                <w:sz w:val="16"/>
                <w:szCs w:val="16"/>
                <w:color w:val="auto"/>
              </w:rPr>
            </w:pPr>
          </w:p>
        </w:tc>
        <w:tc>
          <w:tcPr>
            <w:tcW w:w="200" w:type="dxa"/>
            <w:vAlign w:val="bottom"/>
            <w:shd w:val="clear" w:color="auto" w:fill="B2B2B2"/>
          </w:tcPr>
          <w:p>
            <w:pPr>
              <w:spacing w:after="0"/>
              <w:rPr>
                <w:sz w:val="16"/>
                <w:szCs w:val="16"/>
                <w:color w:val="auto"/>
              </w:rPr>
            </w:pPr>
          </w:p>
        </w:tc>
        <w:tc>
          <w:tcPr>
            <w:tcW w:w="2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160" w:type="dxa"/>
            <w:vAlign w:val="bottom"/>
            <w:shd w:val="clear" w:color="auto" w:fill="B2B2B2"/>
          </w:tcPr>
          <w:p>
            <w:pPr>
              <w:spacing w:after="0"/>
              <w:rPr>
                <w:sz w:val="16"/>
                <w:szCs w:val="16"/>
                <w:color w:val="auto"/>
              </w:rPr>
            </w:pPr>
          </w:p>
        </w:tc>
        <w:tc>
          <w:tcPr>
            <w:tcW w:w="80" w:type="dxa"/>
            <w:vAlign w:val="bottom"/>
            <w:tcBorders>
              <w:right w:val="single" w:sz="8" w:color="FEFEFE"/>
            </w:tcBorders>
            <w:shd w:val="clear" w:color="auto" w:fill="B2B2B2"/>
          </w:tcPr>
          <w:p>
            <w:pPr>
              <w:spacing w:after="0"/>
              <w:rPr>
                <w:sz w:val="16"/>
                <w:szCs w:val="16"/>
                <w:color w:val="auto"/>
              </w:rPr>
            </w:pPr>
          </w:p>
        </w:tc>
        <w:tc>
          <w:tcPr>
            <w:tcW w:w="200" w:type="dxa"/>
            <w:vAlign w:val="bottom"/>
            <w:shd w:val="clear" w:color="auto" w:fill="B2B2B2"/>
          </w:tcPr>
          <w:p>
            <w:pPr>
              <w:spacing w:after="0"/>
              <w:rPr>
                <w:sz w:val="16"/>
                <w:szCs w:val="16"/>
                <w:color w:val="auto"/>
              </w:rPr>
            </w:pPr>
          </w:p>
        </w:tc>
        <w:tc>
          <w:tcPr>
            <w:tcW w:w="80" w:type="dxa"/>
            <w:vAlign w:val="bottom"/>
            <w:tcBorders>
              <w:right w:val="single" w:sz="8" w:color="B2B2B2"/>
            </w:tcBorders>
            <w:shd w:val="clear" w:color="auto" w:fill="B2B2B2"/>
          </w:tcPr>
          <w:p>
            <w:pPr>
              <w:spacing w:after="0"/>
              <w:rPr>
                <w:sz w:val="16"/>
                <w:szCs w:val="16"/>
                <w:color w:val="auto"/>
              </w:rPr>
            </w:pPr>
          </w:p>
        </w:tc>
        <w:tc>
          <w:tcPr>
            <w:tcW w:w="180" w:type="dxa"/>
            <w:vAlign w:val="bottom"/>
            <w:shd w:val="clear" w:color="auto" w:fill="B2B2B2"/>
          </w:tcPr>
          <w:p>
            <w:pPr>
              <w:spacing w:after="0"/>
              <w:rPr>
                <w:sz w:val="16"/>
                <w:szCs w:val="16"/>
                <w:color w:val="auto"/>
              </w:rPr>
            </w:pPr>
          </w:p>
        </w:tc>
        <w:tc>
          <w:tcPr>
            <w:tcW w:w="160" w:type="dxa"/>
            <w:vAlign w:val="bottom"/>
            <w:shd w:val="clear" w:color="auto" w:fill="B2B2B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7F7F7F"/>
            </w:tcBorders>
          </w:tcPr>
          <w:p>
            <w:pPr>
              <w:ind w:left="40"/>
              <w:spacing w:after="0" w:line="243" w:lineRule="exact"/>
              <w:rPr>
                <w:sz w:val="20"/>
                <w:szCs w:val="20"/>
                <w:color w:val="auto"/>
              </w:rPr>
            </w:pPr>
            <w:r>
              <w:rPr>
                <w:rFonts w:ascii="Arial" w:cs="Arial" w:eastAsia="Arial" w:hAnsi="Arial"/>
                <w:sz w:val="28"/>
                <w:szCs w:val="28"/>
                <w:color w:val="404040"/>
                <w:vertAlign w:val="superscript"/>
              </w:rPr>
              <w:t>​</w:t>
            </w:r>
            <w:r>
              <w:rPr>
                <w:rFonts w:ascii="Arial" w:cs="Arial" w:eastAsia="Arial" w:hAnsi="Arial"/>
                <w:sz w:val="14"/>
                <w:szCs w:val="14"/>
                <w:color w:val="404040"/>
              </w:rPr>
              <w:t>Founder, Joyeux Advisory Group</w:t>
            </w:r>
          </w:p>
        </w:tc>
        <w:tc>
          <w:tcPr>
            <w:tcW w:w="480" w:type="dxa"/>
            <w:vAlign w:val="bottom"/>
            <w:tcBorders>
              <w:bottom w:val="single" w:sz="8" w:color="7F7F7F"/>
            </w:tcBorders>
          </w:tcPr>
          <w:p>
            <w:pPr>
              <w:ind w:left="180"/>
              <w:spacing w:after="0"/>
              <w:rPr>
                <w:sz w:val="20"/>
                <w:szCs w:val="20"/>
                <w:color w:val="auto"/>
              </w:rPr>
            </w:pPr>
            <w:r>
              <w:rPr>
                <w:rFonts w:ascii="Arial" w:cs="Arial" w:eastAsia="Arial" w:hAnsi="Arial"/>
                <w:sz w:val="14"/>
                <w:szCs w:val="14"/>
                <w:color w:val="404040"/>
              </w:rPr>
              <w:t>61</w:t>
            </w:r>
          </w:p>
        </w:tc>
        <w:tc>
          <w:tcPr>
            <w:tcW w:w="76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404040"/>
              </w:rPr>
              <w:t>2018</w:t>
            </w:r>
          </w:p>
        </w:tc>
        <w:tc>
          <w:tcPr>
            <w:tcW w:w="180" w:type="dxa"/>
            <w:vAlign w:val="bottom"/>
            <w:tcBorders>
              <w:bottom w:val="single" w:sz="8" w:color="7F7F7F"/>
            </w:tcBorders>
          </w:tcPr>
          <w:p>
            <w:pPr>
              <w:spacing w:after="0"/>
              <w:rPr>
                <w:sz w:val="20"/>
                <w:szCs w:val="20"/>
                <w:color w:val="auto"/>
              </w:rPr>
            </w:pPr>
            <w:r>
              <w:rPr>
                <w:rFonts w:ascii="Arial" w:cs="Arial" w:eastAsia="Arial" w:hAnsi="Arial"/>
                <w:sz w:val="14"/>
                <w:szCs w:val="14"/>
                <w:color w:val="404040"/>
              </w:rPr>
              <w:t>​</w:t>
            </w:r>
          </w:p>
        </w:tc>
        <w:tc>
          <w:tcPr>
            <w:tcW w:w="100" w:type="dxa"/>
            <w:vAlign w:val="bottom"/>
            <w:tcBorders>
              <w:bottom w:val="single" w:sz="8" w:color="7F7F7F"/>
            </w:tcBorders>
          </w:tcPr>
          <w:p>
            <w:pPr>
              <w:spacing w:after="0"/>
              <w:rPr>
                <w:sz w:val="21"/>
                <w:szCs w:val="21"/>
                <w:color w:val="auto"/>
              </w:rPr>
            </w:pPr>
          </w:p>
        </w:tc>
        <w:tc>
          <w:tcPr>
            <w:tcW w:w="100" w:type="dxa"/>
            <w:vAlign w:val="bottom"/>
            <w:tcBorders>
              <w:bottom w:val="single" w:sz="8" w:color="7F7F7F"/>
            </w:tcBorders>
          </w:tcPr>
          <w:p>
            <w:pPr>
              <w:spacing w:after="0"/>
              <w:rPr>
                <w:sz w:val="21"/>
                <w:szCs w:val="21"/>
                <w:color w:val="auto"/>
              </w:rPr>
            </w:pPr>
          </w:p>
        </w:tc>
        <w:tc>
          <w:tcPr>
            <w:tcW w:w="660" w:type="dxa"/>
            <w:vAlign w:val="bottom"/>
            <w:tcBorders>
              <w:bottom w:val="single" w:sz="8" w:color="7F7F7F"/>
            </w:tcBorders>
          </w:tcPr>
          <w:p>
            <w:pPr>
              <w:spacing w:after="0"/>
              <w:rPr>
                <w:sz w:val="20"/>
                <w:szCs w:val="20"/>
                <w:color w:val="auto"/>
              </w:rPr>
            </w:pPr>
            <w:r>
              <w:rPr>
                <w:rFonts w:ascii="Arial" w:cs="Arial" w:eastAsia="Arial" w:hAnsi="Arial"/>
                <w:sz w:val="14"/>
                <w:szCs w:val="14"/>
                <w:color w:val="404040"/>
              </w:rPr>
              <w:t>​YES</w:t>
            </w:r>
          </w:p>
        </w:tc>
        <w:tc>
          <w:tcPr>
            <w:tcW w:w="12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404040"/>
              </w:rPr>
              <w:t>​​</w:t>
            </w:r>
          </w:p>
        </w:tc>
        <w:tc>
          <w:tcPr>
            <w:tcW w:w="6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404040"/>
              </w:rPr>
              <w:t>​</w:t>
            </w:r>
          </w:p>
        </w:tc>
        <w:tc>
          <w:tcPr>
            <w:tcW w:w="160" w:type="dxa"/>
            <w:vAlign w:val="bottom"/>
            <w:tcBorders>
              <w:bottom w:val="single" w:sz="8" w:color="7F7F7F"/>
              <w:right w:val="single" w:sz="8" w:color="B2B2B2"/>
            </w:tcBorders>
            <w:shd w:val="clear" w:color="auto" w:fill="B2B2B2"/>
          </w:tcPr>
          <w:p>
            <w:pPr>
              <w:spacing w:after="0"/>
              <w:rPr>
                <w:sz w:val="21"/>
                <w:szCs w:val="21"/>
                <w:color w:val="auto"/>
              </w:rPr>
            </w:pPr>
          </w:p>
        </w:tc>
        <w:tc>
          <w:tcPr>
            <w:tcW w:w="80" w:type="dxa"/>
            <w:vAlign w:val="bottom"/>
            <w:tcBorders>
              <w:bottom w:val="single" w:sz="8" w:color="7F7F7F"/>
            </w:tcBorders>
            <w:gridSpan w:val="2"/>
            <w:shd w:val="clear" w:color="auto" w:fill="B2B2B2"/>
          </w:tcPr>
          <w:p>
            <w:pPr>
              <w:spacing w:after="0"/>
              <w:rPr>
                <w:sz w:val="20"/>
                <w:szCs w:val="20"/>
                <w:color w:val="auto"/>
              </w:rPr>
            </w:pPr>
            <w:r>
              <w:rPr>
                <w:rFonts w:ascii="Arial" w:cs="Arial" w:eastAsia="Arial" w:hAnsi="Arial"/>
                <w:sz w:val="14"/>
                <w:szCs w:val="14"/>
                <w:color w:val="404040"/>
              </w:rPr>
              <w:t>​</w:t>
            </w:r>
          </w:p>
        </w:tc>
        <w:tc>
          <w:tcPr>
            <w:tcW w:w="180" w:type="dxa"/>
            <w:vAlign w:val="bottom"/>
            <w:tcBorders>
              <w:bottom w:val="single" w:sz="8" w:color="7F7F7F"/>
            </w:tcBorders>
            <w:shd w:val="clear" w:color="auto" w:fill="B2B2B2"/>
          </w:tcPr>
          <w:p>
            <w:pPr>
              <w:spacing w:after="0"/>
              <w:rPr>
                <w:sz w:val="21"/>
                <w:szCs w:val="21"/>
                <w:color w:val="auto"/>
              </w:rPr>
            </w:pPr>
          </w:p>
        </w:tc>
        <w:tc>
          <w:tcPr>
            <w:tcW w:w="240" w:type="dxa"/>
            <w:vAlign w:val="bottom"/>
            <w:tcBorders>
              <w:bottom w:val="single" w:sz="8" w:color="7F7F7F"/>
              <w:right w:val="single" w:sz="8" w:color="FEFEFE"/>
            </w:tcBorders>
            <w:gridSpan w:val="2"/>
            <w:shd w:val="clear" w:color="auto" w:fill="B2B2B2"/>
          </w:tcPr>
          <w:p>
            <w:pPr>
              <w:ind w:left="140"/>
              <w:spacing w:after="0"/>
              <w:rPr>
                <w:sz w:val="20"/>
                <w:szCs w:val="20"/>
                <w:color w:val="auto"/>
              </w:rPr>
            </w:pPr>
            <w:r>
              <w:rPr>
                <w:rFonts w:ascii="Arial" w:cs="Arial" w:eastAsia="Arial" w:hAnsi="Arial"/>
                <w:sz w:val="14"/>
                <w:szCs w:val="14"/>
                <w:color w:val="404040"/>
              </w:rPr>
              <w:t>​</w:t>
            </w:r>
          </w:p>
        </w:tc>
        <w:tc>
          <w:tcPr>
            <w:tcW w:w="200" w:type="dxa"/>
            <w:vAlign w:val="bottom"/>
            <w:tcBorders>
              <w:bottom w:val="single" w:sz="8" w:color="7F7F7F"/>
            </w:tcBorders>
            <w:shd w:val="clear" w:color="auto" w:fill="B2B2B2"/>
          </w:tcPr>
          <w:p>
            <w:pPr>
              <w:spacing w:after="0"/>
              <w:rPr>
                <w:sz w:val="21"/>
                <w:szCs w:val="21"/>
                <w:color w:val="auto"/>
              </w:rPr>
            </w:pPr>
          </w:p>
        </w:tc>
        <w:tc>
          <w:tcPr>
            <w:tcW w:w="60" w:type="dxa"/>
            <w:vAlign w:val="bottom"/>
            <w:tcBorders>
              <w:bottom w:val="single" w:sz="8" w:color="7F7F7F"/>
              <w:right w:val="single" w:sz="8" w:color="B2B2B2"/>
            </w:tcBorders>
            <w:shd w:val="clear" w:color="auto" w:fill="B2B2B2"/>
          </w:tcPr>
          <w:p>
            <w:pPr>
              <w:spacing w:after="0"/>
              <w:rPr>
                <w:sz w:val="20"/>
                <w:szCs w:val="20"/>
                <w:color w:val="auto"/>
              </w:rPr>
            </w:pPr>
            <w:r>
              <w:rPr>
                <w:rFonts w:ascii="Arial" w:cs="Arial" w:eastAsia="Arial" w:hAnsi="Arial"/>
                <w:sz w:val="14"/>
                <w:szCs w:val="14"/>
                <w:color w:val="404040"/>
              </w:rPr>
              <w:t>​</w:t>
            </w:r>
          </w:p>
        </w:tc>
        <w:tc>
          <w:tcPr>
            <w:tcW w:w="200" w:type="dxa"/>
            <w:vAlign w:val="bottom"/>
            <w:tcBorders>
              <w:bottom w:val="single" w:sz="8" w:color="7F7F7F"/>
            </w:tcBorders>
            <w:vMerge w:val="continue"/>
            <w:shd w:val="clear" w:color="auto" w:fill="B2B2B2"/>
          </w:tcPr>
          <w:p>
            <w:pPr>
              <w:spacing w:after="0"/>
              <w:rPr>
                <w:sz w:val="21"/>
                <w:szCs w:val="21"/>
                <w:color w:val="auto"/>
              </w:rPr>
            </w:pPr>
          </w:p>
        </w:tc>
        <w:tc>
          <w:tcPr>
            <w:tcW w:w="240" w:type="dxa"/>
            <w:vAlign w:val="bottom"/>
            <w:tcBorders>
              <w:bottom w:val="single" w:sz="8" w:color="7F7F7F"/>
              <w:right w:val="single" w:sz="8" w:color="FEFEFE"/>
            </w:tcBorders>
            <w:gridSpan w:val="2"/>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200" w:type="dxa"/>
            <w:vAlign w:val="bottom"/>
            <w:tcBorders>
              <w:bottom w:val="single" w:sz="8" w:color="7F7F7F"/>
            </w:tcBorders>
            <w:shd w:val="clear" w:color="auto" w:fill="B2B2B2"/>
          </w:tcPr>
          <w:p>
            <w:pPr>
              <w:spacing w:after="0"/>
              <w:rPr>
                <w:sz w:val="21"/>
                <w:szCs w:val="21"/>
                <w:color w:val="auto"/>
              </w:rPr>
            </w:pPr>
          </w:p>
        </w:tc>
        <w:tc>
          <w:tcPr>
            <w:tcW w:w="120" w:type="dxa"/>
            <w:vAlign w:val="bottom"/>
            <w:tcBorders>
              <w:bottom w:val="single" w:sz="8" w:color="7F7F7F"/>
            </w:tcBorders>
            <w:gridSpan w:val="2"/>
            <w:shd w:val="clear" w:color="auto" w:fill="B2B2B2"/>
          </w:tcPr>
          <w:p>
            <w:pPr>
              <w:spacing w:after="0"/>
              <w:rPr>
                <w:sz w:val="20"/>
                <w:szCs w:val="20"/>
                <w:color w:val="auto"/>
              </w:rPr>
            </w:pPr>
            <w:r>
              <w:rPr>
                <w:rFonts w:ascii="Arial" w:cs="Arial" w:eastAsia="Arial" w:hAnsi="Arial"/>
                <w:sz w:val="14"/>
                <w:szCs w:val="14"/>
                <w:color w:val="404040"/>
              </w:rPr>
              <w:t>​</w:t>
            </w:r>
          </w:p>
        </w:tc>
        <w:tc>
          <w:tcPr>
            <w:tcW w:w="260" w:type="dxa"/>
            <w:vAlign w:val="bottom"/>
            <w:tcBorders>
              <w:bottom w:val="single" w:sz="8" w:color="7F7F7F"/>
            </w:tcBorders>
            <w:gridSpan w:val="2"/>
            <w:vMerge w:val="continue"/>
            <w:shd w:val="clear" w:color="auto" w:fill="B2B2B2"/>
          </w:tcPr>
          <w:p>
            <w:pPr>
              <w:spacing w:after="0"/>
              <w:rPr>
                <w:sz w:val="21"/>
                <w:szCs w:val="21"/>
                <w:color w:val="auto"/>
              </w:rPr>
            </w:pPr>
          </w:p>
        </w:tc>
        <w:tc>
          <w:tcPr>
            <w:tcW w:w="120" w:type="dxa"/>
            <w:vAlign w:val="bottom"/>
            <w:tcBorders>
              <w:bottom w:val="single" w:sz="8" w:color="7F7F7F"/>
              <w:right w:val="single" w:sz="8" w:color="FEFEFE"/>
            </w:tcBorders>
            <w:gridSpan w:val="2"/>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200" w:type="dxa"/>
            <w:vAlign w:val="bottom"/>
            <w:tcBorders>
              <w:bottom w:val="single" w:sz="8" w:color="7F7F7F"/>
            </w:tcBorders>
            <w:shd w:val="clear" w:color="auto" w:fill="B2B2B2"/>
          </w:tcPr>
          <w:p>
            <w:pPr>
              <w:spacing w:after="0"/>
              <w:rPr>
                <w:sz w:val="21"/>
                <w:szCs w:val="21"/>
                <w:color w:val="auto"/>
              </w:rPr>
            </w:pPr>
          </w:p>
        </w:tc>
        <w:tc>
          <w:tcPr>
            <w:tcW w:w="120" w:type="dxa"/>
            <w:vAlign w:val="bottom"/>
            <w:tcBorders>
              <w:bottom w:val="single" w:sz="8" w:color="7F7F7F"/>
            </w:tcBorders>
            <w:gridSpan w:val="2"/>
            <w:shd w:val="clear" w:color="auto" w:fill="B2B2B2"/>
          </w:tcPr>
          <w:p>
            <w:pPr>
              <w:spacing w:after="0"/>
              <w:rPr>
                <w:sz w:val="20"/>
                <w:szCs w:val="20"/>
                <w:color w:val="auto"/>
              </w:rPr>
            </w:pPr>
            <w:r>
              <w:rPr>
                <w:rFonts w:ascii="Arial" w:cs="Arial" w:eastAsia="Arial" w:hAnsi="Arial"/>
                <w:sz w:val="14"/>
                <w:szCs w:val="14"/>
                <w:color w:val="404040"/>
              </w:rPr>
              <w:t>​</w:t>
            </w:r>
          </w:p>
        </w:tc>
        <w:tc>
          <w:tcPr>
            <w:tcW w:w="140" w:type="dxa"/>
            <w:vAlign w:val="bottom"/>
            <w:tcBorders>
              <w:bottom w:val="single" w:sz="8" w:color="7F7F7F"/>
            </w:tcBorders>
            <w:shd w:val="clear" w:color="auto" w:fill="B2B2B2"/>
          </w:tcPr>
          <w:p>
            <w:pPr>
              <w:spacing w:after="0"/>
              <w:rPr>
                <w:sz w:val="21"/>
                <w:szCs w:val="21"/>
                <w:color w:val="auto"/>
              </w:rPr>
            </w:pPr>
          </w:p>
        </w:tc>
        <w:tc>
          <w:tcPr>
            <w:tcW w:w="240" w:type="dxa"/>
            <w:vAlign w:val="bottom"/>
            <w:tcBorders>
              <w:bottom w:val="single" w:sz="8" w:color="7F7F7F"/>
              <w:right w:val="single" w:sz="8" w:color="FEFEFE"/>
            </w:tcBorders>
            <w:gridSpan w:val="2"/>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200" w:type="dxa"/>
            <w:vAlign w:val="bottom"/>
            <w:tcBorders>
              <w:bottom w:val="single" w:sz="8" w:color="7F7F7F"/>
            </w:tcBorders>
            <w:shd w:val="clear" w:color="auto" w:fill="B2B2B2"/>
          </w:tcPr>
          <w:p>
            <w:pPr>
              <w:spacing w:after="0"/>
              <w:rPr>
                <w:sz w:val="21"/>
                <w:szCs w:val="21"/>
                <w:color w:val="auto"/>
              </w:rPr>
            </w:pPr>
          </w:p>
        </w:tc>
        <w:tc>
          <w:tcPr>
            <w:tcW w:w="80" w:type="dxa"/>
            <w:vAlign w:val="bottom"/>
            <w:tcBorders>
              <w:bottom w:val="single" w:sz="8" w:color="7F7F7F"/>
              <w:right w:val="single" w:sz="8" w:color="B2B2B2"/>
            </w:tcBorders>
            <w:shd w:val="clear" w:color="auto" w:fill="B2B2B2"/>
          </w:tcPr>
          <w:p>
            <w:pPr>
              <w:spacing w:after="0"/>
              <w:rPr>
                <w:sz w:val="20"/>
                <w:szCs w:val="20"/>
                <w:color w:val="auto"/>
              </w:rPr>
            </w:pPr>
            <w:r>
              <w:rPr>
                <w:rFonts w:ascii="Arial" w:cs="Arial" w:eastAsia="Arial" w:hAnsi="Arial"/>
                <w:sz w:val="14"/>
                <w:szCs w:val="14"/>
                <w:color w:val="404040"/>
              </w:rPr>
              <w:t>​</w:t>
            </w:r>
          </w:p>
        </w:tc>
        <w:tc>
          <w:tcPr>
            <w:tcW w:w="180" w:type="dxa"/>
            <w:vAlign w:val="bottom"/>
            <w:tcBorders>
              <w:bottom w:val="single" w:sz="8" w:color="7F7F7F"/>
            </w:tcBorders>
            <w:shd w:val="clear" w:color="auto" w:fill="B2B2B2"/>
          </w:tcPr>
          <w:p>
            <w:pPr>
              <w:spacing w:after="0"/>
              <w:rPr>
                <w:sz w:val="21"/>
                <w:szCs w:val="21"/>
                <w:color w:val="auto"/>
              </w:rPr>
            </w:pPr>
          </w:p>
        </w:tc>
        <w:tc>
          <w:tcPr>
            <w:tcW w:w="160" w:type="dxa"/>
            <w:vAlign w:val="bottom"/>
            <w:tcBorders>
              <w:bottom w:val="single" w:sz="8" w:color="7F7F7F"/>
            </w:tcBorders>
            <w:shd w:val="clear" w:color="auto" w:fill="B2B2B2"/>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250"/>
        </w:trPr>
        <w:tc>
          <w:tcPr>
            <w:tcW w:w="2920" w:type="dxa"/>
            <w:vAlign w:val="bottom"/>
          </w:tcPr>
          <w:p>
            <w:pPr>
              <w:ind w:left="40"/>
              <w:spacing w:after="0" w:line="250" w:lineRule="exact"/>
              <w:rPr>
                <w:sz w:val="20"/>
                <w:szCs w:val="20"/>
                <w:color w:val="auto"/>
              </w:rPr>
            </w:pPr>
            <w:r>
              <w:rPr>
                <w:rFonts w:ascii="Arial" w:cs="Arial" w:eastAsia="Arial" w:hAnsi="Arial"/>
                <w:sz w:val="28"/>
                <w:szCs w:val="28"/>
                <w:color w:val="404040"/>
                <w:vertAlign w:val="subscript"/>
              </w:rPr>
              <w:t>​</w:t>
            </w:r>
            <w:r>
              <w:rPr>
                <w:rFonts w:ascii="Arial" w:cs="Arial" w:eastAsia="Arial" w:hAnsi="Arial"/>
                <w:sz w:val="14"/>
                <w:szCs w:val="14"/>
                <w:b w:val="1"/>
                <w:bCs w:val="1"/>
                <w:color w:val="404040"/>
              </w:rPr>
              <w:t>Philip R. Gallagher</w:t>
            </w:r>
          </w:p>
        </w:tc>
        <w:tc>
          <w:tcPr>
            <w:tcW w:w="480" w:type="dxa"/>
            <w:vAlign w:val="bottom"/>
          </w:tcPr>
          <w:p>
            <w:pPr>
              <w:ind w:left="180"/>
              <w:spacing w:after="0"/>
              <w:rPr>
                <w:sz w:val="20"/>
                <w:szCs w:val="20"/>
                <w:color w:val="auto"/>
              </w:rPr>
            </w:pPr>
            <w:r>
              <w:rPr>
                <w:rFonts w:ascii="Arial" w:cs="Arial" w:eastAsia="Arial" w:hAnsi="Arial"/>
                <w:sz w:val="14"/>
                <w:szCs w:val="14"/>
                <w:color w:val="404040"/>
              </w:rPr>
              <w:t>64</w:t>
            </w:r>
          </w:p>
        </w:tc>
        <w:tc>
          <w:tcPr>
            <w:tcW w:w="760" w:type="dxa"/>
            <w:vAlign w:val="bottom"/>
          </w:tcPr>
          <w:p>
            <w:pPr>
              <w:jc w:val="center"/>
              <w:spacing w:after="0"/>
              <w:rPr>
                <w:sz w:val="20"/>
                <w:szCs w:val="20"/>
                <w:color w:val="auto"/>
              </w:rPr>
            </w:pPr>
            <w:r>
              <w:rPr>
                <w:rFonts w:ascii="Arial" w:cs="Arial" w:eastAsia="Arial" w:hAnsi="Arial"/>
                <w:sz w:val="14"/>
                <w:szCs w:val="14"/>
                <w:color w:val="404040"/>
              </w:rPr>
              <w:t>2020</w:t>
            </w:r>
          </w:p>
        </w:tc>
        <w:tc>
          <w:tcPr>
            <w:tcW w:w="180" w:type="dxa"/>
            <w:vAlign w:val="bottom"/>
          </w:tcPr>
          <w:p>
            <w:pPr>
              <w:spacing w:after="0"/>
              <w:rPr>
                <w:sz w:val="20"/>
                <w:szCs w:val="20"/>
                <w:color w:val="auto"/>
              </w:rPr>
            </w:pPr>
            <w:r>
              <w:rPr>
                <w:rFonts w:ascii="Arial" w:cs="Arial" w:eastAsia="Arial" w:hAnsi="Arial"/>
                <w:sz w:val="14"/>
                <w:szCs w:val="14"/>
                <w:color w:val="404040"/>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0"/>
                <w:szCs w:val="20"/>
                <w:color w:val="auto"/>
              </w:rPr>
            </w:pPr>
            <w:r>
              <w:rPr>
                <w:rFonts w:ascii="Arial" w:cs="Arial" w:eastAsia="Arial" w:hAnsi="Arial"/>
                <w:sz w:val="14"/>
                <w:szCs w:val="14"/>
                <w:color w:val="404040"/>
              </w:rPr>
              <w:t>​ NO</w:t>
            </w:r>
          </w:p>
        </w:tc>
        <w:tc>
          <w:tcPr>
            <w:tcW w:w="120" w:type="dxa"/>
            <w:vAlign w:val="bottom"/>
          </w:tcPr>
          <w:p>
            <w:pPr>
              <w:ind w:left="40"/>
              <w:spacing w:after="0"/>
              <w:rPr>
                <w:sz w:val="20"/>
                <w:szCs w:val="20"/>
                <w:color w:val="auto"/>
              </w:rPr>
            </w:pPr>
            <w:r>
              <w:rPr>
                <w:rFonts w:ascii="Arial" w:cs="Arial" w:eastAsia="Arial" w:hAnsi="Arial"/>
                <w:sz w:val="14"/>
                <w:szCs w:val="14"/>
                <w:color w:val="404040"/>
              </w:rPr>
              <w:t>​​</w:t>
            </w:r>
          </w:p>
        </w:tc>
        <w:tc>
          <w:tcPr>
            <w:tcW w:w="60" w:type="dxa"/>
            <w:vAlign w:val="bottom"/>
          </w:tcPr>
          <w:p>
            <w:pPr>
              <w:jc w:val="right"/>
              <w:spacing w:after="0"/>
              <w:rPr>
                <w:sz w:val="20"/>
                <w:szCs w:val="20"/>
                <w:color w:val="auto"/>
              </w:rPr>
            </w:pPr>
            <w:r>
              <w:rPr>
                <w:rFonts w:ascii="Arial" w:cs="Arial" w:eastAsia="Arial" w:hAnsi="Arial"/>
                <w:sz w:val="14"/>
                <w:szCs w:val="14"/>
                <w:color w:val="404040"/>
              </w:rPr>
              <w:t>​</w:t>
            </w:r>
          </w:p>
        </w:tc>
        <w:tc>
          <w:tcPr>
            <w:tcW w:w="160" w:type="dxa"/>
            <w:vAlign w:val="bottom"/>
            <w:tcBorders>
              <w:right w:val="single" w:sz="8" w:color="B2B2B2"/>
            </w:tcBorders>
            <w:shd w:val="clear" w:color="auto" w:fill="B2B2B2"/>
          </w:tcPr>
          <w:p>
            <w:pPr>
              <w:spacing w:after="0"/>
              <w:rPr>
                <w:sz w:val="21"/>
                <w:szCs w:val="21"/>
                <w:color w:val="auto"/>
              </w:rPr>
            </w:pPr>
          </w:p>
        </w:tc>
        <w:tc>
          <w:tcPr>
            <w:tcW w:w="20" w:type="dxa"/>
            <w:vAlign w:val="bottom"/>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60" w:type="dxa"/>
            <w:vAlign w:val="bottom"/>
            <w:shd w:val="clear" w:color="auto" w:fill="B2B2B2"/>
          </w:tcPr>
          <w:p>
            <w:pPr>
              <w:spacing w:after="0"/>
              <w:rPr>
                <w:sz w:val="21"/>
                <w:szCs w:val="21"/>
                <w:color w:val="auto"/>
              </w:rPr>
            </w:pPr>
          </w:p>
        </w:tc>
        <w:tc>
          <w:tcPr>
            <w:tcW w:w="180" w:type="dxa"/>
            <w:vAlign w:val="bottom"/>
            <w:shd w:val="clear" w:color="auto" w:fill="B2B2B2"/>
          </w:tcPr>
          <w:p>
            <w:pPr>
              <w:spacing w:after="0"/>
              <w:rPr>
                <w:sz w:val="21"/>
                <w:szCs w:val="21"/>
                <w:color w:val="auto"/>
              </w:rPr>
            </w:pPr>
          </w:p>
        </w:tc>
        <w:tc>
          <w:tcPr>
            <w:tcW w:w="240" w:type="dxa"/>
            <w:vAlign w:val="bottom"/>
            <w:tcBorders>
              <w:right w:val="single" w:sz="8" w:color="FEFEFE"/>
            </w:tcBorders>
            <w:gridSpan w:val="2"/>
            <w:shd w:val="clear" w:color="auto" w:fill="B2B2B2"/>
          </w:tcPr>
          <w:p>
            <w:pPr>
              <w:ind w:left="140"/>
              <w:spacing w:after="0"/>
              <w:rPr>
                <w:sz w:val="20"/>
                <w:szCs w:val="20"/>
                <w:color w:val="auto"/>
              </w:rPr>
            </w:pPr>
            <w:r>
              <w:rPr>
                <w:rFonts w:ascii="Arial" w:cs="Arial" w:eastAsia="Arial" w:hAnsi="Arial"/>
                <w:sz w:val="14"/>
                <w:szCs w:val="14"/>
                <w:color w:val="404040"/>
              </w:rPr>
              <w:t>​</w:t>
            </w:r>
          </w:p>
        </w:tc>
        <w:tc>
          <w:tcPr>
            <w:tcW w:w="200" w:type="dxa"/>
            <w:vAlign w:val="bottom"/>
            <w:shd w:val="clear" w:color="auto" w:fill="B2B2B2"/>
          </w:tcPr>
          <w:p>
            <w:pPr>
              <w:spacing w:after="0"/>
              <w:rPr>
                <w:sz w:val="21"/>
                <w:szCs w:val="21"/>
                <w:color w:val="auto"/>
              </w:rPr>
            </w:pPr>
          </w:p>
        </w:tc>
        <w:tc>
          <w:tcPr>
            <w:tcW w:w="60" w:type="dxa"/>
            <w:vAlign w:val="bottom"/>
            <w:tcBorders>
              <w:right w:val="single" w:sz="8" w:color="B2B2B2"/>
            </w:tcBorders>
            <w:shd w:val="clear" w:color="auto" w:fill="B2B2B2"/>
          </w:tcPr>
          <w:p>
            <w:pPr>
              <w:spacing w:after="0"/>
              <w:rPr>
                <w:sz w:val="20"/>
                <w:szCs w:val="20"/>
                <w:color w:val="auto"/>
              </w:rPr>
            </w:pPr>
            <w:r>
              <w:rPr>
                <w:rFonts w:ascii="Arial" w:cs="Arial" w:eastAsia="Arial" w:hAnsi="Arial"/>
                <w:sz w:val="14"/>
                <w:szCs w:val="14"/>
                <w:color w:val="404040"/>
              </w:rPr>
              <w:t>​</w:t>
            </w:r>
          </w:p>
        </w:tc>
        <w:tc>
          <w:tcPr>
            <w:tcW w:w="200" w:type="dxa"/>
            <w:vAlign w:val="bottom"/>
            <w:shd w:val="clear" w:color="auto" w:fill="B2B2B2"/>
          </w:tcPr>
          <w:p>
            <w:pPr>
              <w:spacing w:after="0"/>
              <w:rPr>
                <w:sz w:val="21"/>
                <w:szCs w:val="21"/>
                <w:color w:val="auto"/>
              </w:rPr>
            </w:pPr>
          </w:p>
        </w:tc>
        <w:tc>
          <w:tcPr>
            <w:tcW w:w="240" w:type="dxa"/>
            <w:vAlign w:val="bottom"/>
            <w:tcBorders>
              <w:right w:val="single" w:sz="8" w:color="FEFEFE"/>
            </w:tcBorders>
            <w:gridSpan w:val="2"/>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200" w:type="dxa"/>
            <w:vAlign w:val="bottom"/>
            <w:shd w:val="clear" w:color="auto" w:fill="B2B2B2"/>
          </w:tcPr>
          <w:p>
            <w:pPr>
              <w:spacing w:after="0"/>
              <w:rPr>
                <w:sz w:val="21"/>
                <w:szCs w:val="21"/>
                <w:color w:val="auto"/>
              </w:rPr>
            </w:pPr>
          </w:p>
        </w:tc>
        <w:tc>
          <w:tcPr>
            <w:tcW w:w="20" w:type="dxa"/>
            <w:vAlign w:val="bottom"/>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100" w:type="dxa"/>
            <w:vAlign w:val="bottom"/>
            <w:shd w:val="clear" w:color="auto" w:fill="B2B2B2"/>
          </w:tcPr>
          <w:p>
            <w:pPr>
              <w:spacing w:after="0"/>
              <w:rPr>
                <w:sz w:val="21"/>
                <w:szCs w:val="21"/>
                <w:color w:val="auto"/>
              </w:rPr>
            </w:pPr>
          </w:p>
        </w:tc>
        <w:tc>
          <w:tcPr>
            <w:tcW w:w="140" w:type="dxa"/>
            <w:vAlign w:val="bottom"/>
            <w:shd w:val="clear" w:color="auto" w:fill="B2B2B2"/>
          </w:tcPr>
          <w:p>
            <w:pPr>
              <w:spacing w:after="0"/>
              <w:rPr>
                <w:sz w:val="21"/>
                <w:szCs w:val="21"/>
                <w:color w:val="auto"/>
              </w:rPr>
            </w:pPr>
          </w:p>
        </w:tc>
        <w:tc>
          <w:tcPr>
            <w:tcW w:w="120" w:type="dxa"/>
            <w:vAlign w:val="bottom"/>
            <w:shd w:val="clear" w:color="auto" w:fill="B2B2B2"/>
          </w:tcPr>
          <w:p>
            <w:pPr>
              <w:spacing w:after="0"/>
              <w:rPr>
                <w:sz w:val="21"/>
                <w:szCs w:val="21"/>
                <w:color w:val="auto"/>
              </w:rPr>
            </w:pPr>
          </w:p>
        </w:tc>
        <w:tc>
          <w:tcPr>
            <w:tcW w:w="120" w:type="dxa"/>
            <w:vAlign w:val="bottom"/>
            <w:tcBorders>
              <w:right w:val="single" w:sz="8" w:color="FEFEFE"/>
            </w:tcBorders>
            <w:gridSpan w:val="2"/>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200" w:type="dxa"/>
            <w:vAlign w:val="bottom"/>
            <w:shd w:val="clear" w:color="auto" w:fill="B2B2B2"/>
          </w:tcPr>
          <w:p>
            <w:pPr>
              <w:spacing w:after="0"/>
              <w:rPr>
                <w:sz w:val="21"/>
                <w:szCs w:val="21"/>
                <w:color w:val="auto"/>
              </w:rPr>
            </w:pPr>
          </w:p>
        </w:tc>
        <w:tc>
          <w:tcPr>
            <w:tcW w:w="20" w:type="dxa"/>
            <w:vAlign w:val="bottom"/>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100" w:type="dxa"/>
            <w:vAlign w:val="bottom"/>
            <w:shd w:val="clear" w:color="auto" w:fill="B2B2B2"/>
          </w:tcPr>
          <w:p>
            <w:pPr>
              <w:spacing w:after="0"/>
              <w:rPr>
                <w:sz w:val="21"/>
                <w:szCs w:val="21"/>
                <w:color w:val="auto"/>
              </w:rPr>
            </w:pPr>
          </w:p>
        </w:tc>
        <w:tc>
          <w:tcPr>
            <w:tcW w:w="140" w:type="dxa"/>
            <w:vAlign w:val="bottom"/>
            <w:shd w:val="clear" w:color="auto" w:fill="B2B2B2"/>
          </w:tcPr>
          <w:p>
            <w:pPr>
              <w:spacing w:after="0"/>
              <w:rPr>
                <w:sz w:val="21"/>
                <w:szCs w:val="21"/>
                <w:color w:val="auto"/>
              </w:rPr>
            </w:pPr>
          </w:p>
        </w:tc>
        <w:tc>
          <w:tcPr>
            <w:tcW w:w="240" w:type="dxa"/>
            <w:vAlign w:val="bottom"/>
            <w:tcBorders>
              <w:right w:val="single" w:sz="8" w:color="FEFEFE"/>
            </w:tcBorders>
            <w:gridSpan w:val="2"/>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200" w:type="dxa"/>
            <w:vAlign w:val="bottom"/>
            <w:shd w:val="clear" w:color="auto" w:fill="B2B2B2"/>
          </w:tcPr>
          <w:p>
            <w:pPr>
              <w:spacing w:after="0"/>
              <w:rPr>
                <w:sz w:val="21"/>
                <w:szCs w:val="21"/>
                <w:color w:val="auto"/>
              </w:rPr>
            </w:pPr>
          </w:p>
        </w:tc>
        <w:tc>
          <w:tcPr>
            <w:tcW w:w="80" w:type="dxa"/>
            <w:vAlign w:val="bottom"/>
            <w:tcBorders>
              <w:right w:val="single" w:sz="8" w:color="B2B2B2"/>
            </w:tcBorders>
            <w:shd w:val="clear" w:color="auto" w:fill="B2B2B2"/>
          </w:tcPr>
          <w:p>
            <w:pPr>
              <w:spacing w:after="0"/>
              <w:rPr>
                <w:sz w:val="20"/>
                <w:szCs w:val="20"/>
                <w:color w:val="auto"/>
              </w:rPr>
            </w:pPr>
            <w:r>
              <w:rPr>
                <w:rFonts w:ascii="Arial" w:cs="Arial" w:eastAsia="Arial" w:hAnsi="Arial"/>
                <w:sz w:val="14"/>
                <w:szCs w:val="14"/>
                <w:color w:val="404040"/>
              </w:rPr>
              <w:t>​</w:t>
            </w:r>
          </w:p>
        </w:tc>
        <w:tc>
          <w:tcPr>
            <w:tcW w:w="180" w:type="dxa"/>
            <w:vAlign w:val="bottom"/>
            <w:shd w:val="clear" w:color="auto" w:fill="B2B2B2"/>
          </w:tcPr>
          <w:p>
            <w:pPr>
              <w:spacing w:after="0"/>
              <w:rPr>
                <w:sz w:val="21"/>
                <w:szCs w:val="21"/>
                <w:color w:val="auto"/>
              </w:rPr>
            </w:pPr>
          </w:p>
        </w:tc>
        <w:tc>
          <w:tcPr>
            <w:tcW w:w="160" w:type="dxa"/>
            <w:vAlign w:val="bottom"/>
            <w:shd w:val="clear" w:color="auto" w:fill="B2B2B2"/>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76"/>
        </w:trPr>
        <w:tc>
          <w:tcPr>
            <w:tcW w:w="292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404040"/>
              </w:rPr>
              <w:t>Chief Executive Officer, Avnet, Inc.</w:t>
            </w:r>
          </w:p>
        </w:tc>
        <w:tc>
          <w:tcPr>
            <w:tcW w:w="480" w:type="dxa"/>
            <w:vAlign w:val="bottom"/>
            <w:tcBorders>
              <w:bottom w:val="single" w:sz="8" w:color="7F7F7F"/>
            </w:tcBorders>
          </w:tcPr>
          <w:p>
            <w:pPr>
              <w:spacing w:after="0"/>
              <w:rPr>
                <w:sz w:val="15"/>
                <w:szCs w:val="15"/>
                <w:color w:val="auto"/>
              </w:rPr>
            </w:pPr>
          </w:p>
        </w:tc>
        <w:tc>
          <w:tcPr>
            <w:tcW w:w="760" w:type="dxa"/>
            <w:vAlign w:val="bottom"/>
            <w:tcBorders>
              <w:bottom w:val="single" w:sz="8" w:color="7F7F7F"/>
            </w:tcBorders>
          </w:tcPr>
          <w:p>
            <w:pPr>
              <w:spacing w:after="0"/>
              <w:rPr>
                <w:sz w:val="15"/>
                <w:szCs w:val="15"/>
                <w:color w:val="auto"/>
              </w:rPr>
            </w:pPr>
          </w:p>
        </w:tc>
        <w:tc>
          <w:tcPr>
            <w:tcW w:w="18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660" w:type="dxa"/>
            <w:vAlign w:val="bottom"/>
            <w:tcBorders>
              <w:bottom w:val="single" w:sz="8" w:color="7F7F7F"/>
            </w:tcBorders>
          </w:tcPr>
          <w:p>
            <w:pPr>
              <w:spacing w:after="0"/>
              <w:rPr>
                <w:sz w:val="15"/>
                <w:szCs w:val="15"/>
                <w:color w:val="auto"/>
              </w:rPr>
            </w:pPr>
          </w:p>
        </w:tc>
        <w:tc>
          <w:tcPr>
            <w:tcW w:w="12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160" w:type="dxa"/>
            <w:vAlign w:val="bottom"/>
            <w:tcBorders>
              <w:bottom w:val="single" w:sz="8" w:color="7F7F7F"/>
              <w:right w:val="single" w:sz="8" w:color="B2B2B2"/>
            </w:tcBorders>
            <w:shd w:val="clear" w:color="auto" w:fill="B2B2B2"/>
          </w:tcPr>
          <w:p>
            <w:pPr>
              <w:spacing w:after="0"/>
              <w:rPr>
                <w:sz w:val="15"/>
                <w:szCs w:val="15"/>
                <w:color w:val="auto"/>
              </w:rPr>
            </w:pPr>
          </w:p>
        </w:tc>
        <w:tc>
          <w:tcPr>
            <w:tcW w:w="20" w:type="dxa"/>
            <w:vAlign w:val="bottom"/>
            <w:tcBorders>
              <w:bottom w:val="single" w:sz="8" w:color="7F7F7F"/>
            </w:tcBorders>
            <w:shd w:val="clear" w:color="auto" w:fill="B2B2B2"/>
          </w:tcPr>
          <w:p>
            <w:pPr>
              <w:spacing w:after="0"/>
              <w:rPr>
                <w:sz w:val="15"/>
                <w:szCs w:val="15"/>
                <w:color w:val="auto"/>
              </w:rPr>
            </w:pPr>
          </w:p>
        </w:tc>
        <w:tc>
          <w:tcPr>
            <w:tcW w:w="60" w:type="dxa"/>
            <w:vAlign w:val="bottom"/>
            <w:tcBorders>
              <w:bottom w:val="single" w:sz="8" w:color="7F7F7F"/>
            </w:tcBorders>
            <w:shd w:val="clear" w:color="auto" w:fill="B2B2B2"/>
          </w:tcPr>
          <w:p>
            <w:pPr>
              <w:spacing w:after="0"/>
              <w:rPr>
                <w:sz w:val="15"/>
                <w:szCs w:val="15"/>
                <w:color w:val="auto"/>
              </w:rPr>
            </w:pPr>
          </w:p>
        </w:tc>
        <w:tc>
          <w:tcPr>
            <w:tcW w:w="180" w:type="dxa"/>
            <w:vAlign w:val="bottom"/>
            <w:tcBorders>
              <w:bottom w:val="single" w:sz="8" w:color="7F7F7F"/>
            </w:tcBorders>
            <w:shd w:val="clear" w:color="auto" w:fill="B2B2B2"/>
          </w:tcPr>
          <w:p>
            <w:pPr>
              <w:spacing w:after="0"/>
              <w:rPr>
                <w:sz w:val="15"/>
                <w:szCs w:val="15"/>
                <w:color w:val="auto"/>
              </w:rPr>
            </w:pPr>
          </w:p>
        </w:tc>
        <w:tc>
          <w:tcPr>
            <w:tcW w:w="140" w:type="dxa"/>
            <w:vAlign w:val="bottom"/>
            <w:tcBorders>
              <w:bottom w:val="single" w:sz="8" w:color="7F7F7F"/>
            </w:tcBorders>
            <w:shd w:val="clear" w:color="auto" w:fill="B2B2B2"/>
          </w:tcPr>
          <w:p>
            <w:pPr>
              <w:spacing w:after="0"/>
              <w:rPr>
                <w:sz w:val="15"/>
                <w:szCs w:val="15"/>
                <w:color w:val="auto"/>
              </w:rPr>
            </w:pPr>
          </w:p>
        </w:tc>
        <w:tc>
          <w:tcPr>
            <w:tcW w:w="100" w:type="dxa"/>
            <w:vAlign w:val="bottom"/>
            <w:tcBorders>
              <w:bottom w:val="single" w:sz="8" w:color="7F7F7F"/>
              <w:right w:val="single" w:sz="8" w:color="FEFEFE"/>
            </w:tcBorders>
            <w:shd w:val="clear" w:color="auto" w:fill="B2B2B2"/>
          </w:tcPr>
          <w:p>
            <w:pPr>
              <w:spacing w:after="0"/>
              <w:rPr>
                <w:sz w:val="15"/>
                <w:szCs w:val="15"/>
                <w:color w:val="auto"/>
              </w:rPr>
            </w:pPr>
          </w:p>
        </w:tc>
        <w:tc>
          <w:tcPr>
            <w:tcW w:w="200" w:type="dxa"/>
            <w:vAlign w:val="bottom"/>
            <w:tcBorders>
              <w:bottom w:val="single" w:sz="8" w:color="7F7F7F"/>
            </w:tcBorders>
            <w:shd w:val="clear" w:color="auto" w:fill="B2B2B2"/>
          </w:tcPr>
          <w:p>
            <w:pPr>
              <w:spacing w:after="0"/>
              <w:rPr>
                <w:sz w:val="15"/>
                <w:szCs w:val="15"/>
                <w:color w:val="auto"/>
              </w:rPr>
            </w:pPr>
          </w:p>
        </w:tc>
        <w:tc>
          <w:tcPr>
            <w:tcW w:w="60" w:type="dxa"/>
            <w:vAlign w:val="bottom"/>
            <w:tcBorders>
              <w:bottom w:val="single" w:sz="8" w:color="7F7F7F"/>
              <w:right w:val="single" w:sz="8" w:color="B2B2B2"/>
            </w:tcBorders>
            <w:shd w:val="clear" w:color="auto" w:fill="B2B2B2"/>
          </w:tcPr>
          <w:p>
            <w:pPr>
              <w:spacing w:after="0"/>
              <w:rPr>
                <w:sz w:val="15"/>
                <w:szCs w:val="15"/>
                <w:color w:val="auto"/>
              </w:rPr>
            </w:pPr>
          </w:p>
        </w:tc>
        <w:tc>
          <w:tcPr>
            <w:tcW w:w="200" w:type="dxa"/>
            <w:vAlign w:val="bottom"/>
            <w:tcBorders>
              <w:bottom w:val="single" w:sz="8" w:color="7F7F7F"/>
            </w:tcBorders>
            <w:shd w:val="clear" w:color="auto" w:fill="B2B2B2"/>
          </w:tcPr>
          <w:p>
            <w:pPr>
              <w:spacing w:after="0"/>
              <w:rPr>
                <w:sz w:val="15"/>
                <w:szCs w:val="15"/>
                <w:color w:val="auto"/>
              </w:rPr>
            </w:pPr>
          </w:p>
        </w:tc>
        <w:tc>
          <w:tcPr>
            <w:tcW w:w="160" w:type="dxa"/>
            <w:vAlign w:val="bottom"/>
            <w:tcBorders>
              <w:bottom w:val="single" w:sz="8" w:color="7F7F7F"/>
            </w:tcBorders>
            <w:shd w:val="clear" w:color="auto" w:fill="B2B2B2"/>
          </w:tcPr>
          <w:p>
            <w:pPr>
              <w:spacing w:after="0"/>
              <w:rPr>
                <w:sz w:val="15"/>
                <w:szCs w:val="15"/>
                <w:color w:val="auto"/>
              </w:rPr>
            </w:pPr>
          </w:p>
        </w:tc>
        <w:tc>
          <w:tcPr>
            <w:tcW w:w="80" w:type="dxa"/>
            <w:vAlign w:val="bottom"/>
            <w:tcBorders>
              <w:bottom w:val="single" w:sz="8" w:color="7F7F7F"/>
              <w:right w:val="single" w:sz="8" w:color="FEFEFE"/>
            </w:tcBorders>
            <w:shd w:val="clear" w:color="auto" w:fill="B2B2B2"/>
          </w:tcPr>
          <w:p>
            <w:pPr>
              <w:spacing w:after="0"/>
              <w:rPr>
                <w:sz w:val="15"/>
                <w:szCs w:val="15"/>
                <w:color w:val="auto"/>
              </w:rPr>
            </w:pPr>
          </w:p>
        </w:tc>
        <w:tc>
          <w:tcPr>
            <w:tcW w:w="200" w:type="dxa"/>
            <w:vAlign w:val="bottom"/>
            <w:tcBorders>
              <w:bottom w:val="single" w:sz="8" w:color="7F7F7F"/>
            </w:tcBorders>
            <w:shd w:val="clear" w:color="auto" w:fill="B2B2B2"/>
          </w:tcPr>
          <w:p>
            <w:pPr>
              <w:spacing w:after="0"/>
              <w:rPr>
                <w:sz w:val="15"/>
                <w:szCs w:val="15"/>
                <w:color w:val="auto"/>
              </w:rPr>
            </w:pPr>
          </w:p>
        </w:tc>
        <w:tc>
          <w:tcPr>
            <w:tcW w:w="20" w:type="dxa"/>
            <w:vAlign w:val="bottom"/>
            <w:tcBorders>
              <w:bottom w:val="single" w:sz="8" w:color="7F7F7F"/>
            </w:tcBorders>
            <w:shd w:val="clear" w:color="auto" w:fill="B2B2B2"/>
          </w:tcPr>
          <w:p>
            <w:pPr>
              <w:spacing w:after="0"/>
              <w:rPr>
                <w:sz w:val="15"/>
                <w:szCs w:val="15"/>
                <w:color w:val="auto"/>
              </w:rPr>
            </w:pPr>
          </w:p>
        </w:tc>
        <w:tc>
          <w:tcPr>
            <w:tcW w:w="100" w:type="dxa"/>
            <w:vAlign w:val="bottom"/>
            <w:tcBorders>
              <w:bottom w:val="single" w:sz="8" w:color="7F7F7F"/>
            </w:tcBorders>
            <w:shd w:val="clear" w:color="auto" w:fill="B2B2B2"/>
          </w:tcPr>
          <w:p>
            <w:pPr>
              <w:spacing w:after="0"/>
              <w:rPr>
                <w:sz w:val="15"/>
                <w:szCs w:val="15"/>
                <w:color w:val="auto"/>
              </w:rPr>
            </w:pPr>
          </w:p>
        </w:tc>
        <w:tc>
          <w:tcPr>
            <w:tcW w:w="140" w:type="dxa"/>
            <w:vAlign w:val="bottom"/>
            <w:tcBorders>
              <w:bottom w:val="single" w:sz="8" w:color="7F7F7F"/>
            </w:tcBorders>
            <w:shd w:val="clear" w:color="auto" w:fill="B2B2B2"/>
          </w:tcPr>
          <w:p>
            <w:pPr>
              <w:spacing w:after="0"/>
              <w:rPr>
                <w:sz w:val="15"/>
                <w:szCs w:val="15"/>
                <w:color w:val="auto"/>
              </w:rPr>
            </w:pPr>
          </w:p>
        </w:tc>
        <w:tc>
          <w:tcPr>
            <w:tcW w:w="120" w:type="dxa"/>
            <w:vAlign w:val="bottom"/>
            <w:tcBorders>
              <w:bottom w:val="single" w:sz="8" w:color="7F7F7F"/>
            </w:tcBorders>
            <w:shd w:val="clear" w:color="auto" w:fill="B2B2B2"/>
          </w:tcPr>
          <w:p>
            <w:pPr>
              <w:spacing w:after="0"/>
              <w:rPr>
                <w:sz w:val="15"/>
                <w:szCs w:val="15"/>
                <w:color w:val="auto"/>
              </w:rPr>
            </w:pPr>
          </w:p>
        </w:tc>
        <w:tc>
          <w:tcPr>
            <w:tcW w:w="40" w:type="dxa"/>
            <w:vAlign w:val="bottom"/>
            <w:tcBorders>
              <w:bottom w:val="single" w:sz="8" w:color="7F7F7F"/>
            </w:tcBorders>
            <w:shd w:val="clear" w:color="auto" w:fill="B2B2B2"/>
          </w:tcPr>
          <w:p>
            <w:pPr>
              <w:spacing w:after="0"/>
              <w:rPr>
                <w:sz w:val="15"/>
                <w:szCs w:val="15"/>
                <w:color w:val="auto"/>
              </w:rPr>
            </w:pPr>
          </w:p>
        </w:tc>
        <w:tc>
          <w:tcPr>
            <w:tcW w:w="80" w:type="dxa"/>
            <w:vAlign w:val="bottom"/>
            <w:tcBorders>
              <w:bottom w:val="single" w:sz="8" w:color="7F7F7F"/>
              <w:right w:val="single" w:sz="8" w:color="FEFEFE"/>
            </w:tcBorders>
            <w:shd w:val="clear" w:color="auto" w:fill="B2B2B2"/>
          </w:tcPr>
          <w:p>
            <w:pPr>
              <w:spacing w:after="0"/>
              <w:rPr>
                <w:sz w:val="15"/>
                <w:szCs w:val="15"/>
                <w:color w:val="auto"/>
              </w:rPr>
            </w:pPr>
          </w:p>
        </w:tc>
        <w:tc>
          <w:tcPr>
            <w:tcW w:w="200" w:type="dxa"/>
            <w:vAlign w:val="bottom"/>
            <w:tcBorders>
              <w:bottom w:val="single" w:sz="8" w:color="7F7F7F"/>
            </w:tcBorders>
            <w:shd w:val="clear" w:color="auto" w:fill="B2B2B2"/>
          </w:tcPr>
          <w:p>
            <w:pPr>
              <w:spacing w:after="0"/>
              <w:rPr>
                <w:sz w:val="15"/>
                <w:szCs w:val="15"/>
                <w:color w:val="auto"/>
              </w:rPr>
            </w:pPr>
          </w:p>
        </w:tc>
        <w:tc>
          <w:tcPr>
            <w:tcW w:w="20" w:type="dxa"/>
            <w:vAlign w:val="bottom"/>
            <w:tcBorders>
              <w:bottom w:val="single" w:sz="8" w:color="7F7F7F"/>
            </w:tcBorders>
            <w:shd w:val="clear" w:color="auto" w:fill="B2B2B2"/>
          </w:tcPr>
          <w:p>
            <w:pPr>
              <w:spacing w:after="0"/>
              <w:rPr>
                <w:sz w:val="15"/>
                <w:szCs w:val="15"/>
                <w:color w:val="auto"/>
              </w:rPr>
            </w:pPr>
          </w:p>
        </w:tc>
        <w:tc>
          <w:tcPr>
            <w:tcW w:w="100" w:type="dxa"/>
            <w:vAlign w:val="bottom"/>
            <w:tcBorders>
              <w:bottom w:val="single" w:sz="8" w:color="7F7F7F"/>
            </w:tcBorders>
            <w:shd w:val="clear" w:color="auto" w:fill="B2B2B2"/>
          </w:tcPr>
          <w:p>
            <w:pPr>
              <w:spacing w:after="0"/>
              <w:rPr>
                <w:sz w:val="15"/>
                <w:szCs w:val="15"/>
                <w:color w:val="auto"/>
              </w:rPr>
            </w:pPr>
          </w:p>
        </w:tc>
        <w:tc>
          <w:tcPr>
            <w:tcW w:w="140" w:type="dxa"/>
            <w:vAlign w:val="bottom"/>
            <w:tcBorders>
              <w:bottom w:val="single" w:sz="8" w:color="7F7F7F"/>
            </w:tcBorders>
            <w:shd w:val="clear" w:color="auto" w:fill="B2B2B2"/>
          </w:tcPr>
          <w:p>
            <w:pPr>
              <w:spacing w:after="0"/>
              <w:rPr>
                <w:sz w:val="15"/>
                <w:szCs w:val="15"/>
                <w:color w:val="auto"/>
              </w:rPr>
            </w:pPr>
          </w:p>
        </w:tc>
        <w:tc>
          <w:tcPr>
            <w:tcW w:w="160" w:type="dxa"/>
            <w:vAlign w:val="bottom"/>
            <w:tcBorders>
              <w:bottom w:val="single" w:sz="8" w:color="7F7F7F"/>
            </w:tcBorders>
            <w:shd w:val="clear" w:color="auto" w:fill="B2B2B2"/>
          </w:tcPr>
          <w:p>
            <w:pPr>
              <w:spacing w:after="0"/>
              <w:rPr>
                <w:sz w:val="15"/>
                <w:szCs w:val="15"/>
                <w:color w:val="auto"/>
              </w:rPr>
            </w:pPr>
          </w:p>
        </w:tc>
        <w:tc>
          <w:tcPr>
            <w:tcW w:w="80" w:type="dxa"/>
            <w:vAlign w:val="bottom"/>
            <w:tcBorders>
              <w:bottom w:val="single" w:sz="8" w:color="7F7F7F"/>
              <w:right w:val="single" w:sz="8" w:color="FEFEFE"/>
            </w:tcBorders>
            <w:shd w:val="clear" w:color="auto" w:fill="B2B2B2"/>
          </w:tcPr>
          <w:p>
            <w:pPr>
              <w:spacing w:after="0"/>
              <w:rPr>
                <w:sz w:val="15"/>
                <w:szCs w:val="15"/>
                <w:color w:val="auto"/>
              </w:rPr>
            </w:pPr>
          </w:p>
        </w:tc>
        <w:tc>
          <w:tcPr>
            <w:tcW w:w="200" w:type="dxa"/>
            <w:vAlign w:val="bottom"/>
            <w:tcBorders>
              <w:bottom w:val="single" w:sz="8" w:color="7F7F7F"/>
            </w:tcBorders>
            <w:shd w:val="clear" w:color="auto" w:fill="B2B2B2"/>
          </w:tcPr>
          <w:p>
            <w:pPr>
              <w:spacing w:after="0"/>
              <w:rPr>
                <w:sz w:val="15"/>
                <w:szCs w:val="15"/>
                <w:color w:val="auto"/>
              </w:rPr>
            </w:pPr>
          </w:p>
        </w:tc>
        <w:tc>
          <w:tcPr>
            <w:tcW w:w="80" w:type="dxa"/>
            <w:vAlign w:val="bottom"/>
            <w:tcBorders>
              <w:bottom w:val="single" w:sz="8" w:color="7F7F7F"/>
              <w:right w:val="single" w:sz="8" w:color="B2B2B2"/>
            </w:tcBorders>
            <w:shd w:val="clear" w:color="auto" w:fill="B2B2B2"/>
          </w:tcPr>
          <w:p>
            <w:pPr>
              <w:spacing w:after="0"/>
              <w:rPr>
                <w:sz w:val="15"/>
                <w:szCs w:val="15"/>
                <w:color w:val="auto"/>
              </w:rPr>
            </w:pPr>
          </w:p>
        </w:tc>
        <w:tc>
          <w:tcPr>
            <w:tcW w:w="180" w:type="dxa"/>
            <w:vAlign w:val="bottom"/>
            <w:tcBorders>
              <w:bottom w:val="single" w:sz="8" w:color="7F7F7F"/>
            </w:tcBorders>
            <w:shd w:val="clear" w:color="auto" w:fill="B2B2B2"/>
          </w:tcPr>
          <w:p>
            <w:pPr>
              <w:spacing w:after="0"/>
              <w:rPr>
                <w:sz w:val="15"/>
                <w:szCs w:val="15"/>
                <w:color w:val="auto"/>
              </w:rPr>
            </w:pPr>
          </w:p>
        </w:tc>
        <w:tc>
          <w:tcPr>
            <w:tcW w:w="160" w:type="dxa"/>
            <w:vAlign w:val="bottom"/>
            <w:tcBorders>
              <w:bottom w:val="single" w:sz="8" w:color="7F7F7F"/>
            </w:tcBorders>
            <w:shd w:val="clear" w:color="auto" w:fill="B2B2B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20" w:type="dxa"/>
            <w:vAlign w:val="bottom"/>
          </w:tcPr>
          <w:p>
            <w:pPr>
              <w:ind w:left="60"/>
              <w:spacing w:after="0"/>
              <w:rPr>
                <w:sz w:val="20"/>
                <w:szCs w:val="20"/>
                <w:color w:val="auto"/>
              </w:rPr>
            </w:pPr>
            <w:r>
              <w:rPr>
                <w:rFonts w:ascii="Arial" w:cs="Arial" w:eastAsia="Arial" w:hAnsi="Arial"/>
                <w:sz w:val="14"/>
                <w:szCs w:val="14"/>
                <w:b w:val="1"/>
                <w:bCs w:val="1"/>
                <w:color w:val="404040"/>
              </w:rPr>
              <w:t>Helmut Gassel</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right w:val="single" w:sz="8" w:color="B2B2B2"/>
            </w:tcBorders>
            <w:shd w:val="clear" w:color="auto" w:fill="B2B2B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180" w:type="dxa"/>
            <w:vAlign w:val="bottom"/>
            <w:vMerge w:val="restart"/>
            <w:shd w:val="clear" w:color="auto" w:fill="B2B2B2"/>
          </w:tcPr>
          <w:p>
            <w:pPr>
              <w:ind w:left="100"/>
              <w:spacing w:after="0"/>
              <w:rPr>
                <w:sz w:val="20"/>
                <w:szCs w:val="20"/>
                <w:color w:val="auto"/>
              </w:rPr>
            </w:pPr>
            <w:r>
              <w:rPr>
                <w:rFonts w:ascii="Arial" w:cs="Arial" w:eastAsia="Arial" w:hAnsi="Arial"/>
                <w:sz w:val="24"/>
                <w:szCs w:val="24"/>
                <w:color w:val="auto"/>
                <w:w w:val="70"/>
              </w:rPr>
              <w:t>•</w:t>
            </w:r>
          </w:p>
        </w:tc>
        <w:tc>
          <w:tcPr>
            <w:tcW w:w="140" w:type="dxa"/>
            <w:vAlign w:val="bottom"/>
            <w:shd w:val="clear" w:color="auto" w:fill="B2B2B2"/>
          </w:tcPr>
          <w:p>
            <w:pPr>
              <w:spacing w:after="0"/>
              <w:rPr>
                <w:sz w:val="15"/>
                <w:szCs w:val="15"/>
                <w:color w:val="auto"/>
              </w:rPr>
            </w:pPr>
          </w:p>
        </w:tc>
        <w:tc>
          <w:tcPr>
            <w:tcW w:w="100" w:type="dxa"/>
            <w:vAlign w:val="bottom"/>
            <w:tcBorders>
              <w:right w:val="single" w:sz="8" w:color="FEFEFE"/>
            </w:tcBorders>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60" w:type="dxa"/>
            <w:vAlign w:val="bottom"/>
            <w:tcBorders>
              <w:right w:val="single" w:sz="8" w:color="B2B2B2"/>
            </w:tcBorders>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140" w:type="dxa"/>
            <w:vAlign w:val="bottom"/>
            <w:shd w:val="clear" w:color="auto" w:fill="B2B2B2"/>
          </w:tcPr>
          <w:p>
            <w:pPr>
              <w:spacing w:after="0"/>
              <w:rPr>
                <w:sz w:val="15"/>
                <w:szCs w:val="15"/>
                <w:color w:val="auto"/>
              </w:rPr>
            </w:pPr>
          </w:p>
        </w:tc>
        <w:tc>
          <w:tcPr>
            <w:tcW w:w="12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80" w:type="dxa"/>
            <w:vAlign w:val="bottom"/>
            <w:tcBorders>
              <w:right w:val="single" w:sz="8" w:color="FEFEFE"/>
            </w:tcBorders>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14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80" w:type="dxa"/>
            <w:vAlign w:val="bottom"/>
            <w:tcBorders>
              <w:right w:val="single" w:sz="8" w:color="B2B2B2"/>
            </w:tcBorders>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7F7F7F"/>
            </w:tcBorders>
          </w:tcPr>
          <w:p>
            <w:pPr>
              <w:ind w:left="40"/>
              <w:spacing w:after="0" w:line="243" w:lineRule="exact"/>
              <w:rPr>
                <w:sz w:val="20"/>
                <w:szCs w:val="20"/>
                <w:color w:val="auto"/>
              </w:rPr>
            </w:pPr>
            <w:r>
              <w:rPr>
                <w:rFonts w:ascii="Arial" w:cs="Arial" w:eastAsia="Arial" w:hAnsi="Arial"/>
                <w:sz w:val="28"/>
                <w:szCs w:val="28"/>
                <w:color w:val="404040"/>
                <w:vertAlign w:val="superscript"/>
              </w:rPr>
              <w:t>​</w:t>
            </w:r>
            <w:r>
              <w:rPr>
                <w:rFonts w:ascii="Arial" w:cs="Arial" w:eastAsia="Arial" w:hAnsi="Arial"/>
                <w:sz w:val="14"/>
                <w:szCs w:val="14"/>
                <w:color w:val="404040"/>
              </w:rPr>
              <w:t>Co-founder and Partner of Silian Partners</w:t>
            </w:r>
          </w:p>
        </w:tc>
        <w:tc>
          <w:tcPr>
            <w:tcW w:w="480" w:type="dxa"/>
            <w:vAlign w:val="bottom"/>
            <w:tcBorders>
              <w:bottom w:val="single" w:sz="8" w:color="7F7F7F"/>
            </w:tcBorders>
          </w:tcPr>
          <w:p>
            <w:pPr>
              <w:ind w:left="180"/>
              <w:spacing w:after="0"/>
              <w:rPr>
                <w:sz w:val="20"/>
                <w:szCs w:val="20"/>
                <w:color w:val="auto"/>
              </w:rPr>
            </w:pPr>
            <w:r>
              <w:rPr>
                <w:rFonts w:ascii="Arial" w:cs="Arial" w:eastAsia="Arial" w:hAnsi="Arial"/>
                <w:sz w:val="14"/>
                <w:szCs w:val="14"/>
                <w:color w:val="404040"/>
              </w:rPr>
              <w:t>61</w:t>
            </w:r>
          </w:p>
        </w:tc>
        <w:tc>
          <w:tcPr>
            <w:tcW w:w="76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404040"/>
              </w:rPr>
              <w:t>2024</w:t>
            </w:r>
          </w:p>
        </w:tc>
        <w:tc>
          <w:tcPr>
            <w:tcW w:w="180" w:type="dxa"/>
            <w:vAlign w:val="bottom"/>
            <w:tcBorders>
              <w:bottom w:val="single" w:sz="8" w:color="7F7F7F"/>
            </w:tcBorders>
          </w:tcPr>
          <w:p>
            <w:pPr>
              <w:spacing w:after="0"/>
              <w:rPr>
                <w:sz w:val="20"/>
                <w:szCs w:val="20"/>
                <w:color w:val="auto"/>
              </w:rPr>
            </w:pPr>
            <w:r>
              <w:rPr>
                <w:rFonts w:ascii="Arial" w:cs="Arial" w:eastAsia="Arial" w:hAnsi="Arial"/>
                <w:sz w:val="14"/>
                <w:szCs w:val="14"/>
                <w:color w:val="404040"/>
              </w:rPr>
              <w:t>​</w:t>
            </w:r>
          </w:p>
        </w:tc>
        <w:tc>
          <w:tcPr>
            <w:tcW w:w="100" w:type="dxa"/>
            <w:vAlign w:val="bottom"/>
            <w:tcBorders>
              <w:bottom w:val="single" w:sz="8" w:color="7F7F7F"/>
            </w:tcBorders>
          </w:tcPr>
          <w:p>
            <w:pPr>
              <w:spacing w:after="0"/>
              <w:rPr>
                <w:sz w:val="21"/>
                <w:szCs w:val="21"/>
                <w:color w:val="auto"/>
              </w:rPr>
            </w:pPr>
          </w:p>
        </w:tc>
        <w:tc>
          <w:tcPr>
            <w:tcW w:w="100" w:type="dxa"/>
            <w:vAlign w:val="bottom"/>
            <w:tcBorders>
              <w:bottom w:val="single" w:sz="8" w:color="7F7F7F"/>
            </w:tcBorders>
          </w:tcPr>
          <w:p>
            <w:pPr>
              <w:spacing w:after="0"/>
              <w:rPr>
                <w:sz w:val="21"/>
                <w:szCs w:val="21"/>
                <w:color w:val="auto"/>
              </w:rPr>
            </w:pPr>
          </w:p>
        </w:tc>
        <w:tc>
          <w:tcPr>
            <w:tcW w:w="660" w:type="dxa"/>
            <w:vAlign w:val="bottom"/>
            <w:tcBorders>
              <w:bottom w:val="single" w:sz="8" w:color="7F7F7F"/>
            </w:tcBorders>
          </w:tcPr>
          <w:p>
            <w:pPr>
              <w:spacing w:after="0"/>
              <w:rPr>
                <w:sz w:val="20"/>
                <w:szCs w:val="20"/>
                <w:color w:val="auto"/>
              </w:rPr>
            </w:pPr>
            <w:r>
              <w:rPr>
                <w:rFonts w:ascii="Arial" w:cs="Arial" w:eastAsia="Arial" w:hAnsi="Arial"/>
                <w:sz w:val="14"/>
                <w:szCs w:val="14"/>
                <w:color w:val="404040"/>
              </w:rPr>
              <w:t>​YES</w:t>
            </w:r>
          </w:p>
        </w:tc>
        <w:tc>
          <w:tcPr>
            <w:tcW w:w="12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404040"/>
              </w:rPr>
              <w:t>​​</w:t>
            </w:r>
          </w:p>
        </w:tc>
        <w:tc>
          <w:tcPr>
            <w:tcW w:w="6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404040"/>
              </w:rPr>
              <w:t>​</w:t>
            </w:r>
          </w:p>
        </w:tc>
        <w:tc>
          <w:tcPr>
            <w:tcW w:w="160" w:type="dxa"/>
            <w:vAlign w:val="bottom"/>
            <w:tcBorders>
              <w:bottom w:val="single" w:sz="8" w:color="7F7F7F"/>
              <w:right w:val="single" w:sz="8" w:color="B2B2B2"/>
            </w:tcBorders>
            <w:shd w:val="clear" w:color="auto" w:fill="B2B2B2"/>
          </w:tcPr>
          <w:p>
            <w:pPr>
              <w:spacing w:after="0"/>
              <w:rPr>
                <w:sz w:val="21"/>
                <w:szCs w:val="21"/>
                <w:color w:val="auto"/>
              </w:rPr>
            </w:pPr>
          </w:p>
        </w:tc>
        <w:tc>
          <w:tcPr>
            <w:tcW w:w="20" w:type="dxa"/>
            <w:vAlign w:val="bottom"/>
            <w:tcBorders>
              <w:bottom w:val="single" w:sz="8" w:color="7F7F7F"/>
            </w:tcBorders>
          </w:tcPr>
          <w:p>
            <w:pPr>
              <w:spacing w:after="0"/>
              <w:rPr>
                <w:sz w:val="20"/>
                <w:szCs w:val="20"/>
                <w:color w:val="auto"/>
              </w:rPr>
            </w:pPr>
            <w:r>
              <w:rPr>
                <w:rFonts w:ascii="Arial" w:cs="Arial" w:eastAsia="Arial" w:hAnsi="Arial"/>
                <w:sz w:val="1"/>
                <w:szCs w:val="1"/>
                <w:color w:val="404040"/>
                <w:w w:val="4294942296"/>
              </w:rPr>
              <w:t>​</w:t>
            </w:r>
          </w:p>
        </w:tc>
        <w:tc>
          <w:tcPr>
            <w:tcW w:w="60" w:type="dxa"/>
            <w:vAlign w:val="bottom"/>
            <w:tcBorders>
              <w:bottom w:val="single" w:sz="8" w:color="7F7F7F"/>
            </w:tcBorders>
            <w:shd w:val="clear" w:color="auto" w:fill="B2B2B2"/>
          </w:tcPr>
          <w:p>
            <w:pPr>
              <w:spacing w:after="0"/>
              <w:rPr>
                <w:sz w:val="21"/>
                <w:szCs w:val="21"/>
                <w:color w:val="auto"/>
              </w:rPr>
            </w:pPr>
          </w:p>
        </w:tc>
        <w:tc>
          <w:tcPr>
            <w:tcW w:w="180" w:type="dxa"/>
            <w:vAlign w:val="bottom"/>
            <w:tcBorders>
              <w:bottom w:val="single" w:sz="8" w:color="7F7F7F"/>
            </w:tcBorders>
            <w:vMerge w:val="continue"/>
            <w:shd w:val="clear" w:color="auto" w:fill="B2B2B2"/>
          </w:tcPr>
          <w:p>
            <w:pPr>
              <w:spacing w:after="0"/>
              <w:rPr>
                <w:sz w:val="21"/>
                <w:szCs w:val="21"/>
                <w:color w:val="auto"/>
              </w:rPr>
            </w:pPr>
          </w:p>
        </w:tc>
        <w:tc>
          <w:tcPr>
            <w:tcW w:w="240" w:type="dxa"/>
            <w:vAlign w:val="bottom"/>
            <w:tcBorders>
              <w:bottom w:val="single" w:sz="8" w:color="7F7F7F"/>
              <w:right w:val="single" w:sz="8" w:color="FEFEFE"/>
            </w:tcBorders>
            <w:gridSpan w:val="2"/>
            <w:shd w:val="clear" w:color="auto" w:fill="B2B2B2"/>
          </w:tcPr>
          <w:p>
            <w:pPr>
              <w:ind w:left="140"/>
              <w:spacing w:after="0"/>
              <w:rPr>
                <w:sz w:val="20"/>
                <w:szCs w:val="20"/>
                <w:color w:val="auto"/>
              </w:rPr>
            </w:pPr>
            <w:r>
              <w:rPr>
                <w:rFonts w:ascii="Arial" w:cs="Arial" w:eastAsia="Arial" w:hAnsi="Arial"/>
                <w:sz w:val="14"/>
                <w:szCs w:val="14"/>
                <w:color w:val="404040"/>
              </w:rPr>
              <w:t>​</w:t>
            </w:r>
          </w:p>
        </w:tc>
        <w:tc>
          <w:tcPr>
            <w:tcW w:w="200" w:type="dxa"/>
            <w:vAlign w:val="bottom"/>
            <w:tcBorders>
              <w:bottom w:val="single" w:sz="8" w:color="7F7F7F"/>
            </w:tcBorders>
            <w:shd w:val="clear" w:color="auto" w:fill="B2B2B2"/>
          </w:tcPr>
          <w:p>
            <w:pPr>
              <w:spacing w:after="0"/>
              <w:rPr>
                <w:sz w:val="21"/>
                <w:szCs w:val="21"/>
                <w:color w:val="auto"/>
              </w:rPr>
            </w:pPr>
          </w:p>
        </w:tc>
        <w:tc>
          <w:tcPr>
            <w:tcW w:w="60" w:type="dxa"/>
            <w:vAlign w:val="bottom"/>
            <w:tcBorders>
              <w:bottom w:val="single" w:sz="8" w:color="7F7F7F"/>
              <w:right w:val="single" w:sz="8" w:color="B2B2B2"/>
            </w:tcBorders>
          </w:tcPr>
          <w:p>
            <w:pPr>
              <w:spacing w:after="0"/>
              <w:rPr>
                <w:sz w:val="20"/>
                <w:szCs w:val="20"/>
                <w:color w:val="auto"/>
              </w:rPr>
            </w:pPr>
            <w:r>
              <w:rPr>
                <w:rFonts w:ascii="Arial" w:cs="Arial" w:eastAsia="Arial" w:hAnsi="Arial"/>
                <w:sz w:val="14"/>
                <w:szCs w:val="14"/>
                <w:color w:val="404040"/>
              </w:rPr>
              <w:t>​</w:t>
            </w:r>
          </w:p>
        </w:tc>
        <w:tc>
          <w:tcPr>
            <w:tcW w:w="200" w:type="dxa"/>
            <w:vAlign w:val="bottom"/>
            <w:tcBorders>
              <w:bottom w:val="single" w:sz="8" w:color="7F7F7F"/>
            </w:tcBorders>
            <w:shd w:val="clear" w:color="auto" w:fill="B2B2B2"/>
          </w:tcPr>
          <w:p>
            <w:pPr>
              <w:spacing w:after="0"/>
              <w:rPr>
                <w:sz w:val="21"/>
                <w:szCs w:val="21"/>
                <w:color w:val="auto"/>
              </w:rPr>
            </w:pPr>
          </w:p>
        </w:tc>
        <w:tc>
          <w:tcPr>
            <w:tcW w:w="240" w:type="dxa"/>
            <w:vAlign w:val="bottom"/>
            <w:tcBorders>
              <w:bottom w:val="single" w:sz="8" w:color="7F7F7F"/>
              <w:right w:val="single" w:sz="8" w:color="FEFEFE"/>
            </w:tcBorders>
            <w:gridSpan w:val="2"/>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200" w:type="dxa"/>
            <w:vAlign w:val="bottom"/>
            <w:tcBorders>
              <w:bottom w:val="single" w:sz="8" w:color="7F7F7F"/>
            </w:tcBorders>
            <w:shd w:val="clear" w:color="auto" w:fill="B2B2B2"/>
          </w:tcPr>
          <w:p>
            <w:pPr>
              <w:spacing w:after="0"/>
              <w:rPr>
                <w:sz w:val="21"/>
                <w:szCs w:val="21"/>
                <w:color w:val="auto"/>
              </w:rPr>
            </w:pPr>
          </w:p>
        </w:tc>
        <w:tc>
          <w:tcPr>
            <w:tcW w:w="20" w:type="dxa"/>
            <w:vAlign w:val="bottom"/>
            <w:tcBorders>
              <w:bottom w:val="single" w:sz="8" w:color="7F7F7F"/>
            </w:tcBorders>
          </w:tcPr>
          <w:p>
            <w:pPr>
              <w:spacing w:after="0"/>
              <w:rPr>
                <w:sz w:val="20"/>
                <w:szCs w:val="20"/>
                <w:color w:val="auto"/>
              </w:rPr>
            </w:pPr>
            <w:r>
              <w:rPr>
                <w:rFonts w:ascii="Arial" w:cs="Arial" w:eastAsia="Arial" w:hAnsi="Arial"/>
                <w:sz w:val="1"/>
                <w:szCs w:val="1"/>
                <w:color w:val="404040"/>
                <w:w w:val="4294942296"/>
              </w:rPr>
              <w:t>​</w:t>
            </w:r>
          </w:p>
        </w:tc>
        <w:tc>
          <w:tcPr>
            <w:tcW w:w="100" w:type="dxa"/>
            <w:vAlign w:val="bottom"/>
            <w:tcBorders>
              <w:bottom w:val="single" w:sz="8" w:color="7F7F7F"/>
            </w:tcBorders>
            <w:shd w:val="clear" w:color="auto" w:fill="B2B2B2"/>
          </w:tcPr>
          <w:p>
            <w:pPr>
              <w:spacing w:after="0"/>
              <w:rPr>
                <w:sz w:val="21"/>
                <w:szCs w:val="21"/>
                <w:color w:val="auto"/>
              </w:rPr>
            </w:pPr>
          </w:p>
        </w:tc>
        <w:tc>
          <w:tcPr>
            <w:tcW w:w="140" w:type="dxa"/>
            <w:vAlign w:val="bottom"/>
            <w:tcBorders>
              <w:bottom w:val="single" w:sz="8" w:color="7F7F7F"/>
            </w:tcBorders>
            <w:shd w:val="clear" w:color="auto" w:fill="B2B2B2"/>
          </w:tcPr>
          <w:p>
            <w:pPr>
              <w:spacing w:after="0"/>
              <w:rPr>
                <w:sz w:val="21"/>
                <w:szCs w:val="21"/>
                <w:color w:val="auto"/>
              </w:rPr>
            </w:pPr>
          </w:p>
        </w:tc>
        <w:tc>
          <w:tcPr>
            <w:tcW w:w="120" w:type="dxa"/>
            <w:vAlign w:val="bottom"/>
            <w:tcBorders>
              <w:bottom w:val="single" w:sz="8" w:color="7F7F7F"/>
            </w:tcBorders>
            <w:shd w:val="clear" w:color="auto" w:fill="B2B2B2"/>
          </w:tcPr>
          <w:p>
            <w:pPr>
              <w:spacing w:after="0"/>
              <w:rPr>
                <w:sz w:val="21"/>
                <w:szCs w:val="21"/>
                <w:color w:val="auto"/>
              </w:rPr>
            </w:pPr>
          </w:p>
        </w:tc>
        <w:tc>
          <w:tcPr>
            <w:tcW w:w="120" w:type="dxa"/>
            <w:vAlign w:val="bottom"/>
            <w:tcBorders>
              <w:bottom w:val="single" w:sz="8" w:color="7F7F7F"/>
              <w:right w:val="single" w:sz="8" w:color="FEFEFE"/>
            </w:tcBorders>
            <w:gridSpan w:val="2"/>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200" w:type="dxa"/>
            <w:vAlign w:val="bottom"/>
            <w:tcBorders>
              <w:bottom w:val="single" w:sz="8" w:color="7F7F7F"/>
            </w:tcBorders>
            <w:shd w:val="clear" w:color="auto" w:fill="B2B2B2"/>
          </w:tcPr>
          <w:p>
            <w:pPr>
              <w:spacing w:after="0"/>
              <w:rPr>
                <w:sz w:val="21"/>
                <w:szCs w:val="21"/>
                <w:color w:val="auto"/>
              </w:rPr>
            </w:pPr>
          </w:p>
        </w:tc>
        <w:tc>
          <w:tcPr>
            <w:tcW w:w="20" w:type="dxa"/>
            <w:vAlign w:val="bottom"/>
            <w:tcBorders>
              <w:bottom w:val="single" w:sz="8" w:color="7F7F7F"/>
            </w:tcBorders>
          </w:tcPr>
          <w:p>
            <w:pPr>
              <w:spacing w:after="0"/>
              <w:rPr>
                <w:sz w:val="20"/>
                <w:szCs w:val="20"/>
                <w:color w:val="auto"/>
              </w:rPr>
            </w:pPr>
            <w:r>
              <w:rPr>
                <w:rFonts w:ascii="Arial" w:cs="Arial" w:eastAsia="Arial" w:hAnsi="Arial"/>
                <w:sz w:val="1"/>
                <w:szCs w:val="1"/>
                <w:color w:val="404040"/>
                <w:w w:val="4294942296"/>
              </w:rPr>
              <w:t>​</w:t>
            </w:r>
          </w:p>
        </w:tc>
        <w:tc>
          <w:tcPr>
            <w:tcW w:w="100" w:type="dxa"/>
            <w:vAlign w:val="bottom"/>
            <w:tcBorders>
              <w:bottom w:val="single" w:sz="8" w:color="7F7F7F"/>
            </w:tcBorders>
            <w:shd w:val="clear" w:color="auto" w:fill="B2B2B2"/>
          </w:tcPr>
          <w:p>
            <w:pPr>
              <w:spacing w:after="0"/>
              <w:rPr>
                <w:sz w:val="21"/>
                <w:szCs w:val="21"/>
                <w:color w:val="auto"/>
              </w:rPr>
            </w:pPr>
          </w:p>
        </w:tc>
        <w:tc>
          <w:tcPr>
            <w:tcW w:w="140" w:type="dxa"/>
            <w:vAlign w:val="bottom"/>
            <w:tcBorders>
              <w:bottom w:val="single" w:sz="8" w:color="7F7F7F"/>
            </w:tcBorders>
            <w:vMerge w:val="continue"/>
            <w:shd w:val="clear" w:color="auto" w:fill="B2B2B2"/>
          </w:tcPr>
          <w:p>
            <w:pPr>
              <w:spacing w:after="0"/>
              <w:rPr>
                <w:sz w:val="21"/>
                <w:szCs w:val="21"/>
                <w:color w:val="auto"/>
              </w:rPr>
            </w:pPr>
          </w:p>
        </w:tc>
        <w:tc>
          <w:tcPr>
            <w:tcW w:w="240" w:type="dxa"/>
            <w:vAlign w:val="bottom"/>
            <w:tcBorders>
              <w:bottom w:val="single" w:sz="8" w:color="7F7F7F"/>
              <w:right w:val="single" w:sz="8" w:color="FEFEFE"/>
            </w:tcBorders>
            <w:gridSpan w:val="2"/>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200" w:type="dxa"/>
            <w:vAlign w:val="bottom"/>
            <w:tcBorders>
              <w:bottom w:val="single" w:sz="8" w:color="7F7F7F"/>
            </w:tcBorders>
            <w:shd w:val="clear" w:color="auto" w:fill="B2B2B2"/>
          </w:tcPr>
          <w:p>
            <w:pPr>
              <w:spacing w:after="0"/>
              <w:rPr>
                <w:sz w:val="21"/>
                <w:szCs w:val="21"/>
                <w:color w:val="auto"/>
              </w:rPr>
            </w:pPr>
          </w:p>
        </w:tc>
        <w:tc>
          <w:tcPr>
            <w:tcW w:w="80" w:type="dxa"/>
            <w:vAlign w:val="bottom"/>
            <w:tcBorders>
              <w:bottom w:val="single" w:sz="8" w:color="7F7F7F"/>
              <w:right w:val="single" w:sz="8" w:color="B2B2B2"/>
            </w:tcBorders>
          </w:tcPr>
          <w:p>
            <w:pPr>
              <w:spacing w:after="0"/>
              <w:rPr>
                <w:sz w:val="20"/>
                <w:szCs w:val="20"/>
                <w:color w:val="auto"/>
              </w:rPr>
            </w:pPr>
            <w:r>
              <w:rPr>
                <w:rFonts w:ascii="Arial" w:cs="Arial" w:eastAsia="Arial" w:hAnsi="Arial"/>
                <w:sz w:val="14"/>
                <w:szCs w:val="14"/>
                <w:color w:val="404040"/>
              </w:rPr>
              <w:t>​</w:t>
            </w:r>
          </w:p>
        </w:tc>
        <w:tc>
          <w:tcPr>
            <w:tcW w:w="180" w:type="dxa"/>
            <w:vAlign w:val="bottom"/>
            <w:tcBorders>
              <w:bottom w:val="single" w:sz="8" w:color="7F7F7F"/>
            </w:tcBorders>
            <w:shd w:val="clear" w:color="auto" w:fill="B2B2B2"/>
          </w:tcPr>
          <w:p>
            <w:pPr>
              <w:spacing w:after="0"/>
              <w:rPr>
                <w:sz w:val="21"/>
                <w:szCs w:val="21"/>
                <w:color w:val="auto"/>
              </w:rPr>
            </w:pPr>
          </w:p>
        </w:tc>
        <w:tc>
          <w:tcPr>
            <w:tcW w:w="160" w:type="dxa"/>
            <w:vAlign w:val="bottom"/>
            <w:tcBorders>
              <w:bottom w:val="single" w:sz="8" w:color="7F7F7F"/>
            </w:tcBorders>
            <w:shd w:val="clear" w:color="auto" w:fill="B2B2B2"/>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87"/>
        </w:trPr>
        <w:tc>
          <w:tcPr>
            <w:tcW w:w="2920" w:type="dxa"/>
            <w:vAlign w:val="bottom"/>
          </w:tcPr>
          <w:p>
            <w:pPr>
              <w:ind w:left="60"/>
              <w:spacing w:after="0"/>
              <w:rPr>
                <w:sz w:val="20"/>
                <w:szCs w:val="20"/>
                <w:color w:val="auto"/>
              </w:rPr>
            </w:pPr>
            <w:r>
              <w:rPr>
                <w:rFonts w:ascii="Arial" w:cs="Arial" w:eastAsia="Arial" w:hAnsi="Arial"/>
                <w:sz w:val="14"/>
                <w:szCs w:val="14"/>
                <w:b w:val="1"/>
                <w:bCs w:val="1"/>
                <w:color w:val="404040"/>
              </w:rPr>
              <w:t>Virginia L. Henkels</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right w:val="single" w:sz="8" w:color="B2B2B2"/>
            </w:tcBorders>
            <w:shd w:val="clear" w:color="auto" w:fill="B2B2B2"/>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vMerge w:val="restart"/>
          </w:tcPr>
          <w:p>
            <w:pPr>
              <w:ind w:left="80"/>
              <w:spacing w:after="0"/>
              <w:rPr>
                <w:sz w:val="20"/>
                <w:szCs w:val="20"/>
                <w:color w:val="auto"/>
              </w:rPr>
            </w:pPr>
            <w:r>
              <w:rPr>
                <w:rFonts w:ascii="Arial" w:cs="Arial" w:eastAsia="Arial" w:hAnsi="Arial"/>
                <w:sz w:val="25"/>
                <w:szCs w:val="25"/>
                <w:color w:val="auto"/>
                <w:w w:val="90"/>
              </w:rPr>
              <w:t>•</w:t>
            </w:r>
          </w:p>
        </w:tc>
        <w:tc>
          <w:tcPr>
            <w:tcW w:w="140" w:type="dxa"/>
            <w:vAlign w:val="bottom"/>
            <w:shd w:val="clear" w:color="auto" w:fill="B2B2B2"/>
          </w:tcPr>
          <w:p>
            <w:pPr>
              <w:spacing w:after="0"/>
              <w:rPr>
                <w:sz w:val="16"/>
                <w:szCs w:val="16"/>
                <w:color w:val="auto"/>
              </w:rPr>
            </w:pPr>
          </w:p>
        </w:tc>
        <w:tc>
          <w:tcPr>
            <w:tcW w:w="100" w:type="dxa"/>
            <w:vAlign w:val="bottom"/>
            <w:tcBorders>
              <w:right w:val="single" w:sz="8" w:color="FEFEFE"/>
            </w:tcBorders>
            <w:shd w:val="clear" w:color="auto" w:fill="B2B2B2"/>
          </w:tcPr>
          <w:p>
            <w:pPr>
              <w:spacing w:after="0"/>
              <w:rPr>
                <w:sz w:val="16"/>
                <w:szCs w:val="16"/>
                <w:color w:val="auto"/>
              </w:rPr>
            </w:pPr>
          </w:p>
        </w:tc>
        <w:tc>
          <w:tcPr>
            <w:tcW w:w="200" w:type="dxa"/>
            <w:vAlign w:val="bottom"/>
            <w:shd w:val="clear" w:color="auto" w:fill="B2B2B2"/>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shd w:val="clear" w:color="auto" w:fill="B2B2B2"/>
          </w:tcPr>
          <w:p>
            <w:pPr>
              <w:spacing w:after="0"/>
              <w:rPr>
                <w:sz w:val="16"/>
                <w:szCs w:val="16"/>
                <w:color w:val="auto"/>
              </w:rPr>
            </w:pPr>
          </w:p>
        </w:tc>
        <w:tc>
          <w:tcPr>
            <w:tcW w:w="80" w:type="dxa"/>
            <w:vAlign w:val="bottom"/>
            <w:tcBorders>
              <w:right w:val="single" w:sz="8" w:color="FEFEFE"/>
            </w:tcBorders>
            <w:shd w:val="clear" w:color="auto" w:fill="B2B2B2"/>
          </w:tcPr>
          <w:p>
            <w:pPr>
              <w:spacing w:after="0"/>
              <w:rPr>
                <w:sz w:val="16"/>
                <w:szCs w:val="16"/>
                <w:color w:val="auto"/>
              </w:rPr>
            </w:pPr>
          </w:p>
        </w:tc>
        <w:tc>
          <w:tcPr>
            <w:tcW w:w="200" w:type="dxa"/>
            <w:vAlign w:val="bottom"/>
            <w:shd w:val="clear" w:color="auto" w:fill="B2B2B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restart"/>
          </w:tcPr>
          <w:p>
            <w:pPr>
              <w:ind w:left="40"/>
              <w:spacing w:after="0"/>
              <w:rPr>
                <w:sz w:val="20"/>
                <w:szCs w:val="20"/>
                <w:color w:val="auto"/>
              </w:rPr>
            </w:pPr>
            <w:r>
              <w:rPr>
                <w:rFonts w:ascii="Arial" w:cs="Arial" w:eastAsia="Arial" w:hAnsi="Arial"/>
                <w:sz w:val="25"/>
                <w:szCs w:val="25"/>
                <w:color w:val="auto"/>
                <w:w w:val="90"/>
              </w:rPr>
              <w:t>•</w:t>
            </w:r>
          </w:p>
        </w:tc>
        <w:tc>
          <w:tcPr>
            <w:tcW w:w="120" w:type="dxa"/>
            <w:vAlign w:val="bottom"/>
            <w:shd w:val="clear" w:color="auto" w:fill="B2B2B2"/>
          </w:tcPr>
          <w:p>
            <w:pPr>
              <w:spacing w:after="0"/>
              <w:rPr>
                <w:sz w:val="16"/>
                <w:szCs w:val="16"/>
                <w:color w:val="auto"/>
              </w:rPr>
            </w:pPr>
          </w:p>
        </w:tc>
        <w:tc>
          <w:tcPr>
            <w:tcW w:w="40" w:type="dxa"/>
            <w:vAlign w:val="bottom"/>
            <w:shd w:val="clear" w:color="auto" w:fill="B2B2B2"/>
          </w:tcPr>
          <w:p>
            <w:pPr>
              <w:spacing w:after="0"/>
              <w:rPr>
                <w:sz w:val="16"/>
                <w:szCs w:val="16"/>
                <w:color w:val="auto"/>
              </w:rPr>
            </w:pPr>
          </w:p>
        </w:tc>
        <w:tc>
          <w:tcPr>
            <w:tcW w:w="80" w:type="dxa"/>
            <w:vAlign w:val="bottom"/>
            <w:tcBorders>
              <w:right w:val="single" w:sz="8" w:color="FEFEFE"/>
            </w:tcBorders>
            <w:shd w:val="clear" w:color="auto" w:fill="B2B2B2"/>
          </w:tcPr>
          <w:p>
            <w:pPr>
              <w:spacing w:after="0"/>
              <w:rPr>
                <w:sz w:val="16"/>
                <w:szCs w:val="16"/>
                <w:color w:val="auto"/>
              </w:rPr>
            </w:pPr>
          </w:p>
        </w:tc>
        <w:tc>
          <w:tcPr>
            <w:tcW w:w="200" w:type="dxa"/>
            <w:vAlign w:val="bottom"/>
            <w:shd w:val="clear" w:color="auto" w:fill="B2B2B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shd w:val="clear" w:color="auto" w:fill="B2B2B2"/>
          </w:tcPr>
          <w:p>
            <w:pPr>
              <w:spacing w:after="0"/>
              <w:rPr>
                <w:sz w:val="16"/>
                <w:szCs w:val="16"/>
                <w:color w:val="auto"/>
              </w:rPr>
            </w:pPr>
          </w:p>
        </w:tc>
        <w:tc>
          <w:tcPr>
            <w:tcW w:w="80" w:type="dxa"/>
            <w:vAlign w:val="bottom"/>
            <w:tcBorders>
              <w:right w:val="single" w:sz="8" w:color="FEFEFE"/>
            </w:tcBorders>
            <w:shd w:val="clear" w:color="auto" w:fill="B2B2B2"/>
          </w:tcPr>
          <w:p>
            <w:pPr>
              <w:spacing w:after="0"/>
              <w:rPr>
                <w:sz w:val="16"/>
                <w:szCs w:val="16"/>
                <w:color w:val="auto"/>
              </w:rPr>
            </w:pPr>
          </w:p>
        </w:tc>
        <w:tc>
          <w:tcPr>
            <w:tcW w:w="200" w:type="dxa"/>
            <w:vAlign w:val="bottom"/>
            <w:shd w:val="clear" w:color="auto" w:fill="B2B2B2"/>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shd w:val="clear" w:color="auto" w:fill="B2B2B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40"/>
              <w:spacing w:after="0" w:line="202" w:lineRule="exact"/>
              <w:rPr>
                <w:sz w:val="20"/>
                <w:szCs w:val="20"/>
                <w:color w:val="auto"/>
              </w:rPr>
            </w:pPr>
            <w:r>
              <w:rPr>
                <w:rFonts w:ascii="Arial" w:cs="Arial" w:eastAsia="Arial" w:hAnsi="Arial"/>
                <w:sz w:val="23"/>
                <w:szCs w:val="23"/>
                <w:color w:val="404040"/>
                <w:vertAlign w:val="superscript"/>
              </w:rPr>
              <w:t>​</w:t>
            </w:r>
            <w:r>
              <w:rPr>
                <w:rFonts w:ascii="Arial" w:cs="Arial" w:eastAsia="Arial" w:hAnsi="Arial"/>
                <w:sz w:val="13"/>
                <w:szCs w:val="13"/>
                <w:color w:val="404040"/>
              </w:rPr>
              <w:t>Former CFO of Swift Transportation and</w:t>
            </w:r>
          </w:p>
        </w:tc>
        <w:tc>
          <w:tcPr>
            <w:tcW w:w="480" w:type="dxa"/>
            <w:vAlign w:val="bottom"/>
          </w:tcPr>
          <w:p>
            <w:pPr>
              <w:ind w:left="180"/>
              <w:spacing w:after="0"/>
              <w:rPr>
                <w:sz w:val="20"/>
                <w:szCs w:val="20"/>
                <w:color w:val="auto"/>
              </w:rPr>
            </w:pPr>
            <w:r>
              <w:rPr>
                <w:rFonts w:ascii="Arial" w:cs="Arial" w:eastAsia="Arial" w:hAnsi="Arial"/>
                <w:sz w:val="14"/>
                <w:szCs w:val="14"/>
                <w:color w:val="404040"/>
              </w:rPr>
              <w:t>57</w:t>
            </w:r>
          </w:p>
        </w:tc>
        <w:tc>
          <w:tcPr>
            <w:tcW w:w="760" w:type="dxa"/>
            <w:vAlign w:val="bottom"/>
          </w:tcPr>
          <w:p>
            <w:pPr>
              <w:jc w:val="center"/>
              <w:spacing w:after="0"/>
              <w:rPr>
                <w:sz w:val="20"/>
                <w:szCs w:val="20"/>
                <w:color w:val="auto"/>
              </w:rPr>
            </w:pPr>
            <w:r>
              <w:rPr>
                <w:rFonts w:ascii="Arial" w:cs="Arial" w:eastAsia="Arial" w:hAnsi="Arial"/>
                <w:sz w:val="14"/>
                <w:szCs w:val="14"/>
                <w:color w:val="404040"/>
              </w:rPr>
              <w:t>2024</w:t>
            </w:r>
          </w:p>
        </w:tc>
        <w:tc>
          <w:tcPr>
            <w:tcW w:w="180" w:type="dxa"/>
            <w:vAlign w:val="bottom"/>
          </w:tcPr>
          <w:p>
            <w:pPr>
              <w:spacing w:after="0"/>
              <w:rPr>
                <w:sz w:val="20"/>
                <w:szCs w:val="20"/>
                <w:color w:val="auto"/>
              </w:rPr>
            </w:pPr>
            <w:r>
              <w:rPr>
                <w:rFonts w:ascii="Arial" w:cs="Arial" w:eastAsia="Arial" w:hAnsi="Arial"/>
                <w:sz w:val="14"/>
                <w:szCs w:val="14"/>
                <w:color w:val="404040"/>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Arial" w:cs="Arial" w:eastAsia="Arial" w:hAnsi="Arial"/>
                <w:sz w:val="14"/>
                <w:szCs w:val="14"/>
                <w:color w:val="404040"/>
              </w:rPr>
              <w:t>​YES</w:t>
            </w:r>
          </w:p>
        </w:tc>
        <w:tc>
          <w:tcPr>
            <w:tcW w:w="120" w:type="dxa"/>
            <w:vAlign w:val="bottom"/>
          </w:tcPr>
          <w:p>
            <w:pPr>
              <w:ind w:left="40"/>
              <w:spacing w:after="0"/>
              <w:rPr>
                <w:sz w:val="20"/>
                <w:szCs w:val="20"/>
                <w:color w:val="auto"/>
              </w:rPr>
            </w:pPr>
            <w:r>
              <w:rPr>
                <w:rFonts w:ascii="Arial" w:cs="Arial" w:eastAsia="Arial" w:hAnsi="Arial"/>
                <w:sz w:val="14"/>
                <w:szCs w:val="14"/>
                <w:color w:val="404040"/>
              </w:rPr>
              <w:t>​​</w:t>
            </w:r>
          </w:p>
        </w:tc>
        <w:tc>
          <w:tcPr>
            <w:tcW w:w="60" w:type="dxa"/>
            <w:vAlign w:val="bottom"/>
          </w:tcPr>
          <w:p>
            <w:pPr>
              <w:jc w:val="right"/>
              <w:spacing w:after="0"/>
              <w:rPr>
                <w:sz w:val="20"/>
                <w:szCs w:val="20"/>
                <w:color w:val="auto"/>
              </w:rPr>
            </w:pPr>
            <w:r>
              <w:rPr>
                <w:rFonts w:ascii="Arial" w:cs="Arial" w:eastAsia="Arial" w:hAnsi="Arial"/>
                <w:sz w:val="14"/>
                <w:szCs w:val="14"/>
                <w:color w:val="404040"/>
              </w:rPr>
              <w:t>​</w:t>
            </w:r>
          </w:p>
        </w:tc>
        <w:tc>
          <w:tcPr>
            <w:tcW w:w="160" w:type="dxa"/>
            <w:vAlign w:val="bottom"/>
            <w:tcBorders>
              <w:right w:val="single" w:sz="8" w:color="B2B2B2"/>
            </w:tcBorders>
            <w:shd w:val="clear" w:color="auto" w:fill="B2B2B2"/>
          </w:tcPr>
          <w:p>
            <w:pPr>
              <w:spacing w:after="0"/>
              <w:rPr>
                <w:sz w:val="17"/>
                <w:szCs w:val="17"/>
                <w:color w:val="auto"/>
              </w:rPr>
            </w:pPr>
          </w:p>
        </w:tc>
        <w:tc>
          <w:tcPr>
            <w:tcW w:w="20" w:type="dxa"/>
            <w:vAlign w:val="bottom"/>
          </w:tcPr>
          <w:p>
            <w:pPr>
              <w:spacing w:after="0"/>
              <w:rPr>
                <w:sz w:val="20"/>
                <w:szCs w:val="20"/>
                <w:color w:val="auto"/>
              </w:rPr>
            </w:pPr>
            <w:r>
              <w:rPr>
                <w:rFonts w:ascii="Arial" w:cs="Arial" w:eastAsia="Arial" w:hAnsi="Arial"/>
                <w:sz w:val="1"/>
                <w:szCs w:val="1"/>
                <w:color w:val="404040"/>
                <w:w w:val="4294942296"/>
              </w:rPr>
              <w:t>​</w:t>
            </w:r>
          </w:p>
        </w:tc>
        <w:tc>
          <w:tcPr>
            <w:tcW w:w="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40" w:type="dxa"/>
            <w:vAlign w:val="bottom"/>
            <w:shd w:val="clear" w:color="auto" w:fill="B2B2B2"/>
          </w:tcPr>
          <w:p>
            <w:pPr>
              <w:spacing w:after="0"/>
              <w:rPr>
                <w:sz w:val="17"/>
                <w:szCs w:val="17"/>
                <w:color w:val="auto"/>
              </w:rPr>
            </w:pPr>
          </w:p>
        </w:tc>
        <w:tc>
          <w:tcPr>
            <w:tcW w:w="100" w:type="dxa"/>
            <w:vAlign w:val="bottom"/>
            <w:tcBorders>
              <w:right w:val="single" w:sz="8" w:color="FEFEFE"/>
            </w:tcBorders>
            <w:shd w:val="clear" w:color="auto" w:fill="B2B2B2"/>
          </w:tcPr>
          <w:p>
            <w:pPr>
              <w:spacing w:after="0"/>
              <w:rPr>
                <w:sz w:val="20"/>
                <w:szCs w:val="20"/>
                <w:color w:val="auto"/>
              </w:rPr>
            </w:pPr>
            <w:r>
              <w:rPr>
                <w:rFonts w:ascii="Arial" w:cs="Arial" w:eastAsia="Arial" w:hAnsi="Arial"/>
                <w:sz w:val="14"/>
                <w:szCs w:val="14"/>
                <w:color w:val="404040"/>
              </w:rPr>
              <w:t>​</w:t>
            </w:r>
          </w:p>
        </w:tc>
        <w:tc>
          <w:tcPr>
            <w:tcW w:w="200" w:type="dxa"/>
            <w:vAlign w:val="bottom"/>
            <w:shd w:val="clear" w:color="auto" w:fill="B2B2B2"/>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color w:val="404040"/>
              </w:rPr>
              <w:t>​</w:t>
            </w:r>
          </w:p>
        </w:tc>
        <w:tc>
          <w:tcPr>
            <w:tcW w:w="200" w:type="dxa"/>
            <w:vAlign w:val="bottom"/>
          </w:tcPr>
          <w:p>
            <w:pPr>
              <w:spacing w:after="0"/>
              <w:rPr>
                <w:sz w:val="17"/>
                <w:szCs w:val="17"/>
                <w:color w:val="auto"/>
              </w:rPr>
            </w:pPr>
          </w:p>
        </w:tc>
        <w:tc>
          <w:tcPr>
            <w:tcW w:w="160" w:type="dxa"/>
            <w:vAlign w:val="bottom"/>
            <w:shd w:val="clear" w:color="auto" w:fill="B2B2B2"/>
          </w:tcPr>
          <w:p>
            <w:pPr>
              <w:spacing w:after="0"/>
              <w:rPr>
                <w:sz w:val="17"/>
                <w:szCs w:val="17"/>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
                <w:szCs w:val="1"/>
                <w:color w:val="404040"/>
                <w:w w:val="4294942296"/>
              </w:rPr>
              <w:t>​</w:t>
            </w:r>
          </w:p>
        </w:tc>
        <w:tc>
          <w:tcPr>
            <w:tcW w:w="200" w:type="dxa"/>
            <w:vAlign w:val="bottom"/>
            <w:shd w:val="clear" w:color="auto" w:fill="B2B2B2"/>
          </w:tcPr>
          <w:p>
            <w:pPr>
              <w:spacing w:after="0"/>
              <w:rPr>
                <w:sz w:val="17"/>
                <w:szCs w:val="17"/>
                <w:color w:val="auto"/>
              </w:rPr>
            </w:pPr>
          </w:p>
        </w:tc>
        <w:tc>
          <w:tcPr>
            <w:tcW w:w="20" w:type="dxa"/>
            <w:vAlign w:val="bottom"/>
          </w:tcPr>
          <w:p>
            <w:pPr>
              <w:spacing w:after="0"/>
              <w:rPr>
                <w:sz w:val="20"/>
                <w:szCs w:val="20"/>
                <w:color w:val="auto"/>
              </w:rPr>
            </w:pPr>
            <w:r>
              <w:rPr>
                <w:rFonts w:ascii="Arial" w:cs="Arial" w:eastAsia="Arial" w:hAnsi="Arial"/>
                <w:sz w:val="1"/>
                <w:szCs w:val="1"/>
                <w:color w:val="404040"/>
                <w:w w:val="4294942296"/>
              </w:rPr>
              <w:t>​</w:t>
            </w: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40" w:type="dxa"/>
            <w:vAlign w:val="bottom"/>
            <w:shd w:val="clear" w:color="auto" w:fill="B2B2B2"/>
          </w:tcPr>
          <w:p>
            <w:pPr>
              <w:spacing w:after="0"/>
              <w:rPr>
                <w:sz w:val="17"/>
                <w:szCs w:val="17"/>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200" w:type="dxa"/>
            <w:vAlign w:val="bottom"/>
            <w:shd w:val="clear" w:color="auto" w:fill="B2B2B2"/>
          </w:tcPr>
          <w:p>
            <w:pPr>
              <w:spacing w:after="0"/>
              <w:rPr>
                <w:sz w:val="17"/>
                <w:szCs w:val="17"/>
                <w:color w:val="auto"/>
              </w:rPr>
            </w:pPr>
          </w:p>
        </w:tc>
        <w:tc>
          <w:tcPr>
            <w:tcW w:w="20" w:type="dxa"/>
            <w:vAlign w:val="bottom"/>
          </w:tcPr>
          <w:p>
            <w:pPr>
              <w:spacing w:after="0"/>
              <w:rPr>
                <w:sz w:val="20"/>
                <w:szCs w:val="20"/>
                <w:color w:val="auto"/>
              </w:rPr>
            </w:pPr>
            <w:r>
              <w:rPr>
                <w:rFonts w:ascii="Arial" w:cs="Arial" w:eastAsia="Arial" w:hAnsi="Arial"/>
                <w:sz w:val="1"/>
                <w:szCs w:val="1"/>
                <w:color w:val="404040"/>
                <w:w w:val="4294942296"/>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shd w:val="clear" w:color="auto" w:fill="B2B2B2"/>
          </w:tcPr>
          <w:p>
            <w:pPr>
              <w:spacing w:after="0"/>
              <w:rPr>
                <w:sz w:val="17"/>
                <w:szCs w:val="17"/>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200" w:type="dxa"/>
            <w:vAlign w:val="bottom"/>
            <w:shd w:val="clear" w:color="auto" w:fill="B2B2B2"/>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4"/>
                <w:szCs w:val="14"/>
                <w:color w:val="404040"/>
              </w:rPr>
              <w:t>​</w:t>
            </w:r>
          </w:p>
        </w:tc>
        <w:tc>
          <w:tcPr>
            <w:tcW w:w="180" w:type="dxa"/>
            <w:vAlign w:val="bottom"/>
          </w:tcPr>
          <w:p>
            <w:pPr>
              <w:spacing w:after="0"/>
              <w:rPr>
                <w:sz w:val="17"/>
                <w:szCs w:val="17"/>
                <w:color w:val="auto"/>
              </w:rPr>
            </w:pPr>
          </w:p>
        </w:tc>
        <w:tc>
          <w:tcPr>
            <w:tcW w:w="160" w:type="dxa"/>
            <w:vAlign w:val="bottom"/>
            <w:shd w:val="clear" w:color="auto" w:fill="B2B2B2"/>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94"/>
        </w:trPr>
        <w:tc>
          <w:tcPr>
            <w:tcW w:w="292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404040"/>
              </w:rPr>
              <w:t>Empowerment &amp; Inclusion Capital I Corp.</w:t>
            </w:r>
          </w:p>
        </w:tc>
        <w:tc>
          <w:tcPr>
            <w:tcW w:w="480" w:type="dxa"/>
            <w:vAlign w:val="bottom"/>
            <w:tcBorders>
              <w:bottom w:val="single" w:sz="8" w:color="7F7F7F"/>
            </w:tcBorders>
          </w:tcPr>
          <w:p>
            <w:pPr>
              <w:spacing w:after="0"/>
              <w:rPr>
                <w:sz w:val="16"/>
                <w:szCs w:val="16"/>
                <w:color w:val="auto"/>
              </w:rPr>
            </w:pPr>
          </w:p>
        </w:tc>
        <w:tc>
          <w:tcPr>
            <w:tcW w:w="760" w:type="dxa"/>
            <w:vAlign w:val="bottom"/>
            <w:tcBorders>
              <w:bottom w:val="single" w:sz="8" w:color="7F7F7F"/>
            </w:tcBorders>
          </w:tcPr>
          <w:p>
            <w:pPr>
              <w:spacing w:after="0"/>
              <w:rPr>
                <w:sz w:val="16"/>
                <w:szCs w:val="16"/>
                <w:color w:val="auto"/>
              </w:rPr>
            </w:pPr>
          </w:p>
        </w:tc>
        <w:tc>
          <w:tcPr>
            <w:tcW w:w="18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660" w:type="dxa"/>
            <w:vAlign w:val="bottom"/>
            <w:tcBorders>
              <w:bottom w:val="single" w:sz="8" w:color="7F7F7F"/>
            </w:tcBorders>
          </w:tcPr>
          <w:p>
            <w:pPr>
              <w:spacing w:after="0"/>
              <w:rPr>
                <w:sz w:val="16"/>
                <w:szCs w:val="16"/>
                <w:color w:val="auto"/>
              </w:rPr>
            </w:pPr>
          </w:p>
        </w:tc>
        <w:tc>
          <w:tcPr>
            <w:tcW w:w="120" w:type="dxa"/>
            <w:vAlign w:val="bottom"/>
            <w:tcBorders>
              <w:bottom w:val="single" w:sz="8" w:color="7F7F7F"/>
            </w:tcBorders>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right w:val="single" w:sz="8" w:color="B2B2B2"/>
            </w:tcBorders>
            <w:shd w:val="clear" w:color="auto" w:fill="B2B2B2"/>
          </w:tcPr>
          <w:p>
            <w:pPr>
              <w:spacing w:after="0"/>
              <w:rPr>
                <w:sz w:val="16"/>
                <w:szCs w:val="16"/>
                <w:color w:val="auto"/>
              </w:rPr>
            </w:pPr>
          </w:p>
        </w:tc>
        <w:tc>
          <w:tcPr>
            <w:tcW w:w="20" w:type="dxa"/>
            <w:vAlign w:val="bottom"/>
            <w:tcBorders>
              <w:bottom w:val="single" w:sz="8" w:color="7F7F7F"/>
            </w:tcBorders>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180" w:type="dxa"/>
            <w:vAlign w:val="bottom"/>
            <w:tcBorders>
              <w:bottom w:val="single" w:sz="8" w:color="7F7F7F"/>
            </w:tcBorders>
          </w:tcPr>
          <w:p>
            <w:pPr>
              <w:spacing w:after="0"/>
              <w:rPr>
                <w:sz w:val="16"/>
                <w:szCs w:val="16"/>
                <w:color w:val="auto"/>
              </w:rPr>
            </w:pPr>
          </w:p>
        </w:tc>
        <w:tc>
          <w:tcPr>
            <w:tcW w:w="140" w:type="dxa"/>
            <w:vAlign w:val="bottom"/>
            <w:tcBorders>
              <w:bottom w:val="single" w:sz="8" w:color="7F7F7F"/>
            </w:tcBorders>
            <w:shd w:val="clear" w:color="auto" w:fill="B2B2B2"/>
          </w:tcPr>
          <w:p>
            <w:pPr>
              <w:spacing w:after="0"/>
              <w:rPr>
                <w:sz w:val="16"/>
                <w:szCs w:val="16"/>
                <w:color w:val="auto"/>
              </w:rPr>
            </w:pPr>
          </w:p>
        </w:tc>
        <w:tc>
          <w:tcPr>
            <w:tcW w:w="10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20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140" w:type="dxa"/>
            <w:vAlign w:val="bottom"/>
            <w:tcBorders>
              <w:bottom w:val="single" w:sz="8" w:color="7F7F7F"/>
            </w:tcBorders>
          </w:tcPr>
          <w:p>
            <w:pPr>
              <w:spacing w:after="0"/>
              <w:rPr>
                <w:sz w:val="16"/>
                <w:szCs w:val="16"/>
                <w:color w:val="auto"/>
              </w:rPr>
            </w:pPr>
          </w:p>
        </w:tc>
        <w:tc>
          <w:tcPr>
            <w:tcW w:w="1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14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tcPr>
          <w:p>
            <w:pPr>
              <w:spacing w:after="0"/>
              <w:rPr>
                <w:sz w:val="16"/>
                <w:szCs w:val="16"/>
                <w:color w:val="auto"/>
              </w:rPr>
            </w:pPr>
          </w:p>
        </w:tc>
        <w:tc>
          <w:tcPr>
            <w:tcW w:w="18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20" w:type="dxa"/>
            <w:vAlign w:val="bottom"/>
          </w:tcPr>
          <w:p>
            <w:pPr>
              <w:ind w:left="60"/>
              <w:spacing w:after="0"/>
              <w:rPr>
                <w:sz w:val="20"/>
                <w:szCs w:val="20"/>
                <w:color w:val="auto"/>
              </w:rPr>
            </w:pPr>
            <w:r>
              <w:rPr>
                <w:rFonts w:ascii="Arial" w:cs="Arial" w:eastAsia="Arial" w:hAnsi="Arial"/>
                <w:sz w:val="14"/>
                <w:szCs w:val="14"/>
                <w:b w:val="1"/>
                <w:bCs w:val="1"/>
                <w:color w:val="404040"/>
              </w:rPr>
              <w:t>Jo Ann Jenkins</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vMerge w:val="restart"/>
          </w:tcPr>
          <w:p>
            <w:pPr>
              <w:spacing w:after="0"/>
              <w:rPr>
                <w:sz w:val="20"/>
                <w:szCs w:val="20"/>
                <w:color w:val="auto"/>
              </w:rPr>
            </w:pPr>
            <w:r>
              <w:rPr>
                <w:rFonts w:ascii="Arial" w:cs="Arial" w:eastAsia="Arial" w:hAnsi="Arial"/>
                <w:sz w:val="25"/>
                <w:szCs w:val="2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spacing w:after="0"/>
              <w:rPr>
                <w:sz w:val="20"/>
                <w:szCs w:val="20"/>
                <w:color w:val="auto"/>
              </w:rPr>
            </w:pPr>
            <w:r>
              <w:rPr>
                <w:rFonts w:ascii="Arial" w:cs="Arial" w:eastAsia="Arial" w:hAnsi="Arial"/>
                <w:sz w:val="25"/>
                <w:szCs w:val="25"/>
                <w:color w:val="auto"/>
              </w:rPr>
              <w:t>​</w:t>
            </w:r>
            <w:r>
              <w:rPr>
                <w:rFonts w:ascii="Arial" w:cs="Arial" w:eastAsia="Arial" w:hAnsi="Arial"/>
                <w:sz w:val="14"/>
                <w:szCs w:val="14"/>
                <w:color w:val="404040"/>
              </w:rPr>
              <w:t>YES</w:t>
            </w:r>
          </w:p>
        </w:tc>
        <w:tc>
          <w:tcPr>
            <w:tcW w:w="180" w:type="dxa"/>
            <w:vAlign w:val="bottom"/>
            <w:gridSpan w:val="2"/>
            <w:vMerge w:val="restart"/>
          </w:tcPr>
          <w:p>
            <w:pPr>
              <w:jc w:val="right"/>
              <w:spacing w:after="0"/>
              <w:rPr>
                <w:sz w:val="20"/>
                <w:szCs w:val="20"/>
                <w:color w:val="auto"/>
              </w:rPr>
            </w:pPr>
            <w:r>
              <w:rPr>
                <w:rFonts w:ascii="Arial" w:cs="Arial" w:eastAsia="Arial" w:hAnsi="Arial"/>
                <w:sz w:val="25"/>
                <w:szCs w:val="25"/>
                <w:color w:val="auto"/>
              </w:rPr>
              <w:t>​​​</w:t>
            </w:r>
          </w:p>
        </w:tc>
        <w:tc>
          <w:tcPr>
            <w:tcW w:w="160" w:type="dxa"/>
            <w:vAlign w:val="bottom"/>
            <w:tcBorders>
              <w:right w:val="single" w:sz="8" w:color="B2B2B2"/>
            </w:tcBorders>
            <w:shd w:val="clear" w:color="auto" w:fill="B2B2B2"/>
          </w:tcPr>
          <w:p>
            <w:pPr>
              <w:spacing w:after="0"/>
              <w:rPr>
                <w:sz w:val="16"/>
                <w:szCs w:val="16"/>
                <w:color w:val="auto"/>
              </w:rPr>
            </w:pPr>
          </w:p>
        </w:tc>
        <w:tc>
          <w:tcPr>
            <w:tcW w:w="80" w:type="dxa"/>
            <w:vAlign w:val="bottom"/>
            <w:gridSpan w:val="2"/>
            <w:vMerge w:val="restart"/>
          </w:tcPr>
          <w:p>
            <w:pPr>
              <w:spacing w:after="0"/>
              <w:rPr>
                <w:sz w:val="20"/>
                <w:szCs w:val="20"/>
                <w:color w:val="auto"/>
              </w:rPr>
            </w:pPr>
            <w:r>
              <w:rPr>
                <w:rFonts w:ascii="Arial" w:cs="Arial" w:eastAsia="Arial" w:hAnsi="Arial"/>
                <w:sz w:val="25"/>
                <w:szCs w:val="25"/>
                <w:color w:val="auto"/>
              </w:rPr>
              <w:t>​</w:t>
            </w:r>
          </w:p>
        </w:tc>
        <w:tc>
          <w:tcPr>
            <w:tcW w:w="180" w:type="dxa"/>
            <w:vAlign w:val="bottom"/>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100" w:type="dxa"/>
            <w:vAlign w:val="bottom"/>
            <w:tcBorders>
              <w:right w:val="single" w:sz="8" w:color="FEFEFE"/>
            </w:tcBorders>
            <w:vMerge w:val="restart"/>
            <w:shd w:val="clear" w:color="auto" w:fill="B2B2B2"/>
          </w:tcPr>
          <w:p>
            <w:pPr>
              <w:spacing w:after="0"/>
              <w:rPr>
                <w:sz w:val="20"/>
                <w:szCs w:val="20"/>
                <w:color w:val="auto"/>
              </w:rPr>
            </w:pPr>
            <w:r>
              <w:rPr>
                <w:rFonts w:ascii="Arial" w:cs="Arial" w:eastAsia="Arial" w:hAnsi="Arial"/>
                <w:sz w:val="25"/>
                <w:szCs w:val="25"/>
                <w:color w:val="auto"/>
              </w:rPr>
              <w:t>​</w:t>
            </w:r>
          </w:p>
        </w:tc>
        <w:tc>
          <w:tcPr>
            <w:tcW w:w="200" w:type="dxa"/>
            <w:vAlign w:val="bottom"/>
            <w:shd w:val="clear" w:color="auto" w:fill="B2B2B2"/>
          </w:tcPr>
          <w:p>
            <w:pPr>
              <w:spacing w:after="0"/>
              <w:rPr>
                <w:sz w:val="16"/>
                <w:szCs w:val="16"/>
                <w:color w:val="auto"/>
              </w:rPr>
            </w:pPr>
          </w:p>
        </w:tc>
        <w:tc>
          <w:tcPr>
            <w:tcW w:w="60" w:type="dxa"/>
            <w:vAlign w:val="bottom"/>
            <w:vMerge w:val="restart"/>
          </w:tcPr>
          <w:p>
            <w:pPr>
              <w:spacing w:after="0"/>
              <w:rPr>
                <w:sz w:val="20"/>
                <w:szCs w:val="20"/>
                <w:color w:val="auto"/>
              </w:rPr>
            </w:pPr>
            <w:r>
              <w:rPr>
                <w:rFonts w:ascii="Arial" w:cs="Arial" w:eastAsia="Arial" w:hAnsi="Arial"/>
                <w:sz w:val="25"/>
                <w:szCs w:val="25"/>
                <w:color w:val="auto"/>
              </w:rPr>
              <w:t>​</w:t>
            </w: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auto"/>
                <w:w w:val="70"/>
              </w:rPr>
              <w:t>◦</w:t>
            </w:r>
          </w:p>
        </w:tc>
        <w:tc>
          <w:tcPr>
            <w:tcW w:w="160" w:type="dxa"/>
            <w:vAlign w:val="bottom"/>
            <w:shd w:val="clear" w:color="auto" w:fill="B2B2B2"/>
          </w:tcPr>
          <w:p>
            <w:pPr>
              <w:spacing w:after="0"/>
              <w:rPr>
                <w:sz w:val="16"/>
                <w:szCs w:val="16"/>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200" w:type="dxa"/>
            <w:vAlign w:val="bottom"/>
            <w:shd w:val="clear" w:color="auto" w:fill="B2B2B2"/>
          </w:tcPr>
          <w:p>
            <w:pPr>
              <w:spacing w:after="0"/>
              <w:rPr>
                <w:sz w:val="16"/>
                <w:szCs w:val="16"/>
                <w:color w:val="auto"/>
              </w:rPr>
            </w:pPr>
          </w:p>
        </w:tc>
        <w:tc>
          <w:tcPr>
            <w:tcW w:w="120" w:type="dxa"/>
            <w:vAlign w:val="bottom"/>
            <w:gridSpan w:val="2"/>
            <w:vMerge w:val="restart"/>
          </w:tcPr>
          <w:p>
            <w:pPr>
              <w:spacing w:after="0"/>
              <w:rPr>
                <w:sz w:val="20"/>
                <w:szCs w:val="20"/>
                <w:color w:val="auto"/>
              </w:rPr>
            </w:pPr>
            <w:r>
              <w:rPr>
                <w:rFonts w:ascii="Arial" w:cs="Arial" w:eastAsia="Arial" w:hAnsi="Arial"/>
                <w:sz w:val="25"/>
                <w:szCs w:val="25"/>
                <w:color w:val="auto"/>
              </w:rPr>
              <w:t>​</w:t>
            </w:r>
          </w:p>
        </w:tc>
        <w:tc>
          <w:tcPr>
            <w:tcW w:w="140" w:type="dxa"/>
            <w:vAlign w:val="bottom"/>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40" w:type="dxa"/>
            <w:vAlign w:val="bottom"/>
            <w:shd w:val="clear" w:color="auto" w:fill="B2B2B2"/>
          </w:tcPr>
          <w:p>
            <w:pPr>
              <w:spacing w:after="0"/>
              <w:rPr>
                <w:sz w:val="16"/>
                <w:szCs w:val="16"/>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200" w:type="dxa"/>
            <w:vAlign w:val="bottom"/>
            <w:shd w:val="clear" w:color="auto" w:fill="B2B2B2"/>
          </w:tcPr>
          <w:p>
            <w:pPr>
              <w:spacing w:after="0"/>
              <w:rPr>
                <w:sz w:val="16"/>
                <w:szCs w:val="16"/>
                <w:color w:val="auto"/>
              </w:rPr>
            </w:pPr>
          </w:p>
        </w:tc>
        <w:tc>
          <w:tcPr>
            <w:tcW w:w="120" w:type="dxa"/>
            <w:vAlign w:val="bottom"/>
            <w:gridSpan w:val="2"/>
            <w:vMerge w:val="restart"/>
          </w:tcPr>
          <w:p>
            <w:pPr>
              <w:spacing w:after="0"/>
              <w:rPr>
                <w:sz w:val="20"/>
                <w:szCs w:val="20"/>
                <w:color w:val="auto"/>
              </w:rPr>
            </w:pPr>
            <w:r>
              <w:rPr>
                <w:rFonts w:ascii="Arial" w:cs="Arial" w:eastAsia="Arial" w:hAnsi="Arial"/>
                <w:sz w:val="25"/>
                <w:szCs w:val="25"/>
                <w:color w:val="auto"/>
              </w:rPr>
              <w:t>​</w:t>
            </w:r>
          </w:p>
        </w:tc>
        <w:tc>
          <w:tcPr>
            <w:tcW w:w="140" w:type="dxa"/>
            <w:vAlign w:val="bottom"/>
            <w:vMerge w:val="restart"/>
          </w:tcPr>
          <w:p>
            <w:pPr>
              <w:jc w:val="right"/>
              <w:spacing w:after="0"/>
              <w:rPr>
                <w:sz w:val="20"/>
                <w:szCs w:val="20"/>
                <w:color w:val="auto"/>
              </w:rPr>
            </w:pPr>
            <w:r>
              <w:rPr>
                <w:rFonts w:ascii="Arial" w:cs="Arial" w:eastAsia="Arial" w:hAnsi="Arial"/>
                <w:sz w:val="25"/>
                <w:szCs w:val="25"/>
                <w:color w:val="auto"/>
              </w:rPr>
              <w:t>•</w:t>
            </w:r>
          </w:p>
        </w:tc>
        <w:tc>
          <w:tcPr>
            <w:tcW w:w="160" w:type="dxa"/>
            <w:vAlign w:val="bottom"/>
            <w:shd w:val="clear" w:color="auto" w:fill="B2B2B2"/>
          </w:tcPr>
          <w:p>
            <w:pPr>
              <w:spacing w:after="0"/>
              <w:rPr>
                <w:sz w:val="16"/>
                <w:szCs w:val="16"/>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200" w:type="dxa"/>
            <w:vAlign w:val="bottom"/>
            <w:shd w:val="clear" w:color="auto" w:fill="B2B2B2"/>
          </w:tcPr>
          <w:p>
            <w:pPr>
              <w:spacing w:after="0"/>
              <w:rPr>
                <w:sz w:val="16"/>
                <w:szCs w:val="16"/>
                <w:color w:val="auto"/>
              </w:rPr>
            </w:pPr>
          </w:p>
        </w:tc>
        <w:tc>
          <w:tcPr>
            <w:tcW w:w="80" w:type="dxa"/>
            <w:vAlign w:val="bottom"/>
            <w:vMerge w:val="restart"/>
          </w:tcPr>
          <w:p>
            <w:pPr>
              <w:spacing w:after="0"/>
              <w:rPr>
                <w:sz w:val="20"/>
                <w:szCs w:val="20"/>
                <w:color w:val="auto"/>
              </w:rPr>
            </w:pPr>
            <w:r>
              <w:rPr>
                <w:rFonts w:ascii="Arial" w:cs="Arial" w:eastAsia="Arial" w:hAnsi="Arial"/>
                <w:sz w:val="25"/>
                <w:szCs w:val="25"/>
                <w:color w:val="auto"/>
              </w:rPr>
              <w:t>​</w:t>
            </w:r>
          </w:p>
        </w:tc>
        <w:tc>
          <w:tcPr>
            <w:tcW w:w="180" w:type="dxa"/>
            <w:vAlign w:val="bottom"/>
            <w:vMerge w:val="restart"/>
          </w:tcPr>
          <w:p>
            <w:pPr>
              <w:jc w:val="right"/>
              <w:spacing w:after="0"/>
              <w:rPr>
                <w:sz w:val="20"/>
                <w:szCs w:val="20"/>
                <w:color w:val="auto"/>
              </w:rPr>
            </w:pPr>
            <w:r>
              <w:rPr>
                <w:rFonts w:ascii="Arial" w:cs="Arial" w:eastAsia="Arial" w:hAnsi="Arial"/>
                <w:sz w:val="25"/>
                <w:szCs w:val="25"/>
                <w:color w:val="auto"/>
              </w:rPr>
              <w:t>•</w:t>
            </w:r>
          </w:p>
        </w:tc>
        <w:tc>
          <w:tcPr>
            <w:tcW w:w="160" w:type="dxa"/>
            <w:vAlign w:val="bottom"/>
            <w:shd w:val="clear" w:color="auto" w:fill="B2B2B2"/>
          </w:tcPr>
          <w:p>
            <w:pPr>
              <w:spacing w:after="0"/>
              <w:rPr>
                <w:sz w:val="16"/>
                <w:szCs w:val="16"/>
                <w:color w:val="auto"/>
              </w:rPr>
            </w:pPr>
          </w:p>
        </w:tc>
        <w:tc>
          <w:tcPr>
            <w:tcW w:w="60" w:type="dxa"/>
            <w:vAlign w:val="bottom"/>
            <w:vMerge w:val="restart"/>
          </w:tcPr>
          <w:p>
            <w:pPr>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243"/>
        </w:trPr>
        <w:tc>
          <w:tcPr>
            <w:tcW w:w="2920" w:type="dxa"/>
            <w:vAlign w:val="bottom"/>
            <w:tcBorders>
              <w:bottom w:val="single" w:sz="8" w:color="7F7F7F"/>
            </w:tcBorders>
          </w:tcPr>
          <w:p>
            <w:pPr>
              <w:ind w:left="40"/>
              <w:spacing w:after="0" w:line="243" w:lineRule="exact"/>
              <w:rPr>
                <w:sz w:val="20"/>
                <w:szCs w:val="20"/>
                <w:color w:val="auto"/>
              </w:rPr>
            </w:pPr>
            <w:r>
              <w:rPr>
                <w:rFonts w:ascii="Arial" w:cs="Arial" w:eastAsia="Arial" w:hAnsi="Arial"/>
                <w:sz w:val="28"/>
                <w:szCs w:val="28"/>
                <w:color w:val="000000"/>
                <w:vertAlign w:val="superscript"/>
              </w:rPr>
              <w:t>​</w:t>
            </w:r>
            <w:r>
              <w:rPr>
                <w:rFonts w:ascii="Arial" w:cs="Arial" w:eastAsia="Arial" w:hAnsi="Arial"/>
                <w:sz w:val="12"/>
                <w:szCs w:val="12"/>
                <w:color w:val="404040"/>
              </w:rPr>
              <w:t>Chief Executive Officer, AARP</w:t>
            </w:r>
          </w:p>
        </w:tc>
        <w:tc>
          <w:tcPr>
            <w:tcW w:w="480" w:type="dxa"/>
            <w:vAlign w:val="bottom"/>
            <w:tcBorders>
              <w:bottom w:val="single" w:sz="8" w:color="7F7F7F"/>
            </w:tcBorders>
          </w:tcPr>
          <w:p>
            <w:pPr>
              <w:ind w:left="180"/>
              <w:spacing w:after="0"/>
              <w:rPr>
                <w:sz w:val="20"/>
                <w:szCs w:val="20"/>
                <w:color w:val="auto"/>
              </w:rPr>
            </w:pPr>
            <w:r>
              <w:rPr>
                <w:rFonts w:ascii="Arial" w:cs="Arial" w:eastAsia="Arial" w:hAnsi="Arial"/>
                <w:sz w:val="14"/>
                <w:szCs w:val="14"/>
                <w:color w:val="404040"/>
              </w:rPr>
              <w:t>67</w:t>
            </w:r>
          </w:p>
        </w:tc>
        <w:tc>
          <w:tcPr>
            <w:tcW w:w="76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404040"/>
              </w:rPr>
              <w:t>2018</w:t>
            </w:r>
          </w:p>
        </w:tc>
        <w:tc>
          <w:tcPr>
            <w:tcW w:w="180" w:type="dxa"/>
            <w:vAlign w:val="bottom"/>
            <w:tcBorders>
              <w:bottom w:val="single" w:sz="8" w:color="7F7F7F"/>
            </w:tcBorders>
            <w:vMerge w:val="continue"/>
          </w:tcPr>
          <w:p>
            <w:pPr>
              <w:spacing w:after="0"/>
              <w:rPr>
                <w:sz w:val="21"/>
                <w:szCs w:val="21"/>
                <w:color w:val="auto"/>
              </w:rPr>
            </w:pPr>
          </w:p>
        </w:tc>
        <w:tc>
          <w:tcPr>
            <w:tcW w:w="100" w:type="dxa"/>
            <w:vAlign w:val="bottom"/>
            <w:tcBorders>
              <w:bottom w:val="single" w:sz="8" w:color="7F7F7F"/>
            </w:tcBorders>
          </w:tcPr>
          <w:p>
            <w:pPr>
              <w:spacing w:after="0"/>
              <w:rPr>
                <w:sz w:val="21"/>
                <w:szCs w:val="21"/>
                <w:color w:val="auto"/>
              </w:rPr>
            </w:pPr>
          </w:p>
        </w:tc>
        <w:tc>
          <w:tcPr>
            <w:tcW w:w="100" w:type="dxa"/>
            <w:vAlign w:val="bottom"/>
            <w:tcBorders>
              <w:bottom w:val="single" w:sz="8" w:color="7F7F7F"/>
            </w:tcBorders>
          </w:tcPr>
          <w:p>
            <w:pPr>
              <w:spacing w:after="0"/>
              <w:rPr>
                <w:sz w:val="21"/>
                <w:szCs w:val="21"/>
                <w:color w:val="auto"/>
              </w:rPr>
            </w:pPr>
          </w:p>
        </w:tc>
        <w:tc>
          <w:tcPr>
            <w:tcW w:w="660" w:type="dxa"/>
            <w:vAlign w:val="bottom"/>
            <w:tcBorders>
              <w:bottom w:val="single" w:sz="8" w:color="7F7F7F"/>
            </w:tcBorders>
            <w:vMerge w:val="continue"/>
          </w:tcPr>
          <w:p>
            <w:pPr>
              <w:spacing w:after="0"/>
              <w:rPr>
                <w:sz w:val="21"/>
                <w:szCs w:val="21"/>
                <w:color w:val="auto"/>
              </w:rPr>
            </w:pPr>
          </w:p>
        </w:tc>
        <w:tc>
          <w:tcPr>
            <w:tcW w:w="180" w:type="dxa"/>
            <w:vAlign w:val="bottom"/>
            <w:tcBorders>
              <w:bottom w:val="single" w:sz="8" w:color="7F7F7F"/>
            </w:tcBorders>
            <w:gridSpan w:val="2"/>
            <w:vMerge w:val="continue"/>
          </w:tcPr>
          <w:p>
            <w:pPr>
              <w:spacing w:after="0"/>
              <w:rPr>
                <w:sz w:val="21"/>
                <w:szCs w:val="21"/>
                <w:color w:val="auto"/>
              </w:rPr>
            </w:pPr>
          </w:p>
        </w:tc>
        <w:tc>
          <w:tcPr>
            <w:tcW w:w="160" w:type="dxa"/>
            <w:vAlign w:val="bottom"/>
            <w:tcBorders>
              <w:bottom w:val="single" w:sz="8" w:color="7F7F7F"/>
              <w:right w:val="single" w:sz="8" w:color="B2B2B2"/>
            </w:tcBorders>
            <w:shd w:val="clear" w:color="auto" w:fill="B2B2B2"/>
          </w:tcPr>
          <w:p>
            <w:pPr>
              <w:spacing w:after="0"/>
              <w:rPr>
                <w:sz w:val="21"/>
                <w:szCs w:val="21"/>
                <w:color w:val="auto"/>
              </w:rPr>
            </w:pPr>
          </w:p>
        </w:tc>
        <w:tc>
          <w:tcPr>
            <w:tcW w:w="80" w:type="dxa"/>
            <w:vAlign w:val="bottom"/>
            <w:tcBorders>
              <w:bottom w:val="single" w:sz="8" w:color="7F7F7F"/>
            </w:tcBorders>
            <w:gridSpan w:val="2"/>
            <w:vMerge w:val="continue"/>
          </w:tcPr>
          <w:p>
            <w:pPr>
              <w:spacing w:after="0"/>
              <w:rPr>
                <w:sz w:val="21"/>
                <w:szCs w:val="21"/>
                <w:color w:val="auto"/>
              </w:rPr>
            </w:pPr>
          </w:p>
        </w:tc>
        <w:tc>
          <w:tcPr>
            <w:tcW w:w="180" w:type="dxa"/>
            <w:vAlign w:val="bottom"/>
            <w:tcBorders>
              <w:bottom w:val="single" w:sz="8" w:color="7F7F7F"/>
            </w:tcBorders>
          </w:tcPr>
          <w:p>
            <w:pPr>
              <w:spacing w:after="0"/>
              <w:rPr>
                <w:sz w:val="21"/>
                <w:szCs w:val="21"/>
                <w:color w:val="auto"/>
              </w:rPr>
            </w:pPr>
          </w:p>
        </w:tc>
        <w:tc>
          <w:tcPr>
            <w:tcW w:w="140" w:type="dxa"/>
            <w:vAlign w:val="bottom"/>
            <w:tcBorders>
              <w:bottom w:val="single" w:sz="8" w:color="7F7F7F"/>
            </w:tcBorders>
            <w:shd w:val="clear" w:color="auto" w:fill="B2B2B2"/>
          </w:tcPr>
          <w:p>
            <w:pPr>
              <w:spacing w:after="0"/>
              <w:rPr>
                <w:sz w:val="21"/>
                <w:szCs w:val="21"/>
                <w:color w:val="auto"/>
              </w:rPr>
            </w:pPr>
          </w:p>
        </w:tc>
        <w:tc>
          <w:tcPr>
            <w:tcW w:w="100" w:type="dxa"/>
            <w:vAlign w:val="bottom"/>
            <w:tcBorders>
              <w:bottom w:val="single" w:sz="8" w:color="7F7F7F"/>
              <w:right w:val="single" w:sz="8" w:color="FEFEFE"/>
            </w:tcBorders>
            <w:vMerge w:val="continue"/>
            <w:shd w:val="clear" w:color="auto" w:fill="B2B2B2"/>
          </w:tcPr>
          <w:p>
            <w:pPr>
              <w:spacing w:after="0"/>
              <w:rPr>
                <w:sz w:val="21"/>
                <w:szCs w:val="21"/>
                <w:color w:val="auto"/>
              </w:rPr>
            </w:pPr>
          </w:p>
        </w:tc>
        <w:tc>
          <w:tcPr>
            <w:tcW w:w="200" w:type="dxa"/>
            <w:vAlign w:val="bottom"/>
            <w:tcBorders>
              <w:bottom w:val="single" w:sz="8" w:color="7F7F7F"/>
            </w:tcBorders>
            <w:shd w:val="clear" w:color="auto" w:fill="B2B2B2"/>
          </w:tcPr>
          <w:p>
            <w:pPr>
              <w:spacing w:after="0"/>
              <w:rPr>
                <w:sz w:val="21"/>
                <w:szCs w:val="21"/>
                <w:color w:val="auto"/>
              </w:rPr>
            </w:pPr>
          </w:p>
        </w:tc>
        <w:tc>
          <w:tcPr>
            <w:tcW w:w="60" w:type="dxa"/>
            <w:vAlign w:val="bottom"/>
            <w:tcBorders>
              <w:bottom w:val="single" w:sz="8" w:color="7F7F7F"/>
            </w:tcBorders>
            <w:vMerge w:val="continue"/>
          </w:tcPr>
          <w:p>
            <w:pPr>
              <w:spacing w:after="0"/>
              <w:rPr>
                <w:sz w:val="21"/>
                <w:szCs w:val="21"/>
                <w:color w:val="auto"/>
              </w:rPr>
            </w:pPr>
          </w:p>
        </w:tc>
        <w:tc>
          <w:tcPr>
            <w:tcW w:w="200" w:type="dxa"/>
            <w:vAlign w:val="bottom"/>
            <w:tcBorders>
              <w:bottom w:val="single" w:sz="8" w:color="7F7F7F"/>
            </w:tcBorders>
            <w:vMerge w:val="continue"/>
          </w:tcPr>
          <w:p>
            <w:pPr>
              <w:spacing w:after="0"/>
              <w:rPr>
                <w:sz w:val="21"/>
                <w:szCs w:val="21"/>
                <w:color w:val="auto"/>
              </w:rPr>
            </w:pPr>
          </w:p>
        </w:tc>
        <w:tc>
          <w:tcPr>
            <w:tcW w:w="160" w:type="dxa"/>
            <w:vAlign w:val="bottom"/>
            <w:tcBorders>
              <w:bottom w:val="single" w:sz="8" w:color="7F7F7F"/>
            </w:tcBorders>
            <w:shd w:val="clear" w:color="auto" w:fill="B2B2B2"/>
          </w:tcPr>
          <w:p>
            <w:pPr>
              <w:spacing w:after="0"/>
              <w:rPr>
                <w:sz w:val="21"/>
                <w:szCs w:val="21"/>
                <w:color w:val="auto"/>
              </w:rPr>
            </w:pPr>
          </w:p>
        </w:tc>
        <w:tc>
          <w:tcPr>
            <w:tcW w:w="80" w:type="dxa"/>
            <w:vAlign w:val="bottom"/>
            <w:tcBorders>
              <w:bottom w:val="single" w:sz="8" w:color="7F7F7F"/>
              <w:right w:val="single" w:sz="8" w:color="FEFEFE"/>
            </w:tcBorders>
            <w:vMerge w:val="continue"/>
            <w:shd w:val="clear" w:color="auto" w:fill="B2B2B2"/>
          </w:tcPr>
          <w:p>
            <w:pPr>
              <w:spacing w:after="0"/>
              <w:rPr>
                <w:sz w:val="21"/>
                <w:szCs w:val="21"/>
                <w:color w:val="auto"/>
              </w:rPr>
            </w:pPr>
          </w:p>
        </w:tc>
        <w:tc>
          <w:tcPr>
            <w:tcW w:w="200" w:type="dxa"/>
            <w:vAlign w:val="bottom"/>
            <w:tcBorders>
              <w:bottom w:val="single" w:sz="8" w:color="7F7F7F"/>
            </w:tcBorders>
            <w:shd w:val="clear" w:color="auto" w:fill="B2B2B2"/>
          </w:tcPr>
          <w:p>
            <w:pPr>
              <w:spacing w:after="0"/>
              <w:rPr>
                <w:sz w:val="21"/>
                <w:szCs w:val="21"/>
                <w:color w:val="auto"/>
              </w:rPr>
            </w:pPr>
          </w:p>
        </w:tc>
        <w:tc>
          <w:tcPr>
            <w:tcW w:w="120" w:type="dxa"/>
            <w:vAlign w:val="bottom"/>
            <w:tcBorders>
              <w:bottom w:val="single" w:sz="8" w:color="7F7F7F"/>
            </w:tcBorders>
            <w:gridSpan w:val="2"/>
            <w:vMerge w:val="continue"/>
          </w:tcPr>
          <w:p>
            <w:pPr>
              <w:spacing w:after="0"/>
              <w:rPr>
                <w:sz w:val="21"/>
                <w:szCs w:val="21"/>
                <w:color w:val="auto"/>
              </w:rPr>
            </w:pPr>
          </w:p>
        </w:tc>
        <w:tc>
          <w:tcPr>
            <w:tcW w:w="140" w:type="dxa"/>
            <w:vAlign w:val="bottom"/>
            <w:tcBorders>
              <w:bottom w:val="single" w:sz="8" w:color="7F7F7F"/>
            </w:tcBorders>
          </w:tcPr>
          <w:p>
            <w:pPr>
              <w:spacing w:after="0"/>
              <w:rPr>
                <w:sz w:val="21"/>
                <w:szCs w:val="21"/>
                <w:color w:val="auto"/>
              </w:rPr>
            </w:pPr>
          </w:p>
        </w:tc>
        <w:tc>
          <w:tcPr>
            <w:tcW w:w="120" w:type="dxa"/>
            <w:vAlign w:val="bottom"/>
            <w:tcBorders>
              <w:bottom w:val="single" w:sz="8" w:color="7F7F7F"/>
            </w:tcBorders>
            <w:shd w:val="clear" w:color="auto" w:fill="B2B2B2"/>
          </w:tcPr>
          <w:p>
            <w:pPr>
              <w:spacing w:after="0"/>
              <w:rPr>
                <w:sz w:val="21"/>
                <w:szCs w:val="21"/>
                <w:color w:val="auto"/>
              </w:rPr>
            </w:pPr>
          </w:p>
        </w:tc>
        <w:tc>
          <w:tcPr>
            <w:tcW w:w="40" w:type="dxa"/>
            <w:vAlign w:val="bottom"/>
            <w:tcBorders>
              <w:bottom w:val="single" w:sz="8" w:color="7F7F7F"/>
            </w:tcBorders>
            <w:shd w:val="clear" w:color="auto" w:fill="B2B2B2"/>
          </w:tcPr>
          <w:p>
            <w:pPr>
              <w:spacing w:after="0"/>
              <w:rPr>
                <w:sz w:val="21"/>
                <w:szCs w:val="21"/>
                <w:color w:val="auto"/>
              </w:rPr>
            </w:pPr>
          </w:p>
        </w:tc>
        <w:tc>
          <w:tcPr>
            <w:tcW w:w="80" w:type="dxa"/>
            <w:vAlign w:val="bottom"/>
            <w:tcBorders>
              <w:bottom w:val="single" w:sz="8" w:color="7F7F7F"/>
              <w:right w:val="single" w:sz="8" w:color="FEFEFE"/>
            </w:tcBorders>
            <w:vMerge w:val="continue"/>
            <w:shd w:val="clear" w:color="auto" w:fill="B2B2B2"/>
          </w:tcPr>
          <w:p>
            <w:pPr>
              <w:spacing w:after="0"/>
              <w:rPr>
                <w:sz w:val="21"/>
                <w:szCs w:val="21"/>
                <w:color w:val="auto"/>
              </w:rPr>
            </w:pPr>
          </w:p>
        </w:tc>
        <w:tc>
          <w:tcPr>
            <w:tcW w:w="200" w:type="dxa"/>
            <w:vAlign w:val="bottom"/>
            <w:tcBorders>
              <w:bottom w:val="single" w:sz="8" w:color="7F7F7F"/>
            </w:tcBorders>
            <w:shd w:val="clear" w:color="auto" w:fill="B2B2B2"/>
          </w:tcPr>
          <w:p>
            <w:pPr>
              <w:spacing w:after="0"/>
              <w:rPr>
                <w:sz w:val="21"/>
                <w:szCs w:val="21"/>
                <w:color w:val="auto"/>
              </w:rPr>
            </w:pPr>
          </w:p>
        </w:tc>
        <w:tc>
          <w:tcPr>
            <w:tcW w:w="120" w:type="dxa"/>
            <w:vAlign w:val="bottom"/>
            <w:tcBorders>
              <w:bottom w:val="single" w:sz="8" w:color="7F7F7F"/>
            </w:tcBorders>
            <w:gridSpan w:val="2"/>
            <w:vMerge w:val="continue"/>
          </w:tcPr>
          <w:p>
            <w:pPr>
              <w:spacing w:after="0"/>
              <w:rPr>
                <w:sz w:val="21"/>
                <w:szCs w:val="21"/>
                <w:color w:val="auto"/>
              </w:rPr>
            </w:pPr>
          </w:p>
        </w:tc>
        <w:tc>
          <w:tcPr>
            <w:tcW w:w="140" w:type="dxa"/>
            <w:vAlign w:val="bottom"/>
            <w:tcBorders>
              <w:bottom w:val="single" w:sz="8" w:color="7F7F7F"/>
            </w:tcBorders>
            <w:vMerge w:val="continue"/>
          </w:tcPr>
          <w:p>
            <w:pPr>
              <w:spacing w:after="0"/>
              <w:rPr>
                <w:sz w:val="21"/>
                <w:szCs w:val="21"/>
                <w:color w:val="auto"/>
              </w:rPr>
            </w:pPr>
          </w:p>
        </w:tc>
        <w:tc>
          <w:tcPr>
            <w:tcW w:w="160" w:type="dxa"/>
            <w:vAlign w:val="bottom"/>
            <w:tcBorders>
              <w:bottom w:val="single" w:sz="8" w:color="7F7F7F"/>
            </w:tcBorders>
            <w:shd w:val="clear" w:color="auto" w:fill="B2B2B2"/>
          </w:tcPr>
          <w:p>
            <w:pPr>
              <w:spacing w:after="0"/>
              <w:rPr>
                <w:sz w:val="21"/>
                <w:szCs w:val="21"/>
                <w:color w:val="auto"/>
              </w:rPr>
            </w:pPr>
          </w:p>
        </w:tc>
        <w:tc>
          <w:tcPr>
            <w:tcW w:w="80" w:type="dxa"/>
            <w:vAlign w:val="bottom"/>
            <w:tcBorders>
              <w:bottom w:val="single" w:sz="8" w:color="7F7F7F"/>
              <w:right w:val="single" w:sz="8" w:color="FEFEFE"/>
            </w:tcBorders>
            <w:vMerge w:val="continue"/>
            <w:shd w:val="clear" w:color="auto" w:fill="B2B2B2"/>
          </w:tcPr>
          <w:p>
            <w:pPr>
              <w:spacing w:after="0"/>
              <w:rPr>
                <w:sz w:val="21"/>
                <w:szCs w:val="21"/>
                <w:color w:val="auto"/>
              </w:rPr>
            </w:pPr>
          </w:p>
        </w:tc>
        <w:tc>
          <w:tcPr>
            <w:tcW w:w="200" w:type="dxa"/>
            <w:vAlign w:val="bottom"/>
            <w:tcBorders>
              <w:bottom w:val="single" w:sz="8" w:color="7F7F7F"/>
            </w:tcBorders>
            <w:shd w:val="clear" w:color="auto" w:fill="B2B2B2"/>
          </w:tcPr>
          <w:p>
            <w:pPr>
              <w:spacing w:after="0"/>
              <w:rPr>
                <w:sz w:val="21"/>
                <w:szCs w:val="21"/>
                <w:color w:val="auto"/>
              </w:rPr>
            </w:pPr>
          </w:p>
        </w:tc>
        <w:tc>
          <w:tcPr>
            <w:tcW w:w="80" w:type="dxa"/>
            <w:vAlign w:val="bottom"/>
            <w:tcBorders>
              <w:bottom w:val="single" w:sz="8" w:color="7F7F7F"/>
            </w:tcBorders>
            <w:vMerge w:val="continue"/>
          </w:tcPr>
          <w:p>
            <w:pPr>
              <w:spacing w:after="0"/>
              <w:rPr>
                <w:sz w:val="21"/>
                <w:szCs w:val="21"/>
                <w:color w:val="auto"/>
              </w:rPr>
            </w:pPr>
          </w:p>
        </w:tc>
        <w:tc>
          <w:tcPr>
            <w:tcW w:w="180" w:type="dxa"/>
            <w:vAlign w:val="bottom"/>
            <w:tcBorders>
              <w:bottom w:val="single" w:sz="8" w:color="7F7F7F"/>
            </w:tcBorders>
            <w:vMerge w:val="continue"/>
          </w:tcPr>
          <w:p>
            <w:pPr>
              <w:spacing w:after="0"/>
              <w:rPr>
                <w:sz w:val="21"/>
                <w:szCs w:val="21"/>
                <w:color w:val="auto"/>
              </w:rPr>
            </w:pPr>
          </w:p>
        </w:tc>
        <w:tc>
          <w:tcPr>
            <w:tcW w:w="160" w:type="dxa"/>
            <w:vAlign w:val="bottom"/>
            <w:tcBorders>
              <w:bottom w:val="single" w:sz="8" w:color="7F7F7F"/>
            </w:tcBorders>
            <w:shd w:val="clear" w:color="auto" w:fill="B2B2B2"/>
          </w:tcPr>
          <w:p>
            <w:pPr>
              <w:spacing w:after="0"/>
              <w:rPr>
                <w:sz w:val="21"/>
                <w:szCs w:val="21"/>
                <w:color w:val="auto"/>
              </w:rPr>
            </w:pP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920" w:type="dxa"/>
            <w:vAlign w:val="bottom"/>
          </w:tcPr>
          <w:p>
            <w:pPr>
              <w:ind w:left="60"/>
              <w:spacing w:after="0"/>
              <w:rPr>
                <w:sz w:val="20"/>
                <w:szCs w:val="20"/>
                <w:color w:val="auto"/>
              </w:rPr>
            </w:pPr>
            <w:r>
              <w:rPr>
                <w:rFonts w:ascii="Arial" w:cs="Arial" w:eastAsia="Arial" w:hAnsi="Arial"/>
                <w:sz w:val="14"/>
                <w:szCs w:val="14"/>
                <w:b w:val="1"/>
                <w:bCs w:val="1"/>
                <w:color w:val="404040"/>
              </w:rPr>
              <w:t>Oleg Khaykin</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vMerge w:val="restart"/>
          </w:tcPr>
          <w:p>
            <w:pPr>
              <w:spacing w:after="0"/>
              <w:rPr>
                <w:sz w:val="20"/>
                <w:szCs w:val="20"/>
                <w:color w:val="auto"/>
              </w:rPr>
            </w:pPr>
            <w:r>
              <w:rPr>
                <w:rFonts w:ascii="Arial" w:cs="Arial" w:eastAsia="Arial" w:hAnsi="Arial"/>
                <w:sz w:val="25"/>
                <w:szCs w:val="2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spacing w:after="0"/>
              <w:rPr>
                <w:sz w:val="20"/>
                <w:szCs w:val="20"/>
                <w:color w:val="auto"/>
              </w:rPr>
            </w:pPr>
            <w:r>
              <w:rPr>
                <w:rFonts w:ascii="Arial" w:cs="Arial" w:eastAsia="Arial" w:hAnsi="Arial"/>
                <w:sz w:val="25"/>
                <w:szCs w:val="25"/>
                <w:color w:val="auto"/>
              </w:rPr>
              <w:t>​</w:t>
            </w:r>
            <w:r>
              <w:rPr>
                <w:rFonts w:ascii="Arial" w:cs="Arial" w:eastAsia="Arial" w:hAnsi="Arial"/>
                <w:sz w:val="14"/>
                <w:szCs w:val="14"/>
                <w:color w:val="404040"/>
              </w:rPr>
              <w:t>YES</w:t>
            </w:r>
          </w:p>
        </w:tc>
        <w:tc>
          <w:tcPr>
            <w:tcW w:w="180" w:type="dxa"/>
            <w:vAlign w:val="bottom"/>
            <w:gridSpan w:val="2"/>
            <w:vMerge w:val="restart"/>
          </w:tcPr>
          <w:p>
            <w:pPr>
              <w:jc w:val="right"/>
              <w:spacing w:after="0"/>
              <w:rPr>
                <w:sz w:val="20"/>
                <w:szCs w:val="20"/>
                <w:color w:val="auto"/>
              </w:rPr>
            </w:pPr>
            <w:r>
              <w:rPr>
                <w:rFonts w:ascii="Arial" w:cs="Arial" w:eastAsia="Arial" w:hAnsi="Arial"/>
                <w:sz w:val="25"/>
                <w:szCs w:val="25"/>
                <w:color w:val="auto"/>
              </w:rPr>
              <w:t>​​​</w:t>
            </w:r>
          </w:p>
        </w:tc>
        <w:tc>
          <w:tcPr>
            <w:tcW w:w="160" w:type="dxa"/>
            <w:vAlign w:val="bottom"/>
            <w:tcBorders>
              <w:right w:val="single" w:sz="8" w:color="B2B2B2"/>
            </w:tcBorders>
            <w:shd w:val="clear" w:color="auto" w:fill="B2B2B2"/>
          </w:tcPr>
          <w:p>
            <w:pPr>
              <w:spacing w:after="0"/>
              <w:rPr>
                <w:sz w:val="15"/>
                <w:szCs w:val="15"/>
                <w:color w:val="auto"/>
              </w:rPr>
            </w:pPr>
          </w:p>
        </w:tc>
        <w:tc>
          <w:tcPr>
            <w:tcW w:w="80" w:type="dxa"/>
            <w:vAlign w:val="bottom"/>
            <w:gridSpan w:val="2"/>
            <w:vMerge w:val="restart"/>
          </w:tcPr>
          <w:p>
            <w:pPr>
              <w:spacing w:after="0"/>
              <w:rPr>
                <w:sz w:val="20"/>
                <w:szCs w:val="20"/>
                <w:color w:val="auto"/>
              </w:rPr>
            </w:pPr>
            <w:r>
              <w:rPr>
                <w:rFonts w:ascii="Arial" w:cs="Arial" w:eastAsia="Arial" w:hAnsi="Arial"/>
                <w:sz w:val="25"/>
                <w:szCs w:val="25"/>
                <w:color w:val="auto"/>
              </w:rPr>
              <w:t>​</w:t>
            </w:r>
          </w:p>
        </w:tc>
        <w:tc>
          <w:tcPr>
            <w:tcW w:w="180" w:type="dxa"/>
            <w:vAlign w:val="bottom"/>
            <w:vMerge w:val="restart"/>
          </w:tcPr>
          <w:p>
            <w:pPr>
              <w:ind w:left="80"/>
              <w:spacing w:after="0"/>
              <w:rPr>
                <w:sz w:val="20"/>
                <w:szCs w:val="20"/>
                <w:color w:val="auto"/>
              </w:rPr>
            </w:pPr>
            <w:r>
              <w:rPr>
                <w:rFonts w:ascii="Arial" w:cs="Arial" w:eastAsia="Arial" w:hAnsi="Arial"/>
                <w:sz w:val="25"/>
                <w:szCs w:val="25"/>
                <w:color w:val="auto"/>
                <w:w w:val="90"/>
              </w:rPr>
              <w:t>•</w:t>
            </w:r>
          </w:p>
        </w:tc>
        <w:tc>
          <w:tcPr>
            <w:tcW w:w="140" w:type="dxa"/>
            <w:vAlign w:val="bottom"/>
            <w:shd w:val="clear" w:color="auto" w:fill="B2B2B2"/>
          </w:tcPr>
          <w:p>
            <w:pPr>
              <w:spacing w:after="0"/>
              <w:rPr>
                <w:sz w:val="15"/>
                <w:szCs w:val="15"/>
                <w:color w:val="auto"/>
              </w:rPr>
            </w:pPr>
          </w:p>
        </w:tc>
        <w:tc>
          <w:tcPr>
            <w:tcW w:w="100" w:type="dxa"/>
            <w:vAlign w:val="bottom"/>
            <w:tcBorders>
              <w:right w:val="single" w:sz="8" w:color="FEFEFE"/>
            </w:tcBorders>
            <w:vMerge w:val="restart"/>
            <w:shd w:val="clear" w:color="auto" w:fill="B2B2B2"/>
          </w:tcPr>
          <w:p>
            <w:pPr>
              <w:spacing w:after="0"/>
              <w:rPr>
                <w:sz w:val="20"/>
                <w:szCs w:val="20"/>
                <w:color w:val="auto"/>
              </w:rPr>
            </w:pPr>
            <w:r>
              <w:rPr>
                <w:rFonts w:ascii="Arial" w:cs="Arial" w:eastAsia="Arial" w:hAnsi="Arial"/>
                <w:sz w:val="25"/>
                <w:szCs w:val="25"/>
                <w:color w:val="auto"/>
              </w:rPr>
              <w:t>​</w:t>
            </w:r>
          </w:p>
        </w:tc>
        <w:tc>
          <w:tcPr>
            <w:tcW w:w="200" w:type="dxa"/>
            <w:vAlign w:val="bottom"/>
            <w:shd w:val="clear" w:color="auto" w:fill="B2B2B2"/>
          </w:tcPr>
          <w:p>
            <w:pPr>
              <w:spacing w:after="0"/>
              <w:rPr>
                <w:sz w:val="15"/>
                <w:szCs w:val="15"/>
                <w:color w:val="auto"/>
              </w:rPr>
            </w:pPr>
          </w:p>
        </w:tc>
        <w:tc>
          <w:tcPr>
            <w:tcW w:w="60" w:type="dxa"/>
            <w:vAlign w:val="bottom"/>
            <w:vMerge w:val="restart"/>
          </w:tcPr>
          <w:p>
            <w:pPr>
              <w:spacing w:after="0"/>
              <w:rPr>
                <w:sz w:val="20"/>
                <w:szCs w:val="20"/>
                <w:color w:val="auto"/>
              </w:rPr>
            </w:pPr>
            <w:r>
              <w:rPr>
                <w:rFonts w:ascii="Arial" w:cs="Arial" w:eastAsia="Arial" w:hAnsi="Arial"/>
                <w:sz w:val="25"/>
                <w:szCs w:val="25"/>
                <w:color w:val="auto"/>
              </w:rPr>
              <w:t>​</w:t>
            </w:r>
          </w:p>
        </w:tc>
        <w:tc>
          <w:tcPr>
            <w:tcW w:w="200" w:type="dxa"/>
            <w:vAlign w:val="bottom"/>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200" w:type="dxa"/>
            <w:vAlign w:val="bottom"/>
            <w:shd w:val="clear" w:color="auto" w:fill="B2B2B2"/>
          </w:tcPr>
          <w:p>
            <w:pPr>
              <w:spacing w:after="0"/>
              <w:rPr>
                <w:sz w:val="15"/>
                <w:szCs w:val="15"/>
                <w:color w:val="auto"/>
              </w:rPr>
            </w:pPr>
          </w:p>
        </w:tc>
        <w:tc>
          <w:tcPr>
            <w:tcW w:w="120" w:type="dxa"/>
            <w:vAlign w:val="bottom"/>
            <w:gridSpan w:val="2"/>
            <w:vMerge w:val="restart"/>
          </w:tcPr>
          <w:p>
            <w:pPr>
              <w:spacing w:after="0"/>
              <w:rPr>
                <w:sz w:val="20"/>
                <w:szCs w:val="20"/>
                <w:color w:val="auto"/>
              </w:rPr>
            </w:pPr>
            <w:r>
              <w:rPr>
                <w:rFonts w:ascii="Arial" w:cs="Arial" w:eastAsia="Arial" w:hAnsi="Arial"/>
                <w:sz w:val="25"/>
                <w:szCs w:val="25"/>
                <w:color w:val="auto"/>
              </w:rPr>
              <w:t>​</w:t>
            </w:r>
          </w:p>
        </w:tc>
        <w:tc>
          <w:tcPr>
            <w:tcW w:w="140" w:type="dxa"/>
            <w:vAlign w:val="bottom"/>
          </w:tcPr>
          <w:p>
            <w:pPr>
              <w:spacing w:after="0"/>
              <w:rPr>
                <w:sz w:val="15"/>
                <w:szCs w:val="15"/>
                <w:color w:val="auto"/>
              </w:rPr>
            </w:pPr>
          </w:p>
        </w:tc>
        <w:tc>
          <w:tcPr>
            <w:tcW w:w="12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200" w:type="dxa"/>
            <w:vAlign w:val="bottom"/>
            <w:shd w:val="clear" w:color="auto" w:fill="B2B2B2"/>
          </w:tcPr>
          <w:p>
            <w:pPr>
              <w:spacing w:after="0"/>
              <w:rPr>
                <w:sz w:val="15"/>
                <w:szCs w:val="15"/>
                <w:color w:val="auto"/>
              </w:rPr>
            </w:pPr>
          </w:p>
        </w:tc>
        <w:tc>
          <w:tcPr>
            <w:tcW w:w="120" w:type="dxa"/>
            <w:vAlign w:val="bottom"/>
            <w:gridSpan w:val="2"/>
            <w:vMerge w:val="restart"/>
          </w:tcPr>
          <w:p>
            <w:pPr>
              <w:spacing w:after="0"/>
              <w:rPr>
                <w:sz w:val="20"/>
                <w:szCs w:val="20"/>
                <w:color w:val="auto"/>
              </w:rPr>
            </w:pPr>
            <w:r>
              <w:rPr>
                <w:rFonts w:ascii="Arial" w:cs="Arial" w:eastAsia="Arial" w:hAnsi="Arial"/>
                <w:sz w:val="25"/>
                <w:szCs w:val="25"/>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5"/>
                <w:szCs w:val="25"/>
                <w:color w:val="auto"/>
              </w:rPr>
              <w:t>◦</w:t>
            </w: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200" w:type="dxa"/>
            <w:vAlign w:val="bottom"/>
            <w:shd w:val="clear" w:color="auto" w:fill="B2B2B2"/>
          </w:tcPr>
          <w:p>
            <w:pPr>
              <w:spacing w:after="0"/>
              <w:rPr>
                <w:sz w:val="15"/>
                <w:szCs w:val="15"/>
                <w:color w:val="auto"/>
              </w:rPr>
            </w:pPr>
          </w:p>
        </w:tc>
        <w:tc>
          <w:tcPr>
            <w:tcW w:w="80" w:type="dxa"/>
            <w:vAlign w:val="bottom"/>
            <w:vMerge w:val="restart"/>
          </w:tcPr>
          <w:p>
            <w:pPr>
              <w:spacing w:after="0"/>
              <w:rPr>
                <w:sz w:val="20"/>
                <w:szCs w:val="20"/>
                <w:color w:val="auto"/>
              </w:rPr>
            </w:pPr>
            <w:r>
              <w:rPr>
                <w:rFonts w:ascii="Arial" w:cs="Arial" w:eastAsia="Arial" w:hAnsi="Arial"/>
                <w:sz w:val="25"/>
                <w:szCs w:val="25"/>
                <w:color w:val="auto"/>
              </w:rPr>
              <w:t>​</w:t>
            </w:r>
          </w:p>
        </w:tc>
        <w:tc>
          <w:tcPr>
            <w:tcW w:w="180" w:type="dxa"/>
            <w:vAlign w:val="bottom"/>
            <w:vMerge w:val="restart"/>
          </w:tcPr>
          <w:p>
            <w:pPr>
              <w:jc w:val="right"/>
              <w:spacing w:after="0"/>
              <w:rPr>
                <w:sz w:val="20"/>
                <w:szCs w:val="20"/>
                <w:color w:val="auto"/>
              </w:rPr>
            </w:pPr>
            <w:r>
              <w:rPr>
                <w:rFonts w:ascii="Arial" w:cs="Arial" w:eastAsia="Arial" w:hAnsi="Arial"/>
                <w:sz w:val="25"/>
                <w:szCs w:val="25"/>
                <w:color w:val="auto"/>
              </w:rPr>
              <w:t>•</w:t>
            </w:r>
          </w:p>
        </w:tc>
        <w:tc>
          <w:tcPr>
            <w:tcW w:w="160" w:type="dxa"/>
            <w:vAlign w:val="bottom"/>
            <w:shd w:val="clear" w:color="auto" w:fill="B2B2B2"/>
          </w:tcPr>
          <w:p>
            <w:pPr>
              <w:spacing w:after="0"/>
              <w:rPr>
                <w:sz w:val="15"/>
                <w:szCs w:val="15"/>
                <w:color w:val="auto"/>
              </w:rPr>
            </w:pPr>
          </w:p>
        </w:tc>
        <w:tc>
          <w:tcPr>
            <w:tcW w:w="60" w:type="dxa"/>
            <w:vAlign w:val="bottom"/>
            <w:vMerge w:val="restart"/>
          </w:tcPr>
          <w:p>
            <w:pPr>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207"/>
        </w:trPr>
        <w:tc>
          <w:tcPr>
            <w:tcW w:w="2920" w:type="dxa"/>
            <w:vAlign w:val="bottom"/>
          </w:tcPr>
          <w:p>
            <w:pPr>
              <w:ind w:left="40"/>
              <w:spacing w:after="0" w:line="207" w:lineRule="exact"/>
              <w:rPr>
                <w:sz w:val="20"/>
                <w:szCs w:val="20"/>
                <w:color w:val="auto"/>
              </w:rPr>
            </w:pPr>
            <w:r>
              <w:rPr>
                <w:rFonts w:ascii="Arial" w:cs="Arial" w:eastAsia="Arial" w:hAnsi="Arial"/>
                <w:sz w:val="23"/>
                <w:szCs w:val="23"/>
                <w:color w:val="auto"/>
              </w:rPr>
              <w:t>​</w:t>
            </w:r>
            <w:r>
              <w:rPr>
                <w:rFonts w:ascii="Arial" w:cs="Arial" w:eastAsia="Arial" w:hAnsi="Arial"/>
                <w:sz w:val="13"/>
                <w:szCs w:val="13"/>
                <w:color w:val="404040"/>
              </w:rPr>
              <w:t>President and Chief Executive Officer,</w:t>
            </w:r>
          </w:p>
        </w:tc>
        <w:tc>
          <w:tcPr>
            <w:tcW w:w="480" w:type="dxa"/>
            <w:vAlign w:val="bottom"/>
          </w:tcPr>
          <w:p>
            <w:pPr>
              <w:ind w:left="180"/>
              <w:spacing w:after="0"/>
              <w:rPr>
                <w:sz w:val="20"/>
                <w:szCs w:val="20"/>
                <w:color w:val="auto"/>
              </w:rPr>
            </w:pPr>
            <w:r>
              <w:rPr>
                <w:rFonts w:ascii="Arial" w:cs="Arial" w:eastAsia="Arial" w:hAnsi="Arial"/>
                <w:sz w:val="14"/>
                <w:szCs w:val="14"/>
                <w:color w:val="404040"/>
              </w:rPr>
              <w:t>60</w:t>
            </w:r>
          </w:p>
        </w:tc>
        <w:tc>
          <w:tcPr>
            <w:tcW w:w="760" w:type="dxa"/>
            <w:vAlign w:val="bottom"/>
          </w:tcPr>
          <w:p>
            <w:pPr>
              <w:jc w:val="center"/>
              <w:spacing w:after="0"/>
              <w:rPr>
                <w:sz w:val="20"/>
                <w:szCs w:val="20"/>
                <w:color w:val="auto"/>
              </w:rPr>
            </w:pPr>
            <w:r>
              <w:rPr>
                <w:rFonts w:ascii="Arial" w:cs="Arial" w:eastAsia="Arial" w:hAnsi="Arial"/>
                <w:sz w:val="14"/>
                <w:szCs w:val="14"/>
                <w:color w:val="404040"/>
              </w:rPr>
              <w:t>2018</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160" w:type="dxa"/>
            <w:vAlign w:val="bottom"/>
            <w:tcBorders>
              <w:right w:val="single" w:sz="8" w:color="B2B2B2"/>
            </w:tcBorders>
            <w:shd w:val="clear" w:color="auto" w:fill="B2B2B2"/>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40" w:type="dxa"/>
            <w:vAlign w:val="bottom"/>
            <w:shd w:val="clear" w:color="auto" w:fill="B2B2B2"/>
          </w:tcPr>
          <w:p>
            <w:pPr>
              <w:spacing w:after="0"/>
              <w:rPr>
                <w:sz w:val="17"/>
                <w:szCs w:val="17"/>
                <w:color w:val="auto"/>
              </w:rPr>
            </w:pPr>
          </w:p>
        </w:tc>
        <w:tc>
          <w:tcPr>
            <w:tcW w:w="100" w:type="dxa"/>
            <w:vAlign w:val="bottom"/>
            <w:tcBorders>
              <w:right w:val="single" w:sz="8" w:color="FEFEFE"/>
            </w:tcBorders>
            <w:vMerge w:val="continue"/>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shd w:val="clear" w:color="auto" w:fill="B2B2B2"/>
          </w:tcPr>
          <w:p>
            <w:pPr>
              <w:spacing w:after="0"/>
              <w:rPr>
                <w:sz w:val="17"/>
                <w:szCs w:val="17"/>
                <w:color w:val="auto"/>
              </w:rPr>
            </w:pPr>
          </w:p>
        </w:tc>
        <w:tc>
          <w:tcPr>
            <w:tcW w:w="80" w:type="dxa"/>
            <w:vAlign w:val="bottom"/>
            <w:tcBorders>
              <w:right w:val="single" w:sz="8" w:color="FEFEFE"/>
            </w:tcBorders>
            <w:vMerge w:val="continue"/>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40" w:type="dxa"/>
            <w:vAlign w:val="bottom"/>
            <w:shd w:val="clear" w:color="auto" w:fill="B2B2B2"/>
          </w:tcPr>
          <w:p>
            <w:pPr>
              <w:spacing w:after="0"/>
              <w:rPr>
                <w:sz w:val="17"/>
                <w:szCs w:val="17"/>
                <w:color w:val="auto"/>
              </w:rPr>
            </w:pPr>
          </w:p>
        </w:tc>
        <w:tc>
          <w:tcPr>
            <w:tcW w:w="80" w:type="dxa"/>
            <w:vAlign w:val="bottom"/>
            <w:tcBorders>
              <w:right w:val="single" w:sz="8" w:color="FEFEFE"/>
            </w:tcBorders>
            <w:vMerge w:val="continue"/>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60" w:type="dxa"/>
            <w:vAlign w:val="bottom"/>
            <w:shd w:val="clear" w:color="auto" w:fill="B2B2B2"/>
          </w:tcPr>
          <w:p>
            <w:pPr>
              <w:spacing w:after="0"/>
              <w:rPr>
                <w:sz w:val="17"/>
                <w:szCs w:val="17"/>
                <w:color w:val="auto"/>
              </w:rPr>
            </w:pPr>
          </w:p>
        </w:tc>
        <w:tc>
          <w:tcPr>
            <w:tcW w:w="80" w:type="dxa"/>
            <w:vAlign w:val="bottom"/>
            <w:tcBorders>
              <w:right w:val="single" w:sz="8" w:color="FEFEFE"/>
            </w:tcBorders>
            <w:vMerge w:val="continue"/>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60" w:type="dxa"/>
            <w:vAlign w:val="bottom"/>
            <w:shd w:val="clear" w:color="auto" w:fill="B2B2B2"/>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92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404040"/>
              </w:rPr>
              <w:t>Viavi Solutions, Inc.</w:t>
            </w:r>
          </w:p>
        </w:tc>
        <w:tc>
          <w:tcPr>
            <w:tcW w:w="480" w:type="dxa"/>
            <w:vAlign w:val="bottom"/>
            <w:tcBorders>
              <w:bottom w:val="single" w:sz="8" w:color="7F7F7F"/>
            </w:tcBorders>
          </w:tcPr>
          <w:p>
            <w:pPr>
              <w:spacing w:after="0"/>
              <w:rPr>
                <w:sz w:val="16"/>
                <w:szCs w:val="16"/>
                <w:color w:val="auto"/>
              </w:rPr>
            </w:pPr>
          </w:p>
        </w:tc>
        <w:tc>
          <w:tcPr>
            <w:tcW w:w="760" w:type="dxa"/>
            <w:vAlign w:val="bottom"/>
            <w:tcBorders>
              <w:bottom w:val="single" w:sz="8" w:color="7F7F7F"/>
            </w:tcBorders>
          </w:tcPr>
          <w:p>
            <w:pPr>
              <w:spacing w:after="0"/>
              <w:rPr>
                <w:sz w:val="16"/>
                <w:szCs w:val="16"/>
                <w:color w:val="auto"/>
              </w:rPr>
            </w:pPr>
          </w:p>
        </w:tc>
        <w:tc>
          <w:tcPr>
            <w:tcW w:w="18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660" w:type="dxa"/>
            <w:vAlign w:val="bottom"/>
            <w:tcBorders>
              <w:bottom w:val="single" w:sz="8" w:color="7F7F7F"/>
            </w:tcBorders>
          </w:tcPr>
          <w:p>
            <w:pPr>
              <w:spacing w:after="0"/>
              <w:rPr>
                <w:sz w:val="16"/>
                <w:szCs w:val="16"/>
                <w:color w:val="auto"/>
              </w:rPr>
            </w:pPr>
          </w:p>
        </w:tc>
        <w:tc>
          <w:tcPr>
            <w:tcW w:w="120" w:type="dxa"/>
            <w:vAlign w:val="bottom"/>
            <w:tcBorders>
              <w:bottom w:val="single" w:sz="8" w:color="7F7F7F"/>
            </w:tcBorders>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right w:val="single" w:sz="8" w:color="B2B2B2"/>
            </w:tcBorders>
            <w:shd w:val="clear" w:color="auto" w:fill="B2B2B2"/>
          </w:tcPr>
          <w:p>
            <w:pPr>
              <w:spacing w:after="0"/>
              <w:rPr>
                <w:sz w:val="16"/>
                <w:szCs w:val="16"/>
                <w:color w:val="auto"/>
              </w:rPr>
            </w:pPr>
          </w:p>
        </w:tc>
        <w:tc>
          <w:tcPr>
            <w:tcW w:w="20" w:type="dxa"/>
            <w:vAlign w:val="bottom"/>
            <w:tcBorders>
              <w:bottom w:val="single" w:sz="8" w:color="7F7F7F"/>
            </w:tcBorders>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180" w:type="dxa"/>
            <w:vAlign w:val="bottom"/>
            <w:tcBorders>
              <w:bottom w:val="single" w:sz="8" w:color="7F7F7F"/>
            </w:tcBorders>
          </w:tcPr>
          <w:p>
            <w:pPr>
              <w:spacing w:after="0"/>
              <w:rPr>
                <w:sz w:val="16"/>
                <w:szCs w:val="16"/>
                <w:color w:val="auto"/>
              </w:rPr>
            </w:pPr>
          </w:p>
        </w:tc>
        <w:tc>
          <w:tcPr>
            <w:tcW w:w="140" w:type="dxa"/>
            <w:vAlign w:val="bottom"/>
            <w:tcBorders>
              <w:bottom w:val="single" w:sz="8" w:color="7F7F7F"/>
            </w:tcBorders>
            <w:shd w:val="clear" w:color="auto" w:fill="B2B2B2"/>
          </w:tcPr>
          <w:p>
            <w:pPr>
              <w:spacing w:after="0"/>
              <w:rPr>
                <w:sz w:val="16"/>
                <w:szCs w:val="16"/>
                <w:color w:val="auto"/>
              </w:rPr>
            </w:pPr>
          </w:p>
        </w:tc>
        <w:tc>
          <w:tcPr>
            <w:tcW w:w="10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20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140" w:type="dxa"/>
            <w:vAlign w:val="bottom"/>
            <w:tcBorders>
              <w:bottom w:val="single" w:sz="8" w:color="7F7F7F"/>
            </w:tcBorders>
          </w:tcPr>
          <w:p>
            <w:pPr>
              <w:spacing w:after="0"/>
              <w:rPr>
                <w:sz w:val="16"/>
                <w:szCs w:val="16"/>
                <w:color w:val="auto"/>
              </w:rPr>
            </w:pPr>
          </w:p>
        </w:tc>
        <w:tc>
          <w:tcPr>
            <w:tcW w:w="1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14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tcPr>
          <w:p>
            <w:pPr>
              <w:spacing w:after="0"/>
              <w:rPr>
                <w:sz w:val="16"/>
                <w:szCs w:val="16"/>
                <w:color w:val="auto"/>
              </w:rPr>
            </w:pPr>
          </w:p>
        </w:tc>
        <w:tc>
          <w:tcPr>
            <w:tcW w:w="18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20" w:type="dxa"/>
            <w:vAlign w:val="bottom"/>
          </w:tcPr>
          <w:p>
            <w:pPr>
              <w:ind w:left="60"/>
              <w:spacing w:after="0"/>
              <w:rPr>
                <w:sz w:val="20"/>
                <w:szCs w:val="20"/>
                <w:color w:val="auto"/>
              </w:rPr>
            </w:pPr>
            <w:r>
              <w:rPr>
                <w:rFonts w:ascii="Arial" w:cs="Arial" w:eastAsia="Arial" w:hAnsi="Arial"/>
                <w:sz w:val="14"/>
                <w:szCs w:val="14"/>
                <w:b w:val="1"/>
                <w:bCs w:val="1"/>
                <w:color w:val="404040"/>
              </w:rPr>
              <w:t>Ernest E. Maddock</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vMerge w:val="restart"/>
          </w:tcPr>
          <w:p>
            <w:pPr>
              <w:spacing w:after="0"/>
              <w:rPr>
                <w:sz w:val="20"/>
                <w:szCs w:val="20"/>
                <w:color w:val="auto"/>
              </w:rPr>
            </w:pPr>
            <w:r>
              <w:rPr>
                <w:rFonts w:ascii="Arial" w:cs="Arial" w:eastAsia="Arial" w:hAnsi="Arial"/>
                <w:sz w:val="25"/>
                <w:szCs w:val="2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spacing w:after="0"/>
              <w:rPr>
                <w:sz w:val="20"/>
                <w:szCs w:val="20"/>
                <w:color w:val="auto"/>
              </w:rPr>
            </w:pPr>
            <w:r>
              <w:rPr>
                <w:rFonts w:ascii="Arial" w:cs="Arial" w:eastAsia="Arial" w:hAnsi="Arial"/>
                <w:sz w:val="25"/>
                <w:szCs w:val="25"/>
                <w:color w:val="auto"/>
              </w:rPr>
              <w:t>​</w:t>
            </w:r>
            <w:r>
              <w:rPr>
                <w:rFonts w:ascii="Arial" w:cs="Arial" w:eastAsia="Arial" w:hAnsi="Arial"/>
                <w:sz w:val="14"/>
                <w:szCs w:val="14"/>
                <w:color w:val="404040"/>
              </w:rPr>
              <w:t>YES</w:t>
            </w:r>
          </w:p>
        </w:tc>
        <w:tc>
          <w:tcPr>
            <w:tcW w:w="180" w:type="dxa"/>
            <w:vAlign w:val="bottom"/>
            <w:gridSpan w:val="2"/>
            <w:vMerge w:val="restart"/>
          </w:tcPr>
          <w:p>
            <w:pPr>
              <w:jc w:val="right"/>
              <w:spacing w:after="0"/>
              <w:rPr>
                <w:sz w:val="20"/>
                <w:szCs w:val="20"/>
                <w:color w:val="auto"/>
              </w:rPr>
            </w:pPr>
            <w:r>
              <w:rPr>
                <w:rFonts w:ascii="Arial" w:cs="Arial" w:eastAsia="Arial" w:hAnsi="Arial"/>
                <w:sz w:val="25"/>
                <w:szCs w:val="25"/>
                <w:color w:val="auto"/>
              </w:rPr>
              <w:t>​​​</w:t>
            </w:r>
          </w:p>
        </w:tc>
        <w:tc>
          <w:tcPr>
            <w:tcW w:w="160" w:type="dxa"/>
            <w:vAlign w:val="bottom"/>
            <w:tcBorders>
              <w:right w:val="single" w:sz="8" w:color="B2B2B2"/>
            </w:tcBorders>
            <w:shd w:val="clear" w:color="auto" w:fill="B2B2B2"/>
          </w:tcPr>
          <w:p>
            <w:pPr>
              <w:spacing w:after="0"/>
              <w:rPr>
                <w:sz w:val="16"/>
                <w:szCs w:val="16"/>
                <w:color w:val="auto"/>
              </w:rPr>
            </w:pPr>
          </w:p>
        </w:tc>
        <w:tc>
          <w:tcPr>
            <w:tcW w:w="80" w:type="dxa"/>
            <w:vAlign w:val="bottom"/>
            <w:gridSpan w:val="2"/>
            <w:vMerge w:val="restart"/>
          </w:tcPr>
          <w:p>
            <w:pPr>
              <w:spacing w:after="0"/>
              <w:rPr>
                <w:sz w:val="20"/>
                <w:szCs w:val="20"/>
                <w:color w:val="auto"/>
              </w:rPr>
            </w:pPr>
            <w:r>
              <w:rPr>
                <w:rFonts w:ascii="Arial" w:cs="Arial" w:eastAsia="Arial" w:hAnsi="Arial"/>
                <w:sz w:val="25"/>
                <w:szCs w:val="25"/>
                <w:color w:val="auto"/>
              </w:rPr>
              <w:t>​</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auto"/>
                <w:w w:val="89"/>
              </w:rPr>
              <w:t>◦</w:t>
            </w:r>
          </w:p>
        </w:tc>
        <w:tc>
          <w:tcPr>
            <w:tcW w:w="140" w:type="dxa"/>
            <w:vAlign w:val="bottom"/>
            <w:shd w:val="clear" w:color="auto" w:fill="B2B2B2"/>
          </w:tcPr>
          <w:p>
            <w:pPr>
              <w:spacing w:after="0"/>
              <w:rPr>
                <w:sz w:val="16"/>
                <w:szCs w:val="16"/>
                <w:color w:val="auto"/>
              </w:rPr>
            </w:pPr>
          </w:p>
        </w:tc>
        <w:tc>
          <w:tcPr>
            <w:tcW w:w="100" w:type="dxa"/>
            <w:vAlign w:val="bottom"/>
            <w:tcBorders>
              <w:right w:val="single" w:sz="8" w:color="FEFEFE"/>
            </w:tcBorders>
            <w:vMerge w:val="restart"/>
            <w:shd w:val="clear" w:color="auto" w:fill="B2B2B2"/>
          </w:tcPr>
          <w:p>
            <w:pPr>
              <w:spacing w:after="0"/>
              <w:rPr>
                <w:sz w:val="20"/>
                <w:szCs w:val="20"/>
                <w:color w:val="auto"/>
              </w:rPr>
            </w:pPr>
            <w:r>
              <w:rPr>
                <w:rFonts w:ascii="Arial" w:cs="Arial" w:eastAsia="Arial" w:hAnsi="Arial"/>
                <w:sz w:val="25"/>
                <w:szCs w:val="25"/>
                <w:color w:val="auto"/>
              </w:rPr>
              <w:t>​</w:t>
            </w:r>
          </w:p>
        </w:tc>
        <w:tc>
          <w:tcPr>
            <w:tcW w:w="200" w:type="dxa"/>
            <w:vAlign w:val="bottom"/>
            <w:shd w:val="clear" w:color="auto" w:fill="B2B2B2"/>
          </w:tcPr>
          <w:p>
            <w:pPr>
              <w:spacing w:after="0"/>
              <w:rPr>
                <w:sz w:val="16"/>
                <w:szCs w:val="16"/>
                <w:color w:val="auto"/>
              </w:rPr>
            </w:pPr>
          </w:p>
        </w:tc>
        <w:tc>
          <w:tcPr>
            <w:tcW w:w="60" w:type="dxa"/>
            <w:vAlign w:val="bottom"/>
            <w:vMerge w:val="restart"/>
          </w:tcPr>
          <w:p>
            <w:pPr>
              <w:spacing w:after="0"/>
              <w:rPr>
                <w:sz w:val="20"/>
                <w:szCs w:val="20"/>
                <w:color w:val="auto"/>
              </w:rPr>
            </w:pPr>
            <w:r>
              <w:rPr>
                <w:rFonts w:ascii="Arial" w:cs="Arial" w:eastAsia="Arial" w:hAnsi="Arial"/>
                <w:sz w:val="25"/>
                <w:szCs w:val="25"/>
                <w:color w:val="auto"/>
              </w:rPr>
              <w:t>​</w:t>
            </w:r>
          </w:p>
        </w:tc>
        <w:tc>
          <w:tcPr>
            <w:tcW w:w="200" w:type="dxa"/>
            <w:vAlign w:val="bottom"/>
          </w:tcPr>
          <w:p>
            <w:pPr>
              <w:spacing w:after="0"/>
              <w:rPr>
                <w:sz w:val="16"/>
                <w:szCs w:val="16"/>
                <w:color w:val="auto"/>
              </w:rPr>
            </w:pPr>
          </w:p>
        </w:tc>
        <w:tc>
          <w:tcPr>
            <w:tcW w:w="160" w:type="dxa"/>
            <w:vAlign w:val="bottom"/>
            <w:shd w:val="clear" w:color="auto" w:fill="B2B2B2"/>
          </w:tcPr>
          <w:p>
            <w:pPr>
              <w:spacing w:after="0"/>
              <w:rPr>
                <w:sz w:val="16"/>
                <w:szCs w:val="16"/>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200" w:type="dxa"/>
            <w:vAlign w:val="bottom"/>
            <w:shd w:val="clear" w:color="auto" w:fill="B2B2B2"/>
          </w:tcPr>
          <w:p>
            <w:pPr>
              <w:spacing w:after="0"/>
              <w:rPr>
                <w:sz w:val="16"/>
                <w:szCs w:val="16"/>
                <w:color w:val="auto"/>
              </w:rPr>
            </w:pPr>
          </w:p>
        </w:tc>
        <w:tc>
          <w:tcPr>
            <w:tcW w:w="120" w:type="dxa"/>
            <w:vAlign w:val="bottom"/>
            <w:gridSpan w:val="2"/>
            <w:vMerge w:val="restart"/>
          </w:tcPr>
          <w:p>
            <w:pPr>
              <w:spacing w:after="0"/>
              <w:rPr>
                <w:sz w:val="20"/>
                <w:szCs w:val="20"/>
                <w:color w:val="auto"/>
              </w:rPr>
            </w:pPr>
            <w:r>
              <w:rPr>
                <w:rFonts w:ascii="Arial" w:cs="Arial" w:eastAsia="Arial" w:hAnsi="Arial"/>
                <w:sz w:val="25"/>
                <w:szCs w:val="25"/>
                <w:color w:val="auto"/>
              </w:rPr>
              <w:t>​</w:t>
            </w:r>
          </w:p>
        </w:tc>
        <w:tc>
          <w:tcPr>
            <w:tcW w:w="140" w:type="dxa"/>
            <w:vAlign w:val="bottom"/>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40" w:type="dxa"/>
            <w:vAlign w:val="bottom"/>
            <w:shd w:val="clear" w:color="auto" w:fill="B2B2B2"/>
          </w:tcPr>
          <w:p>
            <w:pPr>
              <w:spacing w:after="0"/>
              <w:rPr>
                <w:sz w:val="16"/>
                <w:szCs w:val="16"/>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200" w:type="dxa"/>
            <w:vAlign w:val="bottom"/>
            <w:shd w:val="clear" w:color="auto" w:fill="B2B2B2"/>
          </w:tcPr>
          <w:p>
            <w:pPr>
              <w:spacing w:after="0"/>
              <w:rPr>
                <w:sz w:val="16"/>
                <w:szCs w:val="16"/>
                <w:color w:val="auto"/>
              </w:rPr>
            </w:pPr>
          </w:p>
        </w:tc>
        <w:tc>
          <w:tcPr>
            <w:tcW w:w="120" w:type="dxa"/>
            <w:vAlign w:val="bottom"/>
            <w:gridSpan w:val="2"/>
            <w:vMerge w:val="restart"/>
          </w:tcPr>
          <w:p>
            <w:pPr>
              <w:spacing w:after="0"/>
              <w:rPr>
                <w:sz w:val="20"/>
                <w:szCs w:val="20"/>
                <w:color w:val="auto"/>
              </w:rPr>
            </w:pPr>
            <w:r>
              <w:rPr>
                <w:rFonts w:ascii="Arial" w:cs="Arial" w:eastAsia="Arial" w:hAnsi="Arial"/>
                <w:sz w:val="25"/>
                <w:szCs w:val="25"/>
                <w:color w:val="auto"/>
              </w:rPr>
              <w:t>​</w:t>
            </w:r>
          </w:p>
        </w:tc>
        <w:tc>
          <w:tcPr>
            <w:tcW w:w="140" w:type="dxa"/>
            <w:vAlign w:val="bottom"/>
            <w:vMerge w:val="restart"/>
          </w:tcPr>
          <w:p>
            <w:pPr>
              <w:jc w:val="right"/>
              <w:spacing w:after="0"/>
              <w:rPr>
                <w:sz w:val="20"/>
                <w:szCs w:val="20"/>
                <w:color w:val="auto"/>
              </w:rPr>
            </w:pPr>
            <w:r>
              <w:rPr>
                <w:rFonts w:ascii="Arial" w:cs="Arial" w:eastAsia="Arial" w:hAnsi="Arial"/>
                <w:sz w:val="25"/>
                <w:szCs w:val="25"/>
                <w:color w:val="auto"/>
              </w:rPr>
              <w:t>•</w:t>
            </w:r>
          </w:p>
        </w:tc>
        <w:tc>
          <w:tcPr>
            <w:tcW w:w="160" w:type="dxa"/>
            <w:vAlign w:val="bottom"/>
            <w:shd w:val="clear" w:color="auto" w:fill="B2B2B2"/>
          </w:tcPr>
          <w:p>
            <w:pPr>
              <w:spacing w:after="0"/>
              <w:rPr>
                <w:sz w:val="16"/>
                <w:szCs w:val="16"/>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200" w:type="dxa"/>
            <w:vAlign w:val="bottom"/>
            <w:shd w:val="clear" w:color="auto" w:fill="B2B2B2"/>
          </w:tcPr>
          <w:p>
            <w:pPr>
              <w:spacing w:after="0"/>
              <w:rPr>
                <w:sz w:val="16"/>
                <w:szCs w:val="16"/>
                <w:color w:val="auto"/>
              </w:rPr>
            </w:pPr>
          </w:p>
        </w:tc>
        <w:tc>
          <w:tcPr>
            <w:tcW w:w="80" w:type="dxa"/>
            <w:vAlign w:val="bottom"/>
            <w:vMerge w:val="restart"/>
          </w:tcPr>
          <w:p>
            <w:pPr>
              <w:spacing w:after="0"/>
              <w:rPr>
                <w:sz w:val="20"/>
                <w:szCs w:val="20"/>
                <w:color w:val="auto"/>
              </w:rPr>
            </w:pPr>
            <w:r>
              <w:rPr>
                <w:rFonts w:ascii="Arial" w:cs="Arial" w:eastAsia="Arial" w:hAnsi="Arial"/>
                <w:sz w:val="25"/>
                <w:szCs w:val="25"/>
                <w:color w:val="auto"/>
              </w:rPr>
              <w:t>​</w:t>
            </w:r>
          </w:p>
        </w:tc>
        <w:tc>
          <w:tcPr>
            <w:tcW w:w="180" w:type="dxa"/>
            <w:vAlign w:val="bottom"/>
            <w:vMerge w:val="restart"/>
          </w:tcPr>
          <w:p>
            <w:pPr>
              <w:jc w:val="right"/>
              <w:spacing w:after="0"/>
              <w:rPr>
                <w:sz w:val="20"/>
                <w:szCs w:val="20"/>
                <w:color w:val="auto"/>
              </w:rPr>
            </w:pPr>
            <w:r>
              <w:rPr>
                <w:rFonts w:ascii="Arial" w:cs="Arial" w:eastAsia="Arial" w:hAnsi="Arial"/>
                <w:sz w:val="25"/>
                <w:szCs w:val="25"/>
                <w:color w:val="auto"/>
              </w:rPr>
              <w:t>•</w:t>
            </w:r>
          </w:p>
        </w:tc>
        <w:tc>
          <w:tcPr>
            <w:tcW w:w="160" w:type="dxa"/>
            <w:vAlign w:val="bottom"/>
            <w:shd w:val="clear" w:color="auto" w:fill="B2B2B2"/>
          </w:tcPr>
          <w:p>
            <w:pPr>
              <w:spacing w:after="0"/>
              <w:rPr>
                <w:sz w:val="16"/>
                <w:szCs w:val="16"/>
                <w:color w:val="auto"/>
              </w:rPr>
            </w:pPr>
          </w:p>
        </w:tc>
        <w:tc>
          <w:tcPr>
            <w:tcW w:w="60" w:type="dxa"/>
            <w:vAlign w:val="bottom"/>
            <w:vMerge w:val="restart"/>
          </w:tcPr>
          <w:p>
            <w:pPr>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207"/>
        </w:trPr>
        <w:tc>
          <w:tcPr>
            <w:tcW w:w="2920" w:type="dxa"/>
            <w:vAlign w:val="bottom"/>
          </w:tcPr>
          <w:p>
            <w:pPr>
              <w:ind w:left="40"/>
              <w:spacing w:after="0" w:line="207" w:lineRule="exact"/>
              <w:rPr>
                <w:sz w:val="20"/>
                <w:szCs w:val="20"/>
                <w:color w:val="auto"/>
              </w:rPr>
            </w:pPr>
            <w:r>
              <w:rPr>
                <w:rFonts w:ascii="Arial" w:cs="Arial" w:eastAsia="Arial" w:hAnsi="Arial"/>
                <w:sz w:val="23"/>
                <w:szCs w:val="23"/>
                <w:color w:val="auto"/>
              </w:rPr>
              <w:t>​</w:t>
            </w:r>
            <w:r>
              <w:rPr>
                <w:rFonts w:ascii="Arial" w:cs="Arial" w:eastAsia="Arial" w:hAnsi="Arial"/>
                <w:sz w:val="13"/>
                <w:szCs w:val="13"/>
                <w:color w:val="404040"/>
              </w:rPr>
              <w:t>Former Chief Financial Officer,</w:t>
            </w:r>
          </w:p>
        </w:tc>
        <w:tc>
          <w:tcPr>
            <w:tcW w:w="480" w:type="dxa"/>
            <w:vAlign w:val="bottom"/>
          </w:tcPr>
          <w:p>
            <w:pPr>
              <w:ind w:left="180"/>
              <w:spacing w:after="0"/>
              <w:rPr>
                <w:sz w:val="20"/>
                <w:szCs w:val="20"/>
                <w:color w:val="auto"/>
              </w:rPr>
            </w:pPr>
            <w:r>
              <w:rPr>
                <w:rFonts w:ascii="Arial" w:cs="Arial" w:eastAsia="Arial" w:hAnsi="Arial"/>
                <w:sz w:val="14"/>
                <w:szCs w:val="14"/>
                <w:color w:val="404040"/>
              </w:rPr>
              <w:t>67</w:t>
            </w:r>
          </w:p>
        </w:tc>
        <w:tc>
          <w:tcPr>
            <w:tcW w:w="760" w:type="dxa"/>
            <w:vAlign w:val="bottom"/>
          </w:tcPr>
          <w:p>
            <w:pPr>
              <w:jc w:val="center"/>
              <w:spacing w:after="0"/>
              <w:rPr>
                <w:sz w:val="20"/>
                <w:szCs w:val="20"/>
                <w:color w:val="auto"/>
              </w:rPr>
            </w:pPr>
            <w:r>
              <w:rPr>
                <w:rFonts w:ascii="Arial" w:cs="Arial" w:eastAsia="Arial" w:hAnsi="Arial"/>
                <w:sz w:val="14"/>
                <w:szCs w:val="14"/>
                <w:color w:val="404040"/>
              </w:rPr>
              <w:t>2021</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160" w:type="dxa"/>
            <w:vAlign w:val="bottom"/>
            <w:tcBorders>
              <w:right w:val="single" w:sz="8" w:color="B2B2B2"/>
            </w:tcBorders>
            <w:shd w:val="clear" w:color="auto" w:fill="B2B2B2"/>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40" w:type="dxa"/>
            <w:vAlign w:val="bottom"/>
            <w:shd w:val="clear" w:color="auto" w:fill="B2B2B2"/>
          </w:tcPr>
          <w:p>
            <w:pPr>
              <w:spacing w:after="0"/>
              <w:rPr>
                <w:sz w:val="17"/>
                <w:szCs w:val="17"/>
                <w:color w:val="auto"/>
              </w:rPr>
            </w:pPr>
          </w:p>
        </w:tc>
        <w:tc>
          <w:tcPr>
            <w:tcW w:w="100" w:type="dxa"/>
            <w:vAlign w:val="bottom"/>
            <w:tcBorders>
              <w:right w:val="single" w:sz="8" w:color="FEFEFE"/>
            </w:tcBorders>
            <w:vMerge w:val="continue"/>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shd w:val="clear" w:color="auto" w:fill="B2B2B2"/>
          </w:tcPr>
          <w:p>
            <w:pPr>
              <w:spacing w:after="0"/>
              <w:rPr>
                <w:sz w:val="17"/>
                <w:szCs w:val="17"/>
                <w:color w:val="auto"/>
              </w:rPr>
            </w:pPr>
          </w:p>
        </w:tc>
        <w:tc>
          <w:tcPr>
            <w:tcW w:w="80" w:type="dxa"/>
            <w:vAlign w:val="bottom"/>
            <w:tcBorders>
              <w:right w:val="single" w:sz="8" w:color="FEFEFE"/>
            </w:tcBorders>
            <w:vMerge w:val="continue"/>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40" w:type="dxa"/>
            <w:vAlign w:val="bottom"/>
            <w:shd w:val="clear" w:color="auto" w:fill="B2B2B2"/>
          </w:tcPr>
          <w:p>
            <w:pPr>
              <w:spacing w:after="0"/>
              <w:rPr>
                <w:sz w:val="17"/>
                <w:szCs w:val="17"/>
                <w:color w:val="auto"/>
              </w:rPr>
            </w:pPr>
          </w:p>
        </w:tc>
        <w:tc>
          <w:tcPr>
            <w:tcW w:w="80" w:type="dxa"/>
            <w:vAlign w:val="bottom"/>
            <w:tcBorders>
              <w:right w:val="single" w:sz="8" w:color="FEFEFE"/>
            </w:tcBorders>
            <w:vMerge w:val="continue"/>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60" w:type="dxa"/>
            <w:vAlign w:val="bottom"/>
            <w:shd w:val="clear" w:color="auto" w:fill="B2B2B2"/>
          </w:tcPr>
          <w:p>
            <w:pPr>
              <w:spacing w:after="0"/>
              <w:rPr>
                <w:sz w:val="17"/>
                <w:szCs w:val="17"/>
                <w:color w:val="auto"/>
              </w:rPr>
            </w:pPr>
          </w:p>
        </w:tc>
        <w:tc>
          <w:tcPr>
            <w:tcW w:w="80" w:type="dxa"/>
            <w:vAlign w:val="bottom"/>
            <w:tcBorders>
              <w:right w:val="single" w:sz="8" w:color="FEFEFE"/>
            </w:tcBorders>
            <w:vMerge w:val="continue"/>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60" w:type="dxa"/>
            <w:vAlign w:val="bottom"/>
            <w:shd w:val="clear" w:color="auto" w:fill="B2B2B2"/>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92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404040"/>
              </w:rPr>
              <w:t>Micron Technology, Inc.</w:t>
            </w:r>
          </w:p>
        </w:tc>
        <w:tc>
          <w:tcPr>
            <w:tcW w:w="480" w:type="dxa"/>
            <w:vAlign w:val="bottom"/>
            <w:tcBorders>
              <w:bottom w:val="single" w:sz="8" w:color="7F7F7F"/>
            </w:tcBorders>
          </w:tcPr>
          <w:p>
            <w:pPr>
              <w:spacing w:after="0"/>
              <w:rPr>
                <w:sz w:val="16"/>
                <w:szCs w:val="16"/>
                <w:color w:val="auto"/>
              </w:rPr>
            </w:pPr>
          </w:p>
        </w:tc>
        <w:tc>
          <w:tcPr>
            <w:tcW w:w="760" w:type="dxa"/>
            <w:vAlign w:val="bottom"/>
            <w:tcBorders>
              <w:bottom w:val="single" w:sz="8" w:color="7F7F7F"/>
            </w:tcBorders>
          </w:tcPr>
          <w:p>
            <w:pPr>
              <w:spacing w:after="0"/>
              <w:rPr>
                <w:sz w:val="16"/>
                <w:szCs w:val="16"/>
                <w:color w:val="auto"/>
              </w:rPr>
            </w:pPr>
          </w:p>
        </w:tc>
        <w:tc>
          <w:tcPr>
            <w:tcW w:w="18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660" w:type="dxa"/>
            <w:vAlign w:val="bottom"/>
            <w:tcBorders>
              <w:bottom w:val="single" w:sz="8" w:color="7F7F7F"/>
            </w:tcBorders>
          </w:tcPr>
          <w:p>
            <w:pPr>
              <w:spacing w:after="0"/>
              <w:rPr>
                <w:sz w:val="16"/>
                <w:szCs w:val="16"/>
                <w:color w:val="auto"/>
              </w:rPr>
            </w:pPr>
          </w:p>
        </w:tc>
        <w:tc>
          <w:tcPr>
            <w:tcW w:w="120" w:type="dxa"/>
            <w:vAlign w:val="bottom"/>
            <w:tcBorders>
              <w:bottom w:val="single" w:sz="8" w:color="7F7F7F"/>
            </w:tcBorders>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right w:val="single" w:sz="8" w:color="B2B2B2"/>
            </w:tcBorders>
            <w:shd w:val="clear" w:color="auto" w:fill="B2B2B2"/>
          </w:tcPr>
          <w:p>
            <w:pPr>
              <w:spacing w:after="0"/>
              <w:rPr>
                <w:sz w:val="16"/>
                <w:szCs w:val="16"/>
                <w:color w:val="auto"/>
              </w:rPr>
            </w:pPr>
          </w:p>
        </w:tc>
        <w:tc>
          <w:tcPr>
            <w:tcW w:w="20" w:type="dxa"/>
            <w:vAlign w:val="bottom"/>
            <w:tcBorders>
              <w:bottom w:val="single" w:sz="8" w:color="7F7F7F"/>
            </w:tcBorders>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180" w:type="dxa"/>
            <w:vAlign w:val="bottom"/>
            <w:tcBorders>
              <w:bottom w:val="single" w:sz="8" w:color="7F7F7F"/>
            </w:tcBorders>
          </w:tcPr>
          <w:p>
            <w:pPr>
              <w:spacing w:after="0"/>
              <w:rPr>
                <w:sz w:val="16"/>
                <w:szCs w:val="16"/>
                <w:color w:val="auto"/>
              </w:rPr>
            </w:pPr>
          </w:p>
        </w:tc>
        <w:tc>
          <w:tcPr>
            <w:tcW w:w="140" w:type="dxa"/>
            <w:vAlign w:val="bottom"/>
            <w:tcBorders>
              <w:bottom w:val="single" w:sz="8" w:color="7F7F7F"/>
            </w:tcBorders>
            <w:shd w:val="clear" w:color="auto" w:fill="B2B2B2"/>
          </w:tcPr>
          <w:p>
            <w:pPr>
              <w:spacing w:after="0"/>
              <w:rPr>
                <w:sz w:val="16"/>
                <w:szCs w:val="16"/>
                <w:color w:val="auto"/>
              </w:rPr>
            </w:pPr>
          </w:p>
        </w:tc>
        <w:tc>
          <w:tcPr>
            <w:tcW w:w="10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20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140" w:type="dxa"/>
            <w:vAlign w:val="bottom"/>
            <w:tcBorders>
              <w:bottom w:val="single" w:sz="8" w:color="7F7F7F"/>
            </w:tcBorders>
          </w:tcPr>
          <w:p>
            <w:pPr>
              <w:spacing w:after="0"/>
              <w:rPr>
                <w:sz w:val="16"/>
                <w:szCs w:val="16"/>
                <w:color w:val="auto"/>
              </w:rPr>
            </w:pPr>
          </w:p>
        </w:tc>
        <w:tc>
          <w:tcPr>
            <w:tcW w:w="1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14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tcPr>
          <w:p>
            <w:pPr>
              <w:spacing w:after="0"/>
              <w:rPr>
                <w:sz w:val="16"/>
                <w:szCs w:val="16"/>
                <w:color w:val="auto"/>
              </w:rPr>
            </w:pPr>
          </w:p>
        </w:tc>
        <w:tc>
          <w:tcPr>
            <w:tcW w:w="18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920" w:type="dxa"/>
            <w:vAlign w:val="bottom"/>
          </w:tcPr>
          <w:p>
            <w:pPr>
              <w:ind w:left="60"/>
              <w:spacing w:after="0"/>
              <w:rPr>
                <w:sz w:val="20"/>
                <w:szCs w:val="20"/>
                <w:color w:val="auto"/>
              </w:rPr>
            </w:pPr>
            <w:r>
              <w:rPr>
                <w:rFonts w:ascii="Arial" w:cs="Arial" w:eastAsia="Arial" w:hAnsi="Arial"/>
                <w:sz w:val="14"/>
                <w:szCs w:val="14"/>
                <w:b w:val="1"/>
                <w:bCs w:val="1"/>
                <w:color w:val="404040"/>
              </w:rPr>
              <w:t>Avid Modjtabai</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right w:val="single" w:sz="8" w:color="B2B2B2"/>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0" w:type="dxa"/>
            <w:vAlign w:val="bottom"/>
            <w:tcBorders>
              <w:right w:val="single" w:sz="8" w:color="FEFEFE"/>
            </w:tcBorders>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vMerge w:val="restart"/>
          </w:tcPr>
          <w:p>
            <w:pPr>
              <w:ind w:left="100"/>
              <w:spacing w:after="0"/>
              <w:rPr>
                <w:sz w:val="20"/>
                <w:szCs w:val="20"/>
                <w:color w:val="auto"/>
              </w:rPr>
            </w:pPr>
            <w:r>
              <w:rPr>
                <w:rFonts w:ascii="Arial" w:cs="Arial" w:eastAsia="Arial" w:hAnsi="Arial"/>
                <w:sz w:val="25"/>
                <w:szCs w:val="25"/>
                <w:color w:val="auto"/>
                <w:w w:val="90"/>
              </w:rPr>
              <w:t>•</w:t>
            </w: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80" w:type="dxa"/>
            <w:vAlign w:val="bottom"/>
            <w:tcBorders>
              <w:right w:val="single" w:sz="8" w:color="FEFEFE"/>
            </w:tcBorders>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25"/>
                <w:szCs w:val="25"/>
                <w:color w:val="auto"/>
              </w:rPr>
              <w:t>•</w:t>
            </w: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920" w:type="dxa"/>
            <w:vAlign w:val="bottom"/>
          </w:tcPr>
          <w:p>
            <w:pPr>
              <w:ind w:left="60"/>
              <w:spacing w:after="0" w:line="145" w:lineRule="exact"/>
              <w:rPr>
                <w:sz w:val="20"/>
                <w:szCs w:val="20"/>
                <w:color w:val="auto"/>
              </w:rPr>
            </w:pPr>
            <w:r>
              <w:rPr>
                <w:rFonts w:ascii="Arial" w:cs="Arial" w:eastAsia="Arial" w:hAnsi="Arial"/>
                <w:sz w:val="14"/>
                <w:szCs w:val="14"/>
                <w:color w:val="404040"/>
              </w:rPr>
              <w:t>Former Senior Executive Vice President,</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right w:val="single" w:sz="8" w:color="B2B2B2"/>
            </w:tcBorders>
            <w:shd w:val="clear" w:color="auto" w:fill="B2B2B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shd w:val="clear" w:color="auto" w:fill="B2B2B2"/>
          </w:tcPr>
          <w:p>
            <w:pPr>
              <w:spacing w:after="0"/>
              <w:rPr>
                <w:sz w:val="12"/>
                <w:szCs w:val="12"/>
                <w:color w:val="auto"/>
              </w:rPr>
            </w:pPr>
          </w:p>
        </w:tc>
        <w:tc>
          <w:tcPr>
            <w:tcW w:w="100" w:type="dxa"/>
            <w:vAlign w:val="bottom"/>
            <w:tcBorders>
              <w:right w:val="single" w:sz="8" w:color="FEFEFE"/>
            </w:tcBorders>
            <w:shd w:val="clear" w:color="auto" w:fill="B2B2B2"/>
          </w:tcPr>
          <w:p>
            <w:pPr>
              <w:spacing w:after="0"/>
              <w:rPr>
                <w:sz w:val="12"/>
                <w:szCs w:val="12"/>
                <w:color w:val="auto"/>
              </w:rPr>
            </w:pPr>
          </w:p>
        </w:tc>
        <w:tc>
          <w:tcPr>
            <w:tcW w:w="200" w:type="dxa"/>
            <w:vAlign w:val="bottom"/>
            <w:shd w:val="clear" w:color="auto" w:fill="B2B2B2"/>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60" w:type="dxa"/>
            <w:vAlign w:val="bottom"/>
            <w:shd w:val="clear" w:color="auto" w:fill="B2B2B2"/>
          </w:tcPr>
          <w:p>
            <w:pPr>
              <w:spacing w:after="0"/>
              <w:rPr>
                <w:sz w:val="12"/>
                <w:szCs w:val="12"/>
                <w:color w:val="auto"/>
              </w:rPr>
            </w:pPr>
          </w:p>
        </w:tc>
        <w:tc>
          <w:tcPr>
            <w:tcW w:w="80" w:type="dxa"/>
            <w:vAlign w:val="bottom"/>
            <w:tcBorders>
              <w:right w:val="single" w:sz="8" w:color="FEFEFE"/>
            </w:tcBorders>
            <w:shd w:val="clear" w:color="auto" w:fill="B2B2B2"/>
          </w:tcPr>
          <w:p>
            <w:pPr>
              <w:spacing w:after="0"/>
              <w:rPr>
                <w:sz w:val="12"/>
                <w:szCs w:val="12"/>
                <w:color w:val="auto"/>
              </w:rPr>
            </w:pPr>
          </w:p>
        </w:tc>
        <w:tc>
          <w:tcPr>
            <w:tcW w:w="200" w:type="dxa"/>
            <w:vAlign w:val="bottom"/>
            <w:shd w:val="clear" w:color="auto" w:fill="B2B2B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shd w:val="clear" w:color="auto" w:fill="B2B2B2"/>
          </w:tcPr>
          <w:p>
            <w:pPr>
              <w:spacing w:after="0"/>
              <w:rPr>
                <w:sz w:val="12"/>
                <w:szCs w:val="12"/>
                <w:color w:val="auto"/>
              </w:rPr>
            </w:pPr>
          </w:p>
        </w:tc>
        <w:tc>
          <w:tcPr>
            <w:tcW w:w="40" w:type="dxa"/>
            <w:vAlign w:val="bottom"/>
            <w:shd w:val="clear" w:color="auto" w:fill="B2B2B2"/>
          </w:tcPr>
          <w:p>
            <w:pPr>
              <w:spacing w:after="0"/>
              <w:rPr>
                <w:sz w:val="12"/>
                <w:szCs w:val="12"/>
                <w:color w:val="auto"/>
              </w:rPr>
            </w:pPr>
          </w:p>
        </w:tc>
        <w:tc>
          <w:tcPr>
            <w:tcW w:w="80" w:type="dxa"/>
            <w:vAlign w:val="bottom"/>
            <w:tcBorders>
              <w:right w:val="single" w:sz="8" w:color="FEFEFE"/>
            </w:tcBorders>
            <w:shd w:val="clear" w:color="auto" w:fill="B2B2B2"/>
          </w:tcPr>
          <w:p>
            <w:pPr>
              <w:spacing w:after="0"/>
              <w:rPr>
                <w:sz w:val="12"/>
                <w:szCs w:val="12"/>
                <w:color w:val="auto"/>
              </w:rPr>
            </w:pPr>
          </w:p>
        </w:tc>
        <w:tc>
          <w:tcPr>
            <w:tcW w:w="200" w:type="dxa"/>
            <w:vAlign w:val="bottom"/>
            <w:shd w:val="clear" w:color="auto" w:fill="B2B2B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60" w:type="dxa"/>
            <w:vAlign w:val="bottom"/>
            <w:shd w:val="clear" w:color="auto" w:fill="B2B2B2"/>
          </w:tcPr>
          <w:p>
            <w:pPr>
              <w:spacing w:after="0"/>
              <w:rPr>
                <w:sz w:val="12"/>
                <w:szCs w:val="12"/>
                <w:color w:val="auto"/>
              </w:rPr>
            </w:pPr>
          </w:p>
        </w:tc>
        <w:tc>
          <w:tcPr>
            <w:tcW w:w="80" w:type="dxa"/>
            <w:vAlign w:val="bottom"/>
            <w:tcBorders>
              <w:right w:val="single" w:sz="8" w:color="FEFEFE"/>
            </w:tcBorders>
            <w:shd w:val="clear" w:color="auto" w:fill="B2B2B2"/>
          </w:tcPr>
          <w:p>
            <w:pPr>
              <w:spacing w:after="0"/>
              <w:rPr>
                <w:sz w:val="12"/>
                <w:szCs w:val="12"/>
                <w:color w:val="auto"/>
              </w:rPr>
            </w:pPr>
          </w:p>
        </w:tc>
        <w:tc>
          <w:tcPr>
            <w:tcW w:w="200" w:type="dxa"/>
            <w:vAlign w:val="bottom"/>
            <w:shd w:val="clear" w:color="auto" w:fill="B2B2B2"/>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shd w:val="clear" w:color="auto" w:fill="B2B2B2"/>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920" w:type="dxa"/>
            <w:vAlign w:val="bottom"/>
          </w:tcPr>
          <w:p>
            <w:pPr>
              <w:ind w:left="40"/>
              <w:spacing w:after="0" w:line="207" w:lineRule="exact"/>
              <w:rPr>
                <w:sz w:val="20"/>
                <w:szCs w:val="20"/>
                <w:color w:val="auto"/>
              </w:rPr>
            </w:pPr>
            <w:r>
              <w:rPr>
                <w:rFonts w:ascii="Arial" w:cs="Arial" w:eastAsia="Arial" w:hAnsi="Arial"/>
                <w:sz w:val="23"/>
                <w:szCs w:val="23"/>
                <w:color w:val="404040"/>
                <w:vertAlign w:val="superscript"/>
              </w:rPr>
              <w:t>​</w:t>
            </w:r>
            <w:r>
              <w:rPr>
                <w:rFonts w:ascii="Arial" w:cs="Arial" w:eastAsia="Arial" w:hAnsi="Arial"/>
                <w:sz w:val="13"/>
                <w:szCs w:val="13"/>
                <w:color w:val="404040"/>
              </w:rPr>
              <w:t>Payments, Virtual Solutions and Innovation</w:t>
            </w:r>
          </w:p>
        </w:tc>
        <w:tc>
          <w:tcPr>
            <w:tcW w:w="480" w:type="dxa"/>
            <w:vAlign w:val="bottom"/>
          </w:tcPr>
          <w:p>
            <w:pPr>
              <w:ind w:left="180"/>
              <w:spacing w:after="0"/>
              <w:rPr>
                <w:sz w:val="20"/>
                <w:szCs w:val="20"/>
                <w:color w:val="auto"/>
              </w:rPr>
            </w:pPr>
            <w:r>
              <w:rPr>
                <w:rFonts w:ascii="Arial" w:cs="Arial" w:eastAsia="Arial" w:hAnsi="Arial"/>
                <w:sz w:val="14"/>
                <w:szCs w:val="14"/>
                <w:color w:val="404040"/>
              </w:rPr>
              <w:t>63</w:t>
            </w:r>
          </w:p>
        </w:tc>
        <w:tc>
          <w:tcPr>
            <w:tcW w:w="760" w:type="dxa"/>
            <w:vAlign w:val="bottom"/>
          </w:tcPr>
          <w:p>
            <w:pPr>
              <w:jc w:val="center"/>
              <w:spacing w:after="0"/>
              <w:rPr>
                <w:sz w:val="20"/>
                <w:szCs w:val="20"/>
                <w:color w:val="auto"/>
              </w:rPr>
            </w:pPr>
            <w:r>
              <w:rPr>
                <w:rFonts w:ascii="Arial" w:cs="Arial" w:eastAsia="Arial" w:hAnsi="Arial"/>
                <w:sz w:val="14"/>
                <w:szCs w:val="14"/>
                <w:color w:val="404040"/>
              </w:rPr>
              <w:t>2014</w:t>
            </w:r>
          </w:p>
        </w:tc>
        <w:tc>
          <w:tcPr>
            <w:tcW w:w="180" w:type="dxa"/>
            <w:vAlign w:val="bottom"/>
          </w:tcPr>
          <w:p>
            <w:pPr>
              <w:spacing w:after="0"/>
              <w:rPr>
                <w:sz w:val="20"/>
                <w:szCs w:val="20"/>
                <w:color w:val="auto"/>
              </w:rPr>
            </w:pPr>
            <w:r>
              <w:rPr>
                <w:rFonts w:ascii="Arial" w:cs="Arial" w:eastAsia="Arial" w:hAnsi="Arial"/>
                <w:sz w:val="14"/>
                <w:szCs w:val="14"/>
                <w:color w:val="404040"/>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Arial" w:cs="Arial" w:eastAsia="Arial" w:hAnsi="Arial"/>
                <w:sz w:val="14"/>
                <w:szCs w:val="14"/>
                <w:color w:val="404040"/>
              </w:rPr>
              <w:t>​YES</w:t>
            </w:r>
          </w:p>
        </w:tc>
        <w:tc>
          <w:tcPr>
            <w:tcW w:w="180" w:type="dxa"/>
            <w:vAlign w:val="bottom"/>
            <w:gridSpan w:val="2"/>
          </w:tcPr>
          <w:p>
            <w:pPr>
              <w:jc w:val="right"/>
              <w:spacing w:after="0"/>
              <w:rPr>
                <w:sz w:val="20"/>
                <w:szCs w:val="20"/>
                <w:color w:val="auto"/>
              </w:rPr>
            </w:pPr>
            <w:r>
              <w:rPr>
                <w:rFonts w:ascii="Arial" w:cs="Arial" w:eastAsia="Arial" w:hAnsi="Arial"/>
                <w:sz w:val="14"/>
                <w:szCs w:val="14"/>
                <w:color w:val="404040"/>
              </w:rPr>
              <w:t>​​ ​</w:t>
            </w:r>
          </w:p>
        </w:tc>
        <w:tc>
          <w:tcPr>
            <w:tcW w:w="160" w:type="dxa"/>
            <w:vAlign w:val="bottom"/>
            <w:tcBorders>
              <w:right w:val="single" w:sz="8" w:color="B2B2B2"/>
            </w:tcBorders>
            <w:shd w:val="clear" w:color="auto" w:fill="B2B2B2"/>
          </w:tcPr>
          <w:p>
            <w:pPr>
              <w:spacing w:after="0"/>
              <w:rPr>
                <w:sz w:val="17"/>
                <w:szCs w:val="17"/>
                <w:color w:val="auto"/>
              </w:rPr>
            </w:pPr>
          </w:p>
        </w:tc>
        <w:tc>
          <w:tcPr>
            <w:tcW w:w="80" w:type="dxa"/>
            <w:vAlign w:val="bottom"/>
            <w:gridSpan w:val="2"/>
          </w:tcPr>
          <w:p>
            <w:pPr>
              <w:spacing w:after="0"/>
              <w:rPr>
                <w:sz w:val="20"/>
                <w:szCs w:val="20"/>
                <w:color w:val="auto"/>
              </w:rPr>
            </w:pPr>
            <w:r>
              <w:rPr>
                <w:rFonts w:ascii="Arial" w:cs="Arial" w:eastAsia="Arial" w:hAnsi="Arial"/>
                <w:sz w:val="14"/>
                <w:szCs w:val="14"/>
                <w:color w:val="404040"/>
              </w:rPr>
              <w:t>​</w:t>
            </w:r>
          </w:p>
        </w:tc>
        <w:tc>
          <w:tcPr>
            <w:tcW w:w="180" w:type="dxa"/>
            <w:vAlign w:val="bottom"/>
          </w:tcPr>
          <w:p>
            <w:pPr>
              <w:spacing w:after="0"/>
              <w:rPr>
                <w:sz w:val="17"/>
                <w:szCs w:val="17"/>
                <w:color w:val="auto"/>
              </w:rPr>
            </w:pPr>
          </w:p>
        </w:tc>
        <w:tc>
          <w:tcPr>
            <w:tcW w:w="140" w:type="dxa"/>
            <w:vAlign w:val="bottom"/>
            <w:shd w:val="clear" w:color="auto" w:fill="B2B2B2"/>
          </w:tcPr>
          <w:p>
            <w:pPr>
              <w:spacing w:after="0"/>
              <w:rPr>
                <w:sz w:val="17"/>
                <w:szCs w:val="17"/>
                <w:color w:val="auto"/>
              </w:rPr>
            </w:pPr>
          </w:p>
        </w:tc>
        <w:tc>
          <w:tcPr>
            <w:tcW w:w="100" w:type="dxa"/>
            <w:vAlign w:val="bottom"/>
            <w:tcBorders>
              <w:right w:val="single" w:sz="8" w:color="FEFEFE"/>
            </w:tcBorders>
            <w:shd w:val="clear" w:color="auto" w:fill="B2B2B2"/>
          </w:tcPr>
          <w:p>
            <w:pPr>
              <w:spacing w:after="0"/>
              <w:rPr>
                <w:sz w:val="20"/>
                <w:szCs w:val="20"/>
                <w:color w:val="auto"/>
              </w:rPr>
            </w:pPr>
            <w:r>
              <w:rPr>
                <w:rFonts w:ascii="Arial" w:cs="Arial" w:eastAsia="Arial" w:hAnsi="Arial"/>
                <w:sz w:val="14"/>
                <w:szCs w:val="14"/>
                <w:color w:val="404040"/>
              </w:rPr>
              <w:t>​</w:t>
            </w:r>
          </w:p>
        </w:tc>
        <w:tc>
          <w:tcPr>
            <w:tcW w:w="200" w:type="dxa"/>
            <w:vAlign w:val="bottom"/>
            <w:shd w:val="clear" w:color="auto" w:fill="B2B2B2"/>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color w:val="404040"/>
              </w:rPr>
              <w:t>​</w:t>
            </w:r>
          </w:p>
        </w:tc>
        <w:tc>
          <w:tcPr>
            <w:tcW w:w="200" w:type="dxa"/>
            <w:vAlign w:val="bottom"/>
            <w:vMerge w:val="continue"/>
          </w:tcPr>
          <w:p>
            <w:pPr>
              <w:spacing w:after="0"/>
              <w:rPr>
                <w:sz w:val="17"/>
                <w:szCs w:val="17"/>
                <w:color w:val="auto"/>
              </w:rPr>
            </w:pPr>
          </w:p>
        </w:tc>
        <w:tc>
          <w:tcPr>
            <w:tcW w:w="160" w:type="dxa"/>
            <w:vAlign w:val="bottom"/>
            <w:shd w:val="clear" w:color="auto" w:fill="B2B2B2"/>
          </w:tcPr>
          <w:p>
            <w:pPr>
              <w:spacing w:after="0"/>
              <w:rPr>
                <w:sz w:val="17"/>
                <w:szCs w:val="17"/>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
                <w:szCs w:val="1"/>
                <w:color w:val="404040"/>
                <w:w w:val="4294942296"/>
              </w:rPr>
              <w:t>​</w:t>
            </w:r>
          </w:p>
        </w:tc>
        <w:tc>
          <w:tcPr>
            <w:tcW w:w="200" w:type="dxa"/>
            <w:vAlign w:val="bottom"/>
            <w:shd w:val="clear" w:color="auto" w:fill="B2B2B2"/>
          </w:tcPr>
          <w:p>
            <w:pPr>
              <w:spacing w:after="0"/>
              <w:rPr>
                <w:sz w:val="17"/>
                <w:szCs w:val="17"/>
                <w:color w:val="auto"/>
              </w:rPr>
            </w:pPr>
          </w:p>
        </w:tc>
        <w:tc>
          <w:tcPr>
            <w:tcW w:w="120" w:type="dxa"/>
            <w:vAlign w:val="bottom"/>
            <w:gridSpan w:val="2"/>
          </w:tcPr>
          <w:p>
            <w:pPr>
              <w:spacing w:after="0"/>
              <w:rPr>
                <w:sz w:val="20"/>
                <w:szCs w:val="20"/>
                <w:color w:val="auto"/>
              </w:rPr>
            </w:pPr>
            <w:r>
              <w:rPr>
                <w:rFonts w:ascii="Arial" w:cs="Arial" w:eastAsia="Arial" w:hAnsi="Arial"/>
                <w:sz w:val="14"/>
                <w:szCs w:val="14"/>
                <w:color w:val="404040"/>
              </w:rPr>
              <w:t>​</w:t>
            </w:r>
          </w:p>
        </w:tc>
        <w:tc>
          <w:tcPr>
            <w:tcW w:w="140" w:type="dxa"/>
            <w:vAlign w:val="bottom"/>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40" w:type="dxa"/>
            <w:vAlign w:val="bottom"/>
            <w:shd w:val="clear" w:color="auto" w:fill="B2B2B2"/>
          </w:tcPr>
          <w:p>
            <w:pPr>
              <w:spacing w:after="0"/>
              <w:rPr>
                <w:sz w:val="17"/>
                <w:szCs w:val="17"/>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200" w:type="dxa"/>
            <w:vAlign w:val="bottom"/>
            <w:shd w:val="clear" w:color="auto" w:fill="B2B2B2"/>
          </w:tcPr>
          <w:p>
            <w:pPr>
              <w:spacing w:after="0"/>
              <w:rPr>
                <w:sz w:val="17"/>
                <w:szCs w:val="17"/>
                <w:color w:val="auto"/>
              </w:rPr>
            </w:pPr>
          </w:p>
        </w:tc>
        <w:tc>
          <w:tcPr>
            <w:tcW w:w="120" w:type="dxa"/>
            <w:vAlign w:val="bottom"/>
            <w:gridSpan w:val="2"/>
          </w:tcPr>
          <w:p>
            <w:pPr>
              <w:spacing w:after="0"/>
              <w:rPr>
                <w:sz w:val="20"/>
                <w:szCs w:val="20"/>
                <w:color w:val="auto"/>
              </w:rPr>
            </w:pPr>
            <w:r>
              <w:rPr>
                <w:rFonts w:ascii="Arial" w:cs="Arial" w:eastAsia="Arial" w:hAnsi="Arial"/>
                <w:sz w:val="14"/>
                <w:szCs w:val="14"/>
                <w:color w:val="404040"/>
              </w:rPr>
              <w:t>​</w:t>
            </w:r>
          </w:p>
        </w:tc>
        <w:tc>
          <w:tcPr>
            <w:tcW w:w="140" w:type="dxa"/>
            <w:vAlign w:val="bottom"/>
            <w:vMerge w:val="continue"/>
          </w:tcPr>
          <w:p>
            <w:pPr>
              <w:spacing w:after="0"/>
              <w:rPr>
                <w:sz w:val="17"/>
                <w:szCs w:val="17"/>
                <w:color w:val="auto"/>
              </w:rPr>
            </w:pPr>
          </w:p>
        </w:tc>
        <w:tc>
          <w:tcPr>
            <w:tcW w:w="160" w:type="dxa"/>
            <w:vAlign w:val="bottom"/>
            <w:shd w:val="clear" w:color="auto" w:fill="B2B2B2"/>
          </w:tcPr>
          <w:p>
            <w:pPr>
              <w:spacing w:after="0"/>
              <w:rPr>
                <w:sz w:val="17"/>
                <w:szCs w:val="17"/>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200" w:type="dxa"/>
            <w:vAlign w:val="bottom"/>
            <w:shd w:val="clear" w:color="auto" w:fill="B2B2B2"/>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4"/>
                <w:szCs w:val="14"/>
                <w:color w:val="404040"/>
              </w:rPr>
              <w:t>​</w:t>
            </w:r>
          </w:p>
        </w:tc>
        <w:tc>
          <w:tcPr>
            <w:tcW w:w="180" w:type="dxa"/>
            <w:vAlign w:val="bottom"/>
          </w:tcPr>
          <w:p>
            <w:pPr>
              <w:spacing w:after="0"/>
              <w:rPr>
                <w:sz w:val="17"/>
                <w:szCs w:val="17"/>
                <w:color w:val="auto"/>
              </w:rPr>
            </w:pPr>
          </w:p>
        </w:tc>
        <w:tc>
          <w:tcPr>
            <w:tcW w:w="160" w:type="dxa"/>
            <w:vAlign w:val="bottom"/>
            <w:shd w:val="clear" w:color="auto" w:fill="B2B2B2"/>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94"/>
        </w:trPr>
        <w:tc>
          <w:tcPr>
            <w:tcW w:w="292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404040"/>
              </w:rPr>
              <w:t>Group, Wells Fargo</w:t>
            </w:r>
          </w:p>
        </w:tc>
        <w:tc>
          <w:tcPr>
            <w:tcW w:w="480" w:type="dxa"/>
            <w:vAlign w:val="bottom"/>
            <w:tcBorders>
              <w:bottom w:val="single" w:sz="8" w:color="7F7F7F"/>
            </w:tcBorders>
          </w:tcPr>
          <w:p>
            <w:pPr>
              <w:spacing w:after="0"/>
              <w:rPr>
                <w:sz w:val="16"/>
                <w:szCs w:val="16"/>
                <w:color w:val="auto"/>
              </w:rPr>
            </w:pPr>
          </w:p>
        </w:tc>
        <w:tc>
          <w:tcPr>
            <w:tcW w:w="760" w:type="dxa"/>
            <w:vAlign w:val="bottom"/>
            <w:tcBorders>
              <w:bottom w:val="single" w:sz="8" w:color="7F7F7F"/>
            </w:tcBorders>
          </w:tcPr>
          <w:p>
            <w:pPr>
              <w:spacing w:after="0"/>
              <w:rPr>
                <w:sz w:val="16"/>
                <w:szCs w:val="16"/>
                <w:color w:val="auto"/>
              </w:rPr>
            </w:pPr>
          </w:p>
        </w:tc>
        <w:tc>
          <w:tcPr>
            <w:tcW w:w="18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660" w:type="dxa"/>
            <w:vAlign w:val="bottom"/>
            <w:tcBorders>
              <w:bottom w:val="single" w:sz="8" w:color="7F7F7F"/>
            </w:tcBorders>
          </w:tcPr>
          <w:p>
            <w:pPr>
              <w:spacing w:after="0"/>
              <w:rPr>
                <w:sz w:val="16"/>
                <w:szCs w:val="16"/>
                <w:color w:val="auto"/>
              </w:rPr>
            </w:pPr>
          </w:p>
        </w:tc>
        <w:tc>
          <w:tcPr>
            <w:tcW w:w="120" w:type="dxa"/>
            <w:vAlign w:val="bottom"/>
            <w:tcBorders>
              <w:bottom w:val="single" w:sz="8" w:color="7F7F7F"/>
            </w:tcBorders>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right w:val="single" w:sz="8" w:color="B2B2B2"/>
            </w:tcBorders>
            <w:shd w:val="clear" w:color="auto" w:fill="B2B2B2"/>
          </w:tcPr>
          <w:p>
            <w:pPr>
              <w:spacing w:after="0"/>
              <w:rPr>
                <w:sz w:val="16"/>
                <w:szCs w:val="16"/>
                <w:color w:val="auto"/>
              </w:rPr>
            </w:pPr>
          </w:p>
        </w:tc>
        <w:tc>
          <w:tcPr>
            <w:tcW w:w="20" w:type="dxa"/>
            <w:vAlign w:val="bottom"/>
            <w:tcBorders>
              <w:bottom w:val="single" w:sz="8" w:color="7F7F7F"/>
            </w:tcBorders>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180" w:type="dxa"/>
            <w:vAlign w:val="bottom"/>
            <w:tcBorders>
              <w:bottom w:val="single" w:sz="8" w:color="7F7F7F"/>
            </w:tcBorders>
          </w:tcPr>
          <w:p>
            <w:pPr>
              <w:spacing w:after="0"/>
              <w:rPr>
                <w:sz w:val="16"/>
                <w:szCs w:val="16"/>
                <w:color w:val="auto"/>
              </w:rPr>
            </w:pPr>
          </w:p>
        </w:tc>
        <w:tc>
          <w:tcPr>
            <w:tcW w:w="140" w:type="dxa"/>
            <w:vAlign w:val="bottom"/>
            <w:tcBorders>
              <w:bottom w:val="single" w:sz="8" w:color="7F7F7F"/>
            </w:tcBorders>
            <w:shd w:val="clear" w:color="auto" w:fill="B2B2B2"/>
          </w:tcPr>
          <w:p>
            <w:pPr>
              <w:spacing w:after="0"/>
              <w:rPr>
                <w:sz w:val="16"/>
                <w:szCs w:val="16"/>
                <w:color w:val="auto"/>
              </w:rPr>
            </w:pPr>
          </w:p>
        </w:tc>
        <w:tc>
          <w:tcPr>
            <w:tcW w:w="10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20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140" w:type="dxa"/>
            <w:vAlign w:val="bottom"/>
            <w:tcBorders>
              <w:bottom w:val="single" w:sz="8" w:color="7F7F7F"/>
            </w:tcBorders>
          </w:tcPr>
          <w:p>
            <w:pPr>
              <w:spacing w:after="0"/>
              <w:rPr>
                <w:sz w:val="16"/>
                <w:szCs w:val="16"/>
                <w:color w:val="auto"/>
              </w:rPr>
            </w:pPr>
          </w:p>
        </w:tc>
        <w:tc>
          <w:tcPr>
            <w:tcW w:w="1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14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tcPr>
          <w:p>
            <w:pPr>
              <w:spacing w:after="0"/>
              <w:rPr>
                <w:sz w:val="16"/>
                <w:szCs w:val="16"/>
                <w:color w:val="auto"/>
              </w:rPr>
            </w:pPr>
          </w:p>
        </w:tc>
        <w:tc>
          <w:tcPr>
            <w:tcW w:w="18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20" w:type="dxa"/>
            <w:vAlign w:val="bottom"/>
          </w:tcPr>
          <w:p>
            <w:pPr>
              <w:ind w:left="60"/>
              <w:spacing w:after="0"/>
              <w:rPr>
                <w:sz w:val="20"/>
                <w:szCs w:val="20"/>
                <w:color w:val="auto"/>
              </w:rPr>
            </w:pPr>
            <w:r>
              <w:rPr>
                <w:rFonts w:ascii="Arial" w:cs="Arial" w:eastAsia="Arial" w:hAnsi="Arial"/>
                <w:sz w:val="14"/>
                <w:szCs w:val="14"/>
                <w:b w:val="1"/>
                <w:bCs w:val="1"/>
                <w:color w:val="404040"/>
              </w:rPr>
              <w:t>Adalio T. Sanchez</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vMerge w:val="restart"/>
          </w:tcPr>
          <w:p>
            <w:pPr>
              <w:spacing w:after="0"/>
              <w:rPr>
                <w:sz w:val="20"/>
                <w:szCs w:val="20"/>
                <w:color w:val="auto"/>
              </w:rPr>
            </w:pPr>
            <w:r>
              <w:rPr>
                <w:rFonts w:ascii="Arial" w:cs="Arial" w:eastAsia="Arial" w:hAnsi="Arial"/>
                <w:sz w:val="25"/>
                <w:szCs w:val="2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spacing w:after="0"/>
              <w:rPr>
                <w:sz w:val="20"/>
                <w:szCs w:val="20"/>
                <w:color w:val="auto"/>
              </w:rPr>
            </w:pPr>
            <w:r>
              <w:rPr>
                <w:rFonts w:ascii="Arial" w:cs="Arial" w:eastAsia="Arial" w:hAnsi="Arial"/>
                <w:sz w:val="25"/>
                <w:szCs w:val="25"/>
                <w:color w:val="auto"/>
              </w:rPr>
              <w:t>​</w:t>
            </w:r>
            <w:r>
              <w:rPr>
                <w:rFonts w:ascii="Arial" w:cs="Arial" w:eastAsia="Arial" w:hAnsi="Arial"/>
                <w:sz w:val="14"/>
                <w:szCs w:val="14"/>
                <w:color w:val="404040"/>
              </w:rPr>
              <w:t>YES</w:t>
            </w:r>
          </w:p>
        </w:tc>
        <w:tc>
          <w:tcPr>
            <w:tcW w:w="180" w:type="dxa"/>
            <w:vAlign w:val="bottom"/>
            <w:gridSpan w:val="2"/>
            <w:vMerge w:val="restart"/>
          </w:tcPr>
          <w:p>
            <w:pPr>
              <w:jc w:val="right"/>
              <w:spacing w:after="0"/>
              <w:rPr>
                <w:sz w:val="20"/>
                <w:szCs w:val="20"/>
                <w:color w:val="auto"/>
              </w:rPr>
            </w:pPr>
            <w:r>
              <w:rPr>
                <w:rFonts w:ascii="Arial" w:cs="Arial" w:eastAsia="Arial" w:hAnsi="Arial"/>
                <w:sz w:val="25"/>
                <w:szCs w:val="25"/>
                <w:color w:val="auto"/>
              </w:rPr>
              <w:t>​​​</w:t>
            </w:r>
          </w:p>
        </w:tc>
        <w:tc>
          <w:tcPr>
            <w:tcW w:w="160" w:type="dxa"/>
            <w:vAlign w:val="bottom"/>
            <w:tcBorders>
              <w:right w:val="single" w:sz="8" w:color="B2B2B2"/>
            </w:tcBorders>
            <w:shd w:val="clear" w:color="auto" w:fill="B2B2B2"/>
          </w:tcPr>
          <w:p>
            <w:pPr>
              <w:spacing w:after="0"/>
              <w:rPr>
                <w:sz w:val="16"/>
                <w:szCs w:val="16"/>
                <w:color w:val="auto"/>
              </w:rPr>
            </w:pPr>
          </w:p>
        </w:tc>
        <w:tc>
          <w:tcPr>
            <w:tcW w:w="80" w:type="dxa"/>
            <w:vAlign w:val="bottom"/>
            <w:gridSpan w:val="2"/>
            <w:vMerge w:val="restart"/>
          </w:tcPr>
          <w:p>
            <w:pPr>
              <w:spacing w:after="0"/>
              <w:rPr>
                <w:sz w:val="20"/>
                <w:szCs w:val="20"/>
                <w:color w:val="auto"/>
              </w:rPr>
            </w:pPr>
            <w:r>
              <w:rPr>
                <w:rFonts w:ascii="Arial" w:cs="Arial" w:eastAsia="Arial" w:hAnsi="Arial"/>
                <w:sz w:val="25"/>
                <w:szCs w:val="25"/>
                <w:color w:val="auto"/>
              </w:rPr>
              <w:t>​</w:t>
            </w:r>
          </w:p>
        </w:tc>
        <w:tc>
          <w:tcPr>
            <w:tcW w:w="180" w:type="dxa"/>
            <w:vAlign w:val="bottom"/>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100" w:type="dxa"/>
            <w:vAlign w:val="bottom"/>
            <w:tcBorders>
              <w:right w:val="single" w:sz="8" w:color="FEFEFE"/>
            </w:tcBorders>
            <w:vMerge w:val="restart"/>
            <w:shd w:val="clear" w:color="auto" w:fill="B2B2B2"/>
          </w:tcPr>
          <w:p>
            <w:pPr>
              <w:spacing w:after="0"/>
              <w:rPr>
                <w:sz w:val="20"/>
                <w:szCs w:val="20"/>
                <w:color w:val="auto"/>
              </w:rPr>
            </w:pPr>
            <w:r>
              <w:rPr>
                <w:rFonts w:ascii="Arial" w:cs="Arial" w:eastAsia="Arial" w:hAnsi="Arial"/>
                <w:sz w:val="25"/>
                <w:szCs w:val="25"/>
                <w:color w:val="auto"/>
              </w:rPr>
              <w:t>​</w:t>
            </w:r>
          </w:p>
        </w:tc>
        <w:tc>
          <w:tcPr>
            <w:tcW w:w="200" w:type="dxa"/>
            <w:vAlign w:val="bottom"/>
            <w:shd w:val="clear" w:color="auto" w:fill="B2B2B2"/>
          </w:tcPr>
          <w:p>
            <w:pPr>
              <w:spacing w:after="0"/>
              <w:rPr>
                <w:sz w:val="16"/>
                <w:szCs w:val="16"/>
                <w:color w:val="auto"/>
              </w:rPr>
            </w:pPr>
          </w:p>
        </w:tc>
        <w:tc>
          <w:tcPr>
            <w:tcW w:w="60" w:type="dxa"/>
            <w:vAlign w:val="bottom"/>
            <w:vMerge w:val="restart"/>
          </w:tcPr>
          <w:p>
            <w:pPr>
              <w:spacing w:after="0"/>
              <w:rPr>
                <w:sz w:val="20"/>
                <w:szCs w:val="20"/>
                <w:color w:val="auto"/>
              </w:rPr>
            </w:pPr>
            <w:r>
              <w:rPr>
                <w:rFonts w:ascii="Arial" w:cs="Arial" w:eastAsia="Arial" w:hAnsi="Arial"/>
                <w:sz w:val="25"/>
                <w:szCs w:val="25"/>
                <w:color w:val="auto"/>
              </w:rPr>
              <w:t>​</w:t>
            </w:r>
          </w:p>
        </w:tc>
        <w:tc>
          <w:tcPr>
            <w:tcW w:w="200" w:type="dxa"/>
            <w:vAlign w:val="bottom"/>
            <w:vMerge w:val="restart"/>
          </w:tcPr>
          <w:p>
            <w:pPr>
              <w:ind w:left="120"/>
              <w:spacing w:after="0"/>
              <w:rPr>
                <w:sz w:val="20"/>
                <w:szCs w:val="20"/>
                <w:color w:val="auto"/>
              </w:rPr>
            </w:pPr>
            <w:r>
              <w:rPr>
                <w:rFonts w:ascii="Arial" w:cs="Arial" w:eastAsia="Arial" w:hAnsi="Arial"/>
                <w:sz w:val="24"/>
                <w:szCs w:val="24"/>
                <w:color w:val="auto"/>
                <w:w w:val="70"/>
              </w:rPr>
              <w:t>•</w:t>
            </w:r>
          </w:p>
        </w:tc>
        <w:tc>
          <w:tcPr>
            <w:tcW w:w="160" w:type="dxa"/>
            <w:vAlign w:val="bottom"/>
            <w:shd w:val="clear" w:color="auto" w:fill="B2B2B2"/>
          </w:tcPr>
          <w:p>
            <w:pPr>
              <w:spacing w:after="0"/>
              <w:rPr>
                <w:sz w:val="16"/>
                <w:szCs w:val="16"/>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200" w:type="dxa"/>
            <w:vAlign w:val="bottom"/>
            <w:shd w:val="clear" w:color="auto" w:fill="B2B2B2"/>
          </w:tcPr>
          <w:p>
            <w:pPr>
              <w:spacing w:after="0"/>
              <w:rPr>
                <w:sz w:val="16"/>
                <w:szCs w:val="16"/>
                <w:color w:val="auto"/>
              </w:rPr>
            </w:pPr>
          </w:p>
        </w:tc>
        <w:tc>
          <w:tcPr>
            <w:tcW w:w="120" w:type="dxa"/>
            <w:vAlign w:val="bottom"/>
            <w:gridSpan w:val="2"/>
            <w:vMerge w:val="restart"/>
          </w:tcPr>
          <w:p>
            <w:pPr>
              <w:spacing w:after="0"/>
              <w:rPr>
                <w:sz w:val="20"/>
                <w:szCs w:val="20"/>
                <w:color w:val="auto"/>
              </w:rPr>
            </w:pPr>
            <w:r>
              <w:rPr>
                <w:rFonts w:ascii="Arial" w:cs="Arial" w:eastAsia="Arial" w:hAnsi="Arial"/>
                <w:sz w:val="25"/>
                <w:szCs w:val="25"/>
                <w:color w:val="auto"/>
              </w:rPr>
              <w:t>​</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24"/>
                <w:szCs w:val="24"/>
                <w:color w:val="auto"/>
                <w:w w:val="70"/>
              </w:rPr>
              <w:t>◦</w:t>
            </w:r>
          </w:p>
        </w:tc>
        <w:tc>
          <w:tcPr>
            <w:tcW w:w="120" w:type="dxa"/>
            <w:vAlign w:val="bottom"/>
            <w:shd w:val="clear" w:color="auto" w:fill="B2B2B2"/>
          </w:tcPr>
          <w:p>
            <w:pPr>
              <w:spacing w:after="0"/>
              <w:rPr>
                <w:sz w:val="16"/>
                <w:szCs w:val="16"/>
                <w:color w:val="auto"/>
              </w:rPr>
            </w:pPr>
          </w:p>
        </w:tc>
        <w:tc>
          <w:tcPr>
            <w:tcW w:w="40" w:type="dxa"/>
            <w:vAlign w:val="bottom"/>
            <w:shd w:val="clear" w:color="auto" w:fill="B2B2B2"/>
          </w:tcPr>
          <w:p>
            <w:pPr>
              <w:spacing w:after="0"/>
              <w:rPr>
                <w:sz w:val="16"/>
                <w:szCs w:val="16"/>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200" w:type="dxa"/>
            <w:vAlign w:val="bottom"/>
            <w:shd w:val="clear" w:color="auto" w:fill="B2B2B2"/>
          </w:tcPr>
          <w:p>
            <w:pPr>
              <w:spacing w:after="0"/>
              <w:rPr>
                <w:sz w:val="16"/>
                <w:szCs w:val="16"/>
                <w:color w:val="auto"/>
              </w:rPr>
            </w:pPr>
          </w:p>
        </w:tc>
        <w:tc>
          <w:tcPr>
            <w:tcW w:w="120" w:type="dxa"/>
            <w:vAlign w:val="bottom"/>
            <w:gridSpan w:val="2"/>
            <w:vMerge w:val="restart"/>
          </w:tcPr>
          <w:p>
            <w:pPr>
              <w:spacing w:after="0"/>
              <w:rPr>
                <w:sz w:val="20"/>
                <w:szCs w:val="20"/>
                <w:color w:val="auto"/>
              </w:rPr>
            </w:pPr>
            <w:r>
              <w:rPr>
                <w:rFonts w:ascii="Arial" w:cs="Arial" w:eastAsia="Arial" w:hAnsi="Arial"/>
                <w:sz w:val="25"/>
                <w:szCs w:val="25"/>
                <w:color w:val="auto"/>
              </w:rPr>
              <w:t>​</w:t>
            </w:r>
          </w:p>
        </w:tc>
        <w:tc>
          <w:tcPr>
            <w:tcW w:w="140" w:type="dxa"/>
            <w:vAlign w:val="bottom"/>
          </w:tcPr>
          <w:p>
            <w:pPr>
              <w:spacing w:after="0"/>
              <w:rPr>
                <w:sz w:val="16"/>
                <w:szCs w:val="16"/>
                <w:color w:val="auto"/>
              </w:rPr>
            </w:pPr>
          </w:p>
        </w:tc>
        <w:tc>
          <w:tcPr>
            <w:tcW w:w="160" w:type="dxa"/>
            <w:vAlign w:val="bottom"/>
            <w:shd w:val="clear" w:color="auto" w:fill="B2B2B2"/>
          </w:tcPr>
          <w:p>
            <w:pPr>
              <w:spacing w:after="0"/>
              <w:rPr>
                <w:sz w:val="16"/>
                <w:szCs w:val="16"/>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200" w:type="dxa"/>
            <w:vAlign w:val="bottom"/>
            <w:shd w:val="clear" w:color="auto" w:fill="B2B2B2"/>
          </w:tcPr>
          <w:p>
            <w:pPr>
              <w:spacing w:after="0"/>
              <w:rPr>
                <w:sz w:val="16"/>
                <w:szCs w:val="16"/>
                <w:color w:val="auto"/>
              </w:rPr>
            </w:pPr>
          </w:p>
        </w:tc>
        <w:tc>
          <w:tcPr>
            <w:tcW w:w="80" w:type="dxa"/>
            <w:vAlign w:val="bottom"/>
            <w:vMerge w:val="restart"/>
          </w:tcPr>
          <w:p>
            <w:pPr>
              <w:spacing w:after="0"/>
              <w:rPr>
                <w:sz w:val="20"/>
                <w:szCs w:val="20"/>
                <w:color w:val="auto"/>
              </w:rPr>
            </w:pPr>
            <w:r>
              <w:rPr>
                <w:rFonts w:ascii="Arial" w:cs="Arial" w:eastAsia="Arial" w:hAnsi="Arial"/>
                <w:sz w:val="25"/>
                <w:szCs w:val="25"/>
                <w:color w:val="auto"/>
              </w:rPr>
              <w:t>​</w:t>
            </w:r>
          </w:p>
        </w:tc>
        <w:tc>
          <w:tcPr>
            <w:tcW w:w="180" w:type="dxa"/>
            <w:vAlign w:val="bottom"/>
            <w:vMerge w:val="restart"/>
          </w:tcPr>
          <w:p>
            <w:pPr>
              <w:jc w:val="right"/>
              <w:spacing w:after="0"/>
              <w:rPr>
                <w:sz w:val="20"/>
                <w:szCs w:val="20"/>
                <w:color w:val="auto"/>
              </w:rPr>
            </w:pPr>
            <w:r>
              <w:rPr>
                <w:rFonts w:ascii="Arial" w:cs="Arial" w:eastAsia="Arial" w:hAnsi="Arial"/>
                <w:sz w:val="25"/>
                <w:szCs w:val="25"/>
                <w:color w:val="auto"/>
              </w:rPr>
              <w:t>•</w:t>
            </w:r>
          </w:p>
        </w:tc>
        <w:tc>
          <w:tcPr>
            <w:tcW w:w="160" w:type="dxa"/>
            <w:vAlign w:val="bottom"/>
            <w:shd w:val="clear" w:color="auto" w:fill="B2B2B2"/>
          </w:tcPr>
          <w:p>
            <w:pPr>
              <w:spacing w:after="0"/>
              <w:rPr>
                <w:sz w:val="16"/>
                <w:szCs w:val="16"/>
                <w:color w:val="auto"/>
              </w:rPr>
            </w:pPr>
          </w:p>
        </w:tc>
        <w:tc>
          <w:tcPr>
            <w:tcW w:w="60" w:type="dxa"/>
            <w:vAlign w:val="bottom"/>
            <w:vMerge w:val="restart"/>
          </w:tcPr>
          <w:p>
            <w:pPr>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243"/>
        </w:trPr>
        <w:tc>
          <w:tcPr>
            <w:tcW w:w="2920" w:type="dxa"/>
            <w:vAlign w:val="bottom"/>
            <w:tcBorders>
              <w:bottom w:val="single" w:sz="8" w:color="53C072"/>
            </w:tcBorders>
          </w:tcPr>
          <w:p>
            <w:pPr>
              <w:ind w:left="40"/>
              <w:spacing w:after="0" w:line="243" w:lineRule="exact"/>
              <w:rPr>
                <w:sz w:val="20"/>
                <w:szCs w:val="20"/>
                <w:color w:val="auto"/>
              </w:rPr>
            </w:pPr>
            <w:r>
              <w:rPr>
                <w:rFonts w:ascii="Arial" w:cs="Arial" w:eastAsia="Arial" w:hAnsi="Arial"/>
                <w:sz w:val="28"/>
                <w:szCs w:val="28"/>
                <w:color w:val="000000"/>
                <w:vertAlign w:val="superscript"/>
              </w:rPr>
              <w:t>​</w:t>
            </w:r>
            <w:r>
              <w:rPr>
                <w:rFonts w:ascii="Arial" w:cs="Arial" w:eastAsia="Arial" w:hAnsi="Arial"/>
                <w:sz w:val="12"/>
                <w:szCs w:val="12"/>
                <w:color w:val="404040"/>
              </w:rPr>
              <w:t>President, S Group Advisory LLC</w:t>
            </w:r>
          </w:p>
        </w:tc>
        <w:tc>
          <w:tcPr>
            <w:tcW w:w="480" w:type="dxa"/>
            <w:vAlign w:val="bottom"/>
            <w:tcBorders>
              <w:bottom w:val="single" w:sz="8" w:color="53C072"/>
            </w:tcBorders>
          </w:tcPr>
          <w:p>
            <w:pPr>
              <w:ind w:left="180"/>
              <w:spacing w:after="0"/>
              <w:rPr>
                <w:sz w:val="20"/>
                <w:szCs w:val="20"/>
                <w:color w:val="auto"/>
              </w:rPr>
            </w:pPr>
            <w:r>
              <w:rPr>
                <w:rFonts w:ascii="Arial" w:cs="Arial" w:eastAsia="Arial" w:hAnsi="Arial"/>
                <w:sz w:val="14"/>
                <w:szCs w:val="14"/>
                <w:color w:val="404040"/>
              </w:rPr>
              <w:t>66</w:t>
            </w:r>
          </w:p>
        </w:tc>
        <w:tc>
          <w:tcPr>
            <w:tcW w:w="760" w:type="dxa"/>
            <w:vAlign w:val="bottom"/>
            <w:tcBorders>
              <w:bottom w:val="single" w:sz="8" w:color="53C072"/>
            </w:tcBorders>
          </w:tcPr>
          <w:p>
            <w:pPr>
              <w:jc w:val="center"/>
              <w:spacing w:after="0"/>
              <w:rPr>
                <w:sz w:val="20"/>
                <w:szCs w:val="20"/>
                <w:color w:val="auto"/>
              </w:rPr>
            </w:pPr>
            <w:r>
              <w:rPr>
                <w:rFonts w:ascii="Arial" w:cs="Arial" w:eastAsia="Arial" w:hAnsi="Arial"/>
                <w:sz w:val="14"/>
                <w:szCs w:val="14"/>
                <w:color w:val="404040"/>
              </w:rPr>
              <w:t>2019</w:t>
            </w:r>
          </w:p>
        </w:tc>
        <w:tc>
          <w:tcPr>
            <w:tcW w:w="180" w:type="dxa"/>
            <w:vAlign w:val="bottom"/>
            <w:tcBorders>
              <w:bottom w:val="single" w:sz="8" w:color="53C072"/>
            </w:tcBorders>
            <w:vMerge w:val="continue"/>
          </w:tcPr>
          <w:p>
            <w:pPr>
              <w:spacing w:after="0"/>
              <w:rPr>
                <w:sz w:val="21"/>
                <w:szCs w:val="21"/>
                <w:color w:val="auto"/>
              </w:rPr>
            </w:pPr>
          </w:p>
        </w:tc>
        <w:tc>
          <w:tcPr>
            <w:tcW w:w="100" w:type="dxa"/>
            <w:vAlign w:val="bottom"/>
            <w:tcBorders>
              <w:bottom w:val="single" w:sz="8" w:color="53C072"/>
            </w:tcBorders>
          </w:tcPr>
          <w:p>
            <w:pPr>
              <w:spacing w:after="0"/>
              <w:rPr>
                <w:sz w:val="21"/>
                <w:szCs w:val="21"/>
                <w:color w:val="auto"/>
              </w:rPr>
            </w:pPr>
          </w:p>
        </w:tc>
        <w:tc>
          <w:tcPr>
            <w:tcW w:w="100" w:type="dxa"/>
            <w:vAlign w:val="bottom"/>
            <w:tcBorders>
              <w:bottom w:val="single" w:sz="8" w:color="53C072"/>
            </w:tcBorders>
          </w:tcPr>
          <w:p>
            <w:pPr>
              <w:spacing w:after="0"/>
              <w:rPr>
                <w:sz w:val="21"/>
                <w:szCs w:val="21"/>
                <w:color w:val="auto"/>
              </w:rPr>
            </w:pPr>
          </w:p>
        </w:tc>
        <w:tc>
          <w:tcPr>
            <w:tcW w:w="660" w:type="dxa"/>
            <w:vAlign w:val="bottom"/>
            <w:tcBorders>
              <w:bottom w:val="single" w:sz="8" w:color="53C072"/>
            </w:tcBorders>
            <w:vMerge w:val="continue"/>
          </w:tcPr>
          <w:p>
            <w:pPr>
              <w:spacing w:after="0"/>
              <w:rPr>
                <w:sz w:val="21"/>
                <w:szCs w:val="21"/>
                <w:color w:val="auto"/>
              </w:rPr>
            </w:pPr>
          </w:p>
        </w:tc>
        <w:tc>
          <w:tcPr>
            <w:tcW w:w="180" w:type="dxa"/>
            <w:vAlign w:val="bottom"/>
            <w:tcBorders>
              <w:bottom w:val="single" w:sz="8" w:color="53C072"/>
            </w:tcBorders>
            <w:gridSpan w:val="2"/>
            <w:vMerge w:val="continue"/>
          </w:tcPr>
          <w:p>
            <w:pPr>
              <w:spacing w:after="0"/>
              <w:rPr>
                <w:sz w:val="21"/>
                <w:szCs w:val="21"/>
                <w:color w:val="auto"/>
              </w:rPr>
            </w:pPr>
          </w:p>
        </w:tc>
        <w:tc>
          <w:tcPr>
            <w:tcW w:w="160" w:type="dxa"/>
            <w:vAlign w:val="bottom"/>
            <w:tcBorders>
              <w:bottom w:val="single" w:sz="8" w:color="53C072"/>
              <w:right w:val="single" w:sz="8" w:color="B2B2B2"/>
            </w:tcBorders>
            <w:shd w:val="clear" w:color="auto" w:fill="B2B2B2"/>
          </w:tcPr>
          <w:p>
            <w:pPr>
              <w:spacing w:after="0"/>
              <w:rPr>
                <w:sz w:val="21"/>
                <w:szCs w:val="21"/>
                <w:color w:val="auto"/>
              </w:rPr>
            </w:pPr>
          </w:p>
        </w:tc>
        <w:tc>
          <w:tcPr>
            <w:tcW w:w="80" w:type="dxa"/>
            <w:vAlign w:val="bottom"/>
            <w:tcBorders>
              <w:bottom w:val="single" w:sz="8" w:color="53C072"/>
            </w:tcBorders>
            <w:gridSpan w:val="2"/>
            <w:vMerge w:val="continue"/>
          </w:tcPr>
          <w:p>
            <w:pPr>
              <w:spacing w:after="0"/>
              <w:rPr>
                <w:sz w:val="21"/>
                <w:szCs w:val="21"/>
                <w:color w:val="auto"/>
              </w:rPr>
            </w:pPr>
          </w:p>
        </w:tc>
        <w:tc>
          <w:tcPr>
            <w:tcW w:w="180" w:type="dxa"/>
            <w:vAlign w:val="bottom"/>
            <w:tcBorders>
              <w:bottom w:val="single" w:sz="8" w:color="53C072"/>
            </w:tcBorders>
          </w:tcPr>
          <w:p>
            <w:pPr>
              <w:spacing w:after="0"/>
              <w:rPr>
                <w:sz w:val="21"/>
                <w:szCs w:val="21"/>
                <w:color w:val="auto"/>
              </w:rPr>
            </w:pPr>
          </w:p>
        </w:tc>
        <w:tc>
          <w:tcPr>
            <w:tcW w:w="140" w:type="dxa"/>
            <w:vAlign w:val="bottom"/>
            <w:tcBorders>
              <w:bottom w:val="single" w:sz="8" w:color="53C072"/>
            </w:tcBorders>
            <w:shd w:val="clear" w:color="auto" w:fill="B2B2B2"/>
          </w:tcPr>
          <w:p>
            <w:pPr>
              <w:spacing w:after="0"/>
              <w:rPr>
                <w:sz w:val="21"/>
                <w:szCs w:val="21"/>
                <w:color w:val="auto"/>
              </w:rPr>
            </w:pPr>
          </w:p>
        </w:tc>
        <w:tc>
          <w:tcPr>
            <w:tcW w:w="100" w:type="dxa"/>
            <w:vAlign w:val="bottom"/>
            <w:tcBorders>
              <w:bottom w:val="single" w:sz="8" w:color="53C072"/>
              <w:right w:val="single" w:sz="8" w:color="FEFEFE"/>
            </w:tcBorders>
            <w:vMerge w:val="continue"/>
            <w:shd w:val="clear" w:color="auto" w:fill="B2B2B2"/>
          </w:tcPr>
          <w:p>
            <w:pPr>
              <w:spacing w:after="0"/>
              <w:rPr>
                <w:sz w:val="21"/>
                <w:szCs w:val="21"/>
                <w:color w:val="auto"/>
              </w:rPr>
            </w:pPr>
          </w:p>
        </w:tc>
        <w:tc>
          <w:tcPr>
            <w:tcW w:w="200" w:type="dxa"/>
            <w:vAlign w:val="bottom"/>
            <w:tcBorders>
              <w:bottom w:val="single" w:sz="8" w:color="53C072"/>
            </w:tcBorders>
            <w:shd w:val="clear" w:color="auto" w:fill="B2B2B2"/>
          </w:tcPr>
          <w:p>
            <w:pPr>
              <w:spacing w:after="0"/>
              <w:rPr>
                <w:sz w:val="21"/>
                <w:szCs w:val="21"/>
                <w:color w:val="auto"/>
              </w:rPr>
            </w:pPr>
          </w:p>
        </w:tc>
        <w:tc>
          <w:tcPr>
            <w:tcW w:w="60" w:type="dxa"/>
            <w:vAlign w:val="bottom"/>
            <w:tcBorders>
              <w:bottom w:val="single" w:sz="8" w:color="53C072"/>
            </w:tcBorders>
            <w:vMerge w:val="continue"/>
          </w:tcPr>
          <w:p>
            <w:pPr>
              <w:spacing w:after="0"/>
              <w:rPr>
                <w:sz w:val="21"/>
                <w:szCs w:val="21"/>
                <w:color w:val="auto"/>
              </w:rPr>
            </w:pPr>
          </w:p>
        </w:tc>
        <w:tc>
          <w:tcPr>
            <w:tcW w:w="200" w:type="dxa"/>
            <w:vAlign w:val="bottom"/>
            <w:tcBorders>
              <w:bottom w:val="single" w:sz="8" w:color="53C072"/>
            </w:tcBorders>
            <w:vMerge w:val="continue"/>
          </w:tcPr>
          <w:p>
            <w:pPr>
              <w:spacing w:after="0"/>
              <w:rPr>
                <w:sz w:val="21"/>
                <w:szCs w:val="21"/>
                <w:color w:val="auto"/>
              </w:rPr>
            </w:pPr>
          </w:p>
        </w:tc>
        <w:tc>
          <w:tcPr>
            <w:tcW w:w="160" w:type="dxa"/>
            <w:vAlign w:val="bottom"/>
            <w:tcBorders>
              <w:bottom w:val="single" w:sz="8" w:color="53C072"/>
            </w:tcBorders>
            <w:shd w:val="clear" w:color="auto" w:fill="B2B2B2"/>
          </w:tcPr>
          <w:p>
            <w:pPr>
              <w:spacing w:after="0"/>
              <w:rPr>
                <w:sz w:val="21"/>
                <w:szCs w:val="21"/>
                <w:color w:val="auto"/>
              </w:rPr>
            </w:pPr>
          </w:p>
        </w:tc>
        <w:tc>
          <w:tcPr>
            <w:tcW w:w="80" w:type="dxa"/>
            <w:vAlign w:val="bottom"/>
            <w:tcBorders>
              <w:bottom w:val="single" w:sz="8" w:color="53C072"/>
              <w:right w:val="single" w:sz="8" w:color="FEFEFE"/>
            </w:tcBorders>
            <w:vMerge w:val="continue"/>
            <w:shd w:val="clear" w:color="auto" w:fill="B2B2B2"/>
          </w:tcPr>
          <w:p>
            <w:pPr>
              <w:spacing w:after="0"/>
              <w:rPr>
                <w:sz w:val="21"/>
                <w:szCs w:val="21"/>
                <w:color w:val="auto"/>
              </w:rPr>
            </w:pPr>
          </w:p>
        </w:tc>
        <w:tc>
          <w:tcPr>
            <w:tcW w:w="200" w:type="dxa"/>
            <w:vAlign w:val="bottom"/>
            <w:tcBorders>
              <w:bottom w:val="single" w:sz="8" w:color="53C072"/>
            </w:tcBorders>
            <w:shd w:val="clear" w:color="auto" w:fill="B2B2B2"/>
          </w:tcPr>
          <w:p>
            <w:pPr>
              <w:spacing w:after="0"/>
              <w:rPr>
                <w:sz w:val="21"/>
                <w:szCs w:val="21"/>
                <w:color w:val="auto"/>
              </w:rPr>
            </w:pPr>
          </w:p>
        </w:tc>
        <w:tc>
          <w:tcPr>
            <w:tcW w:w="120" w:type="dxa"/>
            <w:vAlign w:val="bottom"/>
            <w:tcBorders>
              <w:bottom w:val="single" w:sz="8" w:color="53C072"/>
            </w:tcBorders>
            <w:gridSpan w:val="2"/>
            <w:vMerge w:val="continue"/>
          </w:tcPr>
          <w:p>
            <w:pPr>
              <w:spacing w:after="0"/>
              <w:rPr>
                <w:sz w:val="21"/>
                <w:szCs w:val="21"/>
                <w:color w:val="auto"/>
              </w:rPr>
            </w:pPr>
          </w:p>
        </w:tc>
        <w:tc>
          <w:tcPr>
            <w:tcW w:w="140" w:type="dxa"/>
            <w:vAlign w:val="bottom"/>
            <w:tcBorders>
              <w:bottom w:val="single" w:sz="8" w:color="53C072"/>
            </w:tcBorders>
            <w:vMerge w:val="continue"/>
          </w:tcPr>
          <w:p>
            <w:pPr>
              <w:spacing w:after="0"/>
              <w:rPr>
                <w:sz w:val="21"/>
                <w:szCs w:val="21"/>
                <w:color w:val="auto"/>
              </w:rPr>
            </w:pPr>
          </w:p>
        </w:tc>
        <w:tc>
          <w:tcPr>
            <w:tcW w:w="120" w:type="dxa"/>
            <w:vAlign w:val="bottom"/>
            <w:tcBorders>
              <w:bottom w:val="single" w:sz="8" w:color="53C072"/>
            </w:tcBorders>
            <w:shd w:val="clear" w:color="auto" w:fill="B2B2B2"/>
          </w:tcPr>
          <w:p>
            <w:pPr>
              <w:spacing w:after="0"/>
              <w:rPr>
                <w:sz w:val="21"/>
                <w:szCs w:val="21"/>
                <w:color w:val="auto"/>
              </w:rPr>
            </w:pPr>
          </w:p>
        </w:tc>
        <w:tc>
          <w:tcPr>
            <w:tcW w:w="40" w:type="dxa"/>
            <w:vAlign w:val="bottom"/>
            <w:tcBorders>
              <w:bottom w:val="single" w:sz="8" w:color="53C072"/>
            </w:tcBorders>
            <w:shd w:val="clear" w:color="auto" w:fill="B2B2B2"/>
          </w:tcPr>
          <w:p>
            <w:pPr>
              <w:spacing w:after="0"/>
              <w:rPr>
                <w:sz w:val="21"/>
                <w:szCs w:val="21"/>
                <w:color w:val="auto"/>
              </w:rPr>
            </w:pPr>
          </w:p>
        </w:tc>
        <w:tc>
          <w:tcPr>
            <w:tcW w:w="80" w:type="dxa"/>
            <w:vAlign w:val="bottom"/>
            <w:tcBorders>
              <w:bottom w:val="single" w:sz="8" w:color="53C072"/>
              <w:right w:val="single" w:sz="8" w:color="FEFEFE"/>
            </w:tcBorders>
            <w:vMerge w:val="continue"/>
            <w:shd w:val="clear" w:color="auto" w:fill="B2B2B2"/>
          </w:tcPr>
          <w:p>
            <w:pPr>
              <w:spacing w:after="0"/>
              <w:rPr>
                <w:sz w:val="21"/>
                <w:szCs w:val="21"/>
                <w:color w:val="auto"/>
              </w:rPr>
            </w:pPr>
          </w:p>
        </w:tc>
        <w:tc>
          <w:tcPr>
            <w:tcW w:w="200" w:type="dxa"/>
            <w:vAlign w:val="bottom"/>
            <w:tcBorders>
              <w:bottom w:val="single" w:sz="8" w:color="53C072"/>
            </w:tcBorders>
            <w:shd w:val="clear" w:color="auto" w:fill="B2B2B2"/>
          </w:tcPr>
          <w:p>
            <w:pPr>
              <w:spacing w:after="0"/>
              <w:rPr>
                <w:sz w:val="21"/>
                <w:szCs w:val="21"/>
                <w:color w:val="auto"/>
              </w:rPr>
            </w:pPr>
          </w:p>
        </w:tc>
        <w:tc>
          <w:tcPr>
            <w:tcW w:w="120" w:type="dxa"/>
            <w:vAlign w:val="bottom"/>
            <w:tcBorders>
              <w:bottom w:val="single" w:sz="8" w:color="53C072"/>
            </w:tcBorders>
            <w:gridSpan w:val="2"/>
            <w:vMerge w:val="continue"/>
          </w:tcPr>
          <w:p>
            <w:pPr>
              <w:spacing w:after="0"/>
              <w:rPr>
                <w:sz w:val="21"/>
                <w:szCs w:val="21"/>
                <w:color w:val="auto"/>
              </w:rPr>
            </w:pPr>
          </w:p>
        </w:tc>
        <w:tc>
          <w:tcPr>
            <w:tcW w:w="140" w:type="dxa"/>
            <w:vAlign w:val="bottom"/>
            <w:tcBorders>
              <w:bottom w:val="single" w:sz="8" w:color="53C072"/>
            </w:tcBorders>
          </w:tcPr>
          <w:p>
            <w:pPr>
              <w:spacing w:after="0"/>
              <w:rPr>
                <w:sz w:val="21"/>
                <w:szCs w:val="21"/>
                <w:color w:val="auto"/>
              </w:rPr>
            </w:pPr>
          </w:p>
        </w:tc>
        <w:tc>
          <w:tcPr>
            <w:tcW w:w="160" w:type="dxa"/>
            <w:vAlign w:val="bottom"/>
            <w:tcBorders>
              <w:bottom w:val="single" w:sz="8" w:color="53C072"/>
            </w:tcBorders>
            <w:shd w:val="clear" w:color="auto" w:fill="B2B2B2"/>
          </w:tcPr>
          <w:p>
            <w:pPr>
              <w:spacing w:after="0"/>
              <w:rPr>
                <w:sz w:val="21"/>
                <w:szCs w:val="21"/>
                <w:color w:val="auto"/>
              </w:rPr>
            </w:pPr>
          </w:p>
        </w:tc>
        <w:tc>
          <w:tcPr>
            <w:tcW w:w="80" w:type="dxa"/>
            <w:vAlign w:val="bottom"/>
            <w:tcBorders>
              <w:bottom w:val="single" w:sz="8" w:color="53C072"/>
              <w:right w:val="single" w:sz="8" w:color="FEFEFE"/>
            </w:tcBorders>
            <w:vMerge w:val="continue"/>
            <w:shd w:val="clear" w:color="auto" w:fill="B2B2B2"/>
          </w:tcPr>
          <w:p>
            <w:pPr>
              <w:spacing w:after="0"/>
              <w:rPr>
                <w:sz w:val="21"/>
                <w:szCs w:val="21"/>
                <w:color w:val="auto"/>
              </w:rPr>
            </w:pPr>
          </w:p>
        </w:tc>
        <w:tc>
          <w:tcPr>
            <w:tcW w:w="200" w:type="dxa"/>
            <w:vAlign w:val="bottom"/>
            <w:tcBorders>
              <w:bottom w:val="single" w:sz="8" w:color="53C072"/>
            </w:tcBorders>
            <w:shd w:val="clear" w:color="auto" w:fill="B2B2B2"/>
          </w:tcPr>
          <w:p>
            <w:pPr>
              <w:spacing w:after="0"/>
              <w:rPr>
                <w:sz w:val="21"/>
                <w:szCs w:val="21"/>
                <w:color w:val="auto"/>
              </w:rPr>
            </w:pPr>
          </w:p>
        </w:tc>
        <w:tc>
          <w:tcPr>
            <w:tcW w:w="80" w:type="dxa"/>
            <w:vAlign w:val="bottom"/>
            <w:tcBorders>
              <w:bottom w:val="single" w:sz="8" w:color="53C072"/>
            </w:tcBorders>
            <w:vMerge w:val="continue"/>
          </w:tcPr>
          <w:p>
            <w:pPr>
              <w:spacing w:after="0"/>
              <w:rPr>
                <w:sz w:val="21"/>
                <w:szCs w:val="21"/>
                <w:color w:val="auto"/>
              </w:rPr>
            </w:pPr>
          </w:p>
        </w:tc>
        <w:tc>
          <w:tcPr>
            <w:tcW w:w="180" w:type="dxa"/>
            <w:vAlign w:val="bottom"/>
            <w:tcBorders>
              <w:bottom w:val="single" w:sz="8" w:color="53C072"/>
            </w:tcBorders>
            <w:vMerge w:val="continue"/>
          </w:tcPr>
          <w:p>
            <w:pPr>
              <w:spacing w:after="0"/>
              <w:rPr>
                <w:sz w:val="21"/>
                <w:szCs w:val="21"/>
                <w:color w:val="auto"/>
              </w:rPr>
            </w:pPr>
          </w:p>
        </w:tc>
        <w:tc>
          <w:tcPr>
            <w:tcW w:w="160" w:type="dxa"/>
            <w:vAlign w:val="bottom"/>
            <w:tcBorders>
              <w:bottom w:val="single" w:sz="8" w:color="53C072"/>
            </w:tcBorders>
            <w:shd w:val="clear" w:color="auto" w:fill="B2B2B2"/>
          </w:tcPr>
          <w:p>
            <w:pPr>
              <w:spacing w:after="0"/>
              <w:rPr>
                <w:sz w:val="21"/>
                <w:szCs w:val="21"/>
                <w:color w:val="auto"/>
              </w:rPr>
            </w:pP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8"/>
        </w:trPr>
        <w:tc>
          <w:tcPr>
            <w:tcW w:w="2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404040"/>
                <w:w w:val="99"/>
              </w:rPr>
              <w:t>​</w:t>
            </w:r>
            <w:r>
              <w:rPr>
                <w:rFonts w:ascii="Times New Roman" w:cs="Times New Roman" w:eastAsia="Times New Roman" w:hAnsi="Times New Roman"/>
                <w:sz w:val="14"/>
                <w:szCs w:val="14"/>
                <w:color w:val="404040"/>
                <w:w w:val="99"/>
              </w:rPr>
              <w:t>◦</w:t>
            </w:r>
            <w:r>
              <w:rPr>
                <w:rFonts w:ascii="Arial" w:cs="Arial" w:eastAsia="Arial" w:hAnsi="Arial"/>
                <w:sz w:val="14"/>
                <w:szCs w:val="14"/>
                <w:color w:val="404040"/>
                <w:w w:val="99"/>
              </w:rPr>
              <w:t xml:space="preserve"> Chair</w:t>
            </w:r>
          </w:p>
        </w:tc>
        <w:tc>
          <w:tcPr>
            <w:tcW w:w="18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404040"/>
              </w:rPr>
              <w:t>​</w:t>
            </w:r>
          </w:p>
        </w:tc>
        <w:tc>
          <w:tcPr>
            <w:tcW w:w="100" w:type="dxa"/>
            <w:vAlign w:val="bottom"/>
          </w:tcPr>
          <w:p>
            <w:pPr>
              <w:ind w:left="60"/>
              <w:spacing w:after="0"/>
              <w:rPr>
                <w:sz w:val="20"/>
                <w:szCs w:val="20"/>
                <w:color w:val="auto"/>
              </w:rPr>
            </w:pPr>
            <w:r>
              <w:rPr>
                <w:rFonts w:ascii="Arial" w:cs="Arial" w:eastAsia="Arial" w:hAnsi="Arial"/>
                <w:sz w:val="14"/>
                <w:szCs w:val="14"/>
                <w:color w:val="404040"/>
              </w:rPr>
              <w:t>​</w:t>
            </w:r>
          </w:p>
        </w:tc>
        <w:tc>
          <w:tcPr>
            <w:tcW w:w="660" w:type="dxa"/>
            <w:vAlign w:val="bottom"/>
          </w:tcPr>
          <w:p>
            <w:pPr>
              <w:ind w:left="100"/>
              <w:spacing w:after="0"/>
              <w:rPr>
                <w:sz w:val="20"/>
                <w:szCs w:val="20"/>
                <w:color w:val="auto"/>
              </w:rPr>
            </w:pPr>
            <w:r>
              <w:rPr>
                <w:rFonts w:ascii="Arial" w:cs="Arial" w:eastAsia="Arial" w:hAnsi="Arial"/>
                <w:sz w:val="14"/>
                <w:szCs w:val="14"/>
                <w:b w:val="1"/>
                <w:bCs w:val="1"/>
                <w:color w:val="404040"/>
              </w:rPr>
              <w:t xml:space="preserve">A: </w:t>
            </w:r>
            <w:r>
              <w:rPr>
                <w:rFonts w:ascii="Arial" w:cs="Arial" w:eastAsia="Arial" w:hAnsi="Arial"/>
                <w:sz w:val="14"/>
                <w:szCs w:val="14"/>
                <w:color w:val="404040"/>
              </w:rPr>
              <w:t>Audit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40" w:type="dxa"/>
            <w:vAlign w:val="bottom"/>
            <w:gridSpan w:val="29"/>
          </w:tcPr>
          <w:p>
            <w:pPr>
              <w:jc w:val="right"/>
              <w:spacing w:after="0"/>
              <w:rPr>
                <w:sz w:val="20"/>
                <w:szCs w:val="20"/>
                <w:color w:val="auto"/>
              </w:rPr>
            </w:pPr>
            <w:r>
              <w:rPr>
                <w:rFonts w:ascii="Arial" w:cs="Arial" w:eastAsia="Arial" w:hAnsi="Arial"/>
                <w:sz w:val="14"/>
                <w:szCs w:val="14"/>
                <w:color w:val="404040"/>
              </w:rPr>
              <w:t xml:space="preserve">​ ​ </w:t>
            </w:r>
            <w:r>
              <w:rPr>
                <w:rFonts w:ascii="Arial" w:cs="Arial" w:eastAsia="Arial" w:hAnsi="Arial"/>
                <w:sz w:val="14"/>
                <w:szCs w:val="14"/>
                <w:b w:val="1"/>
                <w:bCs w:val="1"/>
                <w:color w:val="404040"/>
              </w:rPr>
              <w:t>C:</w:t>
            </w:r>
            <w:r>
              <w:rPr>
                <w:rFonts w:ascii="Arial" w:cs="Arial" w:eastAsia="Arial" w:hAnsi="Arial"/>
                <w:sz w:val="14"/>
                <w:szCs w:val="14"/>
                <w:color w:val="404040"/>
              </w:rPr>
              <w:t xml:space="preserve"> Compensation and Leadership Development ​</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center"/>
              <w:ind w:right="10"/>
              <w:spacing w:after="0" w:line="145" w:lineRule="exact"/>
              <w:rPr>
                <w:sz w:val="20"/>
                <w:szCs w:val="20"/>
                <w:color w:val="auto"/>
              </w:rPr>
            </w:pPr>
            <w:r>
              <w:rPr>
                <w:rFonts w:ascii="Arial" w:cs="Arial" w:eastAsia="Arial" w:hAnsi="Arial"/>
                <w:sz w:val="14"/>
                <w:szCs w:val="14"/>
                <w:color w:val="404040"/>
              </w:rPr>
              <w:t>​</w:t>
            </w:r>
          </w:p>
        </w:tc>
        <w:tc>
          <w:tcPr>
            <w:tcW w:w="180" w:type="dxa"/>
            <w:vAlign w:val="bottom"/>
          </w:tcPr>
          <w:p>
            <w:pPr>
              <w:spacing w:after="0"/>
              <w:rPr>
                <w:sz w:val="12"/>
                <w:szCs w:val="12"/>
                <w:color w:val="auto"/>
              </w:rPr>
            </w:pPr>
          </w:p>
        </w:tc>
        <w:tc>
          <w:tcPr>
            <w:tcW w:w="100" w:type="dxa"/>
            <w:vAlign w:val="bottom"/>
          </w:tcPr>
          <w:p>
            <w:pPr>
              <w:ind w:left="20"/>
              <w:spacing w:after="0" w:line="145" w:lineRule="exact"/>
              <w:rPr>
                <w:sz w:val="20"/>
                <w:szCs w:val="20"/>
                <w:color w:val="auto"/>
              </w:rPr>
            </w:pPr>
            <w:r>
              <w:rPr>
                <w:rFonts w:ascii="Arial" w:cs="Arial" w:eastAsia="Arial" w:hAnsi="Arial"/>
                <w:sz w:val="14"/>
                <w:szCs w:val="14"/>
                <w:color w:val="404040"/>
              </w:rPr>
              <w:t>​</w:t>
            </w:r>
          </w:p>
        </w:tc>
        <w:tc>
          <w:tcPr>
            <w:tcW w:w="100" w:type="dxa"/>
            <w:vAlign w:val="bottom"/>
          </w:tcPr>
          <w:p>
            <w:pPr>
              <w:ind w:left="60"/>
              <w:spacing w:after="0" w:line="145" w:lineRule="exact"/>
              <w:rPr>
                <w:sz w:val="20"/>
                <w:szCs w:val="20"/>
                <w:color w:val="auto"/>
              </w:rPr>
            </w:pPr>
            <w:r>
              <w:rPr>
                <w:rFonts w:ascii="Arial" w:cs="Arial" w:eastAsia="Arial" w:hAnsi="Arial"/>
                <w:sz w:val="14"/>
                <w:szCs w:val="14"/>
                <w:color w:val="404040"/>
              </w:rPr>
              <w:t>​</w:t>
            </w:r>
          </w:p>
        </w:tc>
        <w:tc>
          <w:tcPr>
            <w:tcW w:w="1960" w:type="dxa"/>
            <w:vAlign w:val="bottom"/>
            <w:gridSpan w:val="12"/>
            <w:vMerge w:val="restart"/>
          </w:tcPr>
          <w:p>
            <w:pPr>
              <w:ind w:left="100"/>
              <w:spacing w:after="0"/>
              <w:rPr>
                <w:sz w:val="20"/>
                <w:szCs w:val="20"/>
                <w:color w:val="auto"/>
              </w:rPr>
            </w:pPr>
            <w:r>
              <w:rPr>
                <w:rFonts w:ascii="Arial" w:cs="Arial" w:eastAsia="Arial" w:hAnsi="Arial"/>
                <w:sz w:val="14"/>
                <w:szCs w:val="14"/>
                <w:b w:val="1"/>
                <w:bCs w:val="1"/>
                <w:color w:val="404040"/>
              </w:rPr>
              <w:t xml:space="preserve">CG: </w:t>
            </w:r>
            <w:r>
              <w:rPr>
                <w:rFonts w:ascii="Arial" w:cs="Arial" w:eastAsia="Arial" w:hAnsi="Arial"/>
                <w:sz w:val="14"/>
                <w:szCs w:val="14"/>
                <w:color w:val="404040"/>
              </w:rPr>
              <w:t>Corporate Governance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gridSpan w:val="2"/>
          </w:tcPr>
          <w:p>
            <w:pPr>
              <w:jc w:val="right"/>
              <w:spacing w:after="0" w:line="145" w:lineRule="exact"/>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85"/>
        </w:trPr>
        <w:tc>
          <w:tcPr>
            <w:tcW w:w="2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gridSpan w:val="2"/>
          </w:tcPr>
          <w:p>
            <w:pPr>
              <w:ind w:left="320"/>
              <w:spacing w:after="0" w:line="85" w:lineRule="exact"/>
              <w:rPr>
                <w:sz w:val="20"/>
                <w:szCs w:val="20"/>
                <w:color w:val="auto"/>
              </w:rPr>
            </w:pPr>
            <w:r>
              <w:rPr>
                <w:rFonts w:ascii="Arial" w:cs="Arial" w:eastAsia="Arial" w:hAnsi="Arial"/>
                <w:sz w:val="9"/>
                <w:szCs w:val="9"/>
                <w:color w:val="404040"/>
              </w:rPr>
              <w:t>• Member</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gridSpan w:val="12"/>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2"/>
        </w:trPr>
        <w:tc>
          <w:tcPr>
            <w:tcW w:w="2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center"/>
              <w:ind w:right="10"/>
              <w:spacing w:after="0"/>
              <w:rPr>
                <w:sz w:val="20"/>
                <w:szCs w:val="20"/>
                <w:color w:val="auto"/>
              </w:rPr>
            </w:pPr>
            <w:r>
              <w:rPr>
                <w:rFonts w:ascii="Arial" w:cs="Arial" w:eastAsia="Arial" w:hAnsi="Arial"/>
                <w:sz w:val="14"/>
                <w:szCs w:val="14"/>
                <w:b w:val="1"/>
                <w:bCs w:val="1"/>
                <w:color w:val="404040"/>
              </w:rPr>
              <w:t>​</w:t>
            </w:r>
          </w:p>
        </w:tc>
        <w:tc>
          <w:tcPr>
            <w:tcW w:w="18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404040"/>
              </w:rPr>
              <w:t>​</w:t>
            </w:r>
          </w:p>
        </w:tc>
        <w:tc>
          <w:tcPr>
            <w:tcW w:w="100" w:type="dxa"/>
            <w:vAlign w:val="bottom"/>
          </w:tcPr>
          <w:p>
            <w:pPr>
              <w:ind w:left="60"/>
              <w:spacing w:after="0"/>
              <w:rPr>
                <w:sz w:val="20"/>
                <w:szCs w:val="20"/>
                <w:color w:val="auto"/>
              </w:rPr>
            </w:pPr>
            <w:r>
              <w:rPr>
                <w:rFonts w:ascii="Arial" w:cs="Arial" w:eastAsia="Arial" w:hAnsi="Arial"/>
                <w:sz w:val="14"/>
                <w:szCs w:val="14"/>
                <w:b w:val="1"/>
                <w:bCs w:val="1"/>
                <w:color w:val="404040"/>
              </w:rPr>
              <w:t>​</w:t>
            </w:r>
          </w:p>
        </w:tc>
        <w:tc>
          <w:tcPr>
            <w:tcW w:w="1000" w:type="dxa"/>
            <w:vAlign w:val="bottom"/>
            <w:gridSpan w:val="4"/>
          </w:tcPr>
          <w:p>
            <w:pPr>
              <w:ind w:left="100"/>
              <w:spacing w:after="0"/>
              <w:rPr>
                <w:sz w:val="20"/>
                <w:szCs w:val="20"/>
                <w:color w:val="auto"/>
              </w:rPr>
            </w:pPr>
            <w:r>
              <w:rPr>
                <w:rFonts w:ascii="Arial" w:cs="Arial" w:eastAsia="Arial" w:hAnsi="Arial"/>
                <w:sz w:val="14"/>
                <w:szCs w:val="14"/>
                <w:b w:val="1"/>
                <w:bCs w:val="1"/>
                <w:color w:val="404040"/>
              </w:rPr>
              <w:t xml:space="preserve">E: </w:t>
            </w:r>
            <w:r>
              <w:rPr>
                <w:rFonts w:ascii="Arial" w:cs="Arial" w:eastAsia="Arial" w:hAnsi="Arial"/>
                <w:sz w:val="14"/>
                <w:szCs w:val="14"/>
                <w:color w:val="404040"/>
              </w:rPr>
              <w:t>Executive</w:t>
            </w:r>
            <w:r>
              <w:rPr>
                <w:rFonts w:ascii="Arial" w:cs="Arial" w:eastAsia="Arial" w:hAnsi="Arial"/>
                <w:sz w:val="28"/>
                <w:szCs w:val="28"/>
                <w:b w:val="1"/>
                <w:bCs w:val="1"/>
                <w:color w:val="404040"/>
                <w:vertAlign w:val="superscript"/>
              </w:rPr>
              <w:t>​</w:t>
            </w:r>
          </w:p>
        </w:tc>
        <w:tc>
          <w:tcPr>
            <w:tcW w:w="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404040"/>
              </w:rPr>
              <w:t>​</w:t>
            </w:r>
          </w:p>
        </w:tc>
        <w:tc>
          <w:tcPr>
            <w:tcW w:w="1700" w:type="dxa"/>
            <w:vAlign w:val="bottom"/>
            <w:gridSpan w:val="13"/>
          </w:tcPr>
          <w:p>
            <w:pPr>
              <w:ind w:left="60"/>
              <w:spacing w:after="0"/>
              <w:rPr>
                <w:sz w:val="20"/>
                <w:szCs w:val="20"/>
                <w:color w:val="auto"/>
              </w:rPr>
            </w:pPr>
            <w:r>
              <w:rPr>
                <w:rFonts w:ascii="Arial" w:cs="Arial" w:eastAsia="Arial" w:hAnsi="Arial"/>
                <w:sz w:val="14"/>
                <w:szCs w:val="14"/>
                <w:b w:val="1"/>
                <w:bCs w:val="1"/>
                <w:color w:val="404040"/>
              </w:rPr>
              <w:t xml:space="preserve">TR: </w:t>
            </w:r>
            <w:r>
              <w:rPr>
                <w:rFonts w:ascii="Arial" w:cs="Arial" w:eastAsia="Arial" w:hAnsi="Arial"/>
                <w:sz w:val="14"/>
                <w:szCs w:val="14"/>
                <w:color w:val="404040"/>
              </w:rPr>
              <w:t>Technology and Risk</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40404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-4074160</wp:posOffset>
            </wp:positionV>
            <wp:extent cx="43180" cy="3471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347154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-3388360</wp:posOffset>
            </wp:positionV>
            <wp:extent cx="171450" cy="2785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278574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-3388360</wp:posOffset>
            </wp:positionV>
            <wp:extent cx="171450" cy="2785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 cy="2785745"/>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-3388360</wp:posOffset>
            </wp:positionV>
            <wp:extent cx="171450" cy="27857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278574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-3388360</wp:posOffset>
            </wp:positionV>
            <wp:extent cx="171450" cy="27857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 cy="2785745"/>
                    </a:xfrm>
                    <a:prstGeom prst="rect">
                      <a:avLst/>
                    </a:prstGeom>
                    <a:noFill/>
                  </pic:spPr>
                </pic:pic>
              </a:graphicData>
            </a:graphic>
          </wp:anchor>
        </w:drawing>
        <w:drawing>
          <wp:anchor simplePos="0" relativeHeight="251657728" behindDoc="1" locked="0" layoutInCell="0" allowOverlap="1">
            <wp:simplePos x="0" y="0"/>
            <wp:positionH relativeFrom="column">
              <wp:posOffset>5917565</wp:posOffset>
            </wp:positionH>
            <wp:positionV relativeFrom="paragraph">
              <wp:posOffset>-3388360</wp:posOffset>
            </wp:positionV>
            <wp:extent cx="171450" cy="27857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     </w:t>
      </w:r>
      <w:r>
        <w:rPr>
          <w:sz w:val="1"/>
          <w:szCs w:val="1"/>
          <w:color w:val="auto"/>
        </w:rPr>
        <w:drawing>
          <wp:inline distT="0" distB="0" distL="0" distR="0">
            <wp:extent cx="1242695" cy="24003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54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200" w:type="dxa"/>
            <w:vAlign w:val="bottom"/>
            <w:vMerge w:val="restart"/>
          </w:tcPr>
          <w:p>
            <w:pPr>
              <w:ind w:left="3180"/>
              <w:spacing w:after="0"/>
              <w:rPr>
                <w:sz w:val="20"/>
                <w:szCs w:val="20"/>
                <w:color w:val="auto"/>
              </w:rPr>
            </w:pPr>
            <w:r>
              <w:rPr>
                <w:rFonts w:ascii="Arial" w:cs="Arial" w:eastAsia="Arial" w:hAnsi="Arial"/>
                <w:sz w:val="14"/>
                <w:szCs w:val="14"/>
                <w:color w:val="auto"/>
              </w:rPr>
              <w:t>Proxy Summary</w:t>
            </w:r>
          </w:p>
        </w:tc>
        <w:tc>
          <w:tcPr>
            <w:tcW w:w="0" w:type="dxa"/>
            <w:vAlign w:val="bottom"/>
          </w:tcPr>
          <w:p>
            <w:pPr>
              <w:spacing w:after="0"/>
              <w:rPr>
                <w:sz w:val="1"/>
                <w:szCs w:val="1"/>
                <w:color w:val="auto"/>
              </w:rPr>
            </w:pPr>
          </w:p>
        </w:tc>
      </w:tr>
      <w:tr>
        <w:trPr>
          <w:trHeight w:val="88"/>
        </w:trPr>
        <w:tc>
          <w:tcPr>
            <w:tcW w:w="55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540" w:type="dxa"/>
            <w:vAlign w:val="bottom"/>
            <w:vMerge w:val="continue"/>
          </w:tcPr>
          <w:p>
            <w:pPr>
              <w:spacing w:after="0"/>
              <w:rPr>
                <w:sz w:val="11"/>
                <w:szCs w:val="11"/>
                <w:color w:val="auto"/>
              </w:rPr>
            </w:pPr>
          </w:p>
        </w:tc>
        <w:tc>
          <w:tcPr>
            <w:tcW w:w="4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292735</wp:posOffset>
            </wp:positionV>
            <wp:extent cx="5494655" cy="27863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9465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ABOUT AVNET</w:t>
      </w:r>
    </w:p>
    <w:p>
      <w:pPr>
        <w:spacing w:after="0" w:line="202" w:lineRule="exact"/>
        <w:rPr>
          <w:sz w:val="20"/>
          <w:szCs w:val="20"/>
          <w:color w:val="auto"/>
        </w:rPr>
      </w:pPr>
    </w:p>
    <w:p>
      <w:pPr>
        <w:ind w:left="1000" w:right="659"/>
        <w:spacing w:after="0" w:line="287" w:lineRule="auto"/>
        <w:rPr>
          <w:sz w:val="20"/>
          <w:szCs w:val="20"/>
          <w:color w:val="auto"/>
        </w:rPr>
      </w:pPr>
      <w:r>
        <w:rPr>
          <w:rFonts w:ascii="Arial" w:cs="Arial" w:eastAsia="Arial" w:hAnsi="Arial"/>
          <w:sz w:val="18"/>
          <w:szCs w:val="18"/>
          <w:b w:val="1"/>
          <w:bCs w:val="1"/>
          <w:color w:val="53C072"/>
        </w:rPr>
        <w:t xml:space="preserve">VISION: </w:t>
      </w:r>
      <w:r>
        <w:rPr>
          <w:rFonts w:ascii="Arial" w:cs="Arial" w:eastAsia="Arial" w:hAnsi="Arial"/>
          <w:sz w:val="18"/>
          <w:szCs w:val="18"/>
          <w:color w:val="000000"/>
        </w:rPr>
        <w:t>To be the preferred distributor partner at the center of the world’s technology design and supply</w:t>
      </w:r>
      <w:r>
        <w:rPr>
          <w:rFonts w:ascii="Arial" w:cs="Arial" w:eastAsia="Arial" w:hAnsi="Arial"/>
          <w:sz w:val="18"/>
          <w:szCs w:val="18"/>
          <w:b w:val="1"/>
          <w:bCs w:val="1"/>
          <w:color w:val="53C072"/>
        </w:rPr>
        <w:t xml:space="preserve"> </w:t>
      </w:r>
      <w:r>
        <w:rPr>
          <w:rFonts w:ascii="Arial" w:cs="Arial" w:eastAsia="Arial" w:hAnsi="Arial"/>
          <w:sz w:val="18"/>
          <w:szCs w:val="18"/>
          <w:color w:val="000000"/>
        </w:rPr>
        <w:t>chains by delivering the best experience for both customers and suppliers every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-310515</wp:posOffset>
            </wp:positionV>
            <wp:extent cx="5554980" cy="8572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54980" cy="857250"/>
                    </a:xfrm>
                    <a:prstGeom prst="rect">
                      <a:avLst/>
                    </a:prstGeom>
                    <a:noFill/>
                  </pic:spPr>
                </pic:pic>
              </a:graphicData>
            </a:graphic>
          </wp:anchor>
        </w:drawing>
      </w:r>
    </w:p>
    <w:p>
      <w:pPr>
        <w:spacing w:after="0" w:line="79" w:lineRule="exact"/>
        <w:rPr>
          <w:sz w:val="20"/>
          <w:szCs w:val="20"/>
          <w:color w:val="auto"/>
        </w:rPr>
      </w:pPr>
    </w:p>
    <w:p>
      <w:pPr>
        <w:ind w:left="1000" w:right="139"/>
        <w:spacing w:after="0" w:line="268" w:lineRule="auto"/>
        <w:rPr>
          <w:sz w:val="20"/>
          <w:szCs w:val="20"/>
          <w:color w:val="auto"/>
        </w:rPr>
      </w:pPr>
      <w:r>
        <w:rPr>
          <w:rFonts w:ascii="Arial" w:cs="Arial" w:eastAsia="Arial" w:hAnsi="Arial"/>
          <w:sz w:val="18"/>
          <w:szCs w:val="18"/>
          <w:b w:val="1"/>
          <w:bCs w:val="1"/>
          <w:color w:val="53C072"/>
        </w:rPr>
        <w:t xml:space="preserve">MISSION: </w:t>
      </w:r>
      <w:r>
        <w:rPr>
          <w:rFonts w:ascii="Arial" w:cs="Arial" w:eastAsia="Arial" w:hAnsi="Arial"/>
          <w:sz w:val="18"/>
          <w:szCs w:val="18"/>
          <w:color w:val="000000"/>
        </w:rPr>
        <w:t>We deliver superior service by holding ourselves accountable to our stakeholders, enabling design</w:t>
      </w:r>
      <w:r>
        <w:rPr>
          <w:rFonts w:ascii="Arial" w:cs="Arial" w:eastAsia="Arial" w:hAnsi="Arial"/>
          <w:sz w:val="18"/>
          <w:szCs w:val="18"/>
          <w:b w:val="1"/>
          <w:bCs w:val="1"/>
          <w:color w:val="53C072"/>
        </w:rPr>
        <w:t xml:space="preserve"> </w:t>
      </w:r>
      <w:r>
        <w:rPr>
          <w:rFonts w:ascii="Arial" w:cs="Arial" w:eastAsia="Arial" w:hAnsi="Arial"/>
          <w:sz w:val="18"/>
          <w:szCs w:val="18"/>
          <w:color w:val="000000"/>
        </w:rPr>
        <w:t>and supply chain technology solutions that improve life experiences globally, while staying grounded in our Core Values.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CORE VALUES that drive our business and our people forward each day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146050</wp:posOffset>
            </wp:positionV>
            <wp:extent cx="4903470" cy="2048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0347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640"/>
        <w:spacing w:after="0"/>
        <w:rPr>
          <w:sz w:val="20"/>
          <w:szCs w:val="20"/>
          <w:color w:val="auto"/>
        </w:rPr>
      </w:pPr>
      <w:r>
        <w:rPr>
          <w:sz w:val="1"/>
          <w:szCs w:val="1"/>
          <w:color w:val="auto"/>
        </w:rPr>
        <w:drawing>
          <wp:inline distT="0" distB="0" distL="0" distR="0">
            <wp:extent cx="1243330" cy="24003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54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200" w:type="dxa"/>
            <w:vAlign w:val="bottom"/>
            <w:vMerge w:val="restart"/>
          </w:tcPr>
          <w:p>
            <w:pPr>
              <w:ind w:left="3180"/>
              <w:spacing w:after="0"/>
              <w:rPr>
                <w:sz w:val="20"/>
                <w:szCs w:val="20"/>
                <w:color w:val="auto"/>
              </w:rPr>
            </w:pPr>
            <w:r>
              <w:rPr>
                <w:rFonts w:ascii="Arial" w:cs="Arial" w:eastAsia="Arial" w:hAnsi="Arial"/>
                <w:sz w:val="14"/>
                <w:szCs w:val="14"/>
                <w:color w:val="auto"/>
              </w:rPr>
              <w:t>Proxy Summary</w:t>
            </w:r>
          </w:p>
        </w:tc>
        <w:tc>
          <w:tcPr>
            <w:tcW w:w="0" w:type="dxa"/>
            <w:vAlign w:val="bottom"/>
          </w:tcPr>
          <w:p>
            <w:pPr>
              <w:spacing w:after="0"/>
              <w:rPr>
                <w:sz w:val="1"/>
                <w:szCs w:val="1"/>
                <w:color w:val="auto"/>
              </w:rPr>
            </w:pPr>
          </w:p>
        </w:tc>
      </w:tr>
      <w:tr>
        <w:trPr>
          <w:trHeight w:val="88"/>
        </w:trPr>
        <w:tc>
          <w:tcPr>
            <w:tcW w:w="55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540" w:type="dxa"/>
            <w:vAlign w:val="bottom"/>
            <w:vMerge w:val="continue"/>
          </w:tcPr>
          <w:p>
            <w:pPr>
              <w:spacing w:after="0"/>
              <w:rPr>
                <w:sz w:val="11"/>
                <w:szCs w:val="11"/>
                <w:color w:val="auto"/>
              </w:rPr>
            </w:pPr>
          </w:p>
        </w:tc>
        <w:tc>
          <w:tcPr>
            <w:tcW w:w="4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FINANCIAL HIGHLIGHTS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63500</wp:posOffset>
            </wp:positionV>
            <wp:extent cx="4766310" cy="21431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6631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63500</wp:posOffset>
            </wp:positionV>
            <wp:extent cx="4688840" cy="17487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8884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COMPENSATION PROGRAM FOR FISCAL 2025</w:t>
      </w:r>
    </w:p>
    <w:p>
      <w:pPr>
        <w:spacing w:after="0" w:line="4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Below are the primary components of the fiscal 2025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49530</wp:posOffset>
            </wp:positionV>
            <wp:extent cx="4509135" cy="24003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0913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4     </w:t>
      </w:r>
      <w:r>
        <w:rPr>
          <w:sz w:val="1"/>
          <w:szCs w:val="1"/>
          <w:color w:val="auto"/>
        </w:rPr>
        <w:drawing>
          <wp:inline distT="0" distB="0" distL="0" distR="0">
            <wp:extent cx="1242695" cy="24003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685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1580" w:right="200"/>
        <w:spacing w:after="0" w:line="291" w:lineRule="auto"/>
        <w:rPr>
          <w:sz w:val="20"/>
          <w:szCs w:val="20"/>
          <w:color w:val="auto"/>
        </w:rPr>
      </w:pPr>
      <w:r>
        <w:rPr>
          <w:rFonts w:ascii="Arial" w:cs="Arial" w:eastAsia="Arial" w:hAnsi="Arial"/>
          <w:sz w:val="40"/>
          <w:szCs w:val="40"/>
          <w:b w:val="1"/>
          <w:bCs w:val="1"/>
          <w:color w:val="FEFEFE"/>
        </w:rPr>
        <w:t>PROXY STATEMENT FOR ANNUAL MEETING OF SHAREHOLDERS</w:t>
      </w:r>
      <w:r>
        <w:rPr>
          <w:rFonts w:ascii="Times New Roman" w:cs="Times New Roman" w:eastAsia="Times New Roman" w:hAnsi="Times New Roman"/>
          <w:sz w:val="17"/>
          <w:szCs w:val="17"/>
          <w:color w:val="FEFEFE"/>
        </w:rPr>
        <w:t>​</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36"/>
        </w:trPr>
        <w:tc>
          <w:tcPr>
            <w:tcW w:w="2160" w:type="dxa"/>
            <w:vAlign w:val="bottom"/>
            <w:tcBorders>
              <w:top w:val="single" w:sz="8" w:color="53C072"/>
            </w:tcBorders>
            <w:shd w:val="clear" w:color="auto" w:fill="D8D8D8"/>
          </w:tcPr>
          <w:p>
            <w:pPr>
              <w:ind w:left="2100"/>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53C072"/>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w:t>
            </w:r>
          </w:p>
        </w:tc>
        <w:tc>
          <w:tcPr>
            <w:tcW w:w="1820" w:type="dxa"/>
            <w:vAlign w:val="bottom"/>
            <w:tcBorders>
              <w:top w:val="single" w:sz="8" w:color="53C072"/>
            </w:tcBorders>
            <w:shd w:val="clear" w:color="auto" w:fill="D8D8D8"/>
          </w:tcPr>
          <w:p>
            <w:pPr>
              <w:ind w:left="17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53C072"/>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w:t>
            </w:r>
          </w:p>
        </w:tc>
        <w:tc>
          <w:tcPr>
            <w:tcW w:w="2180" w:type="dxa"/>
            <w:vAlign w:val="bottom"/>
            <w:tcBorders>
              <w:top w:val="single" w:sz="8" w:color="53C072"/>
            </w:tcBorders>
            <w:shd w:val="clear" w:color="auto" w:fill="D8D8D8"/>
          </w:tcPr>
          <w:p>
            <w:pPr>
              <w:ind w:left="21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53C072"/>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w:t>
            </w:r>
          </w:p>
        </w:tc>
        <w:tc>
          <w:tcPr>
            <w:tcW w:w="2000" w:type="dxa"/>
            <w:vAlign w:val="bottom"/>
            <w:tcBorders>
              <w:top w:val="single" w:sz="8" w:color="53C072"/>
            </w:tcBorders>
            <w:shd w:val="clear" w:color="auto" w:fill="D8D8D8"/>
          </w:tcPr>
          <w:p>
            <w:pPr>
              <w:ind w:left="1880"/>
              <w:spacing w:after="0"/>
              <w:rPr>
                <w:sz w:val="20"/>
                <w:szCs w:val="20"/>
                <w:color w:val="auto"/>
              </w:rPr>
            </w:pPr>
            <w:r>
              <w:rPr>
                <w:rFonts w:ascii="Arial" w:cs="Arial" w:eastAsia="Arial" w:hAnsi="Arial"/>
                <w:sz w:val="16"/>
                <w:szCs w:val="16"/>
                <w:b w:val="1"/>
                <w:bCs w:val="1"/>
                <w:color w:val="auto"/>
              </w:rPr>
              <w:t>​</w:t>
            </w:r>
          </w:p>
        </w:tc>
      </w:tr>
      <w:tr>
        <w:trPr>
          <w:trHeight w:val="870"/>
        </w:trPr>
        <w:tc>
          <w:tcPr>
            <w:tcW w:w="2160" w:type="dxa"/>
            <w:vAlign w:val="bottom"/>
            <w:shd w:val="clear" w:color="auto" w:fill="D8D8D8"/>
          </w:tcPr>
          <w:p>
            <w:pPr>
              <w:jc w:val="center"/>
              <w:ind w:left="19"/>
              <w:spacing w:after="0"/>
              <w:rPr>
                <w:sz w:val="20"/>
                <w:szCs w:val="20"/>
                <w:color w:val="auto"/>
              </w:rPr>
            </w:pPr>
            <w:r>
              <w:rPr>
                <w:rFonts w:ascii="Arial" w:cs="Arial" w:eastAsia="Arial" w:hAnsi="Arial"/>
                <w:sz w:val="16"/>
                <w:szCs w:val="16"/>
                <w:b w:val="1"/>
                <w:bCs w:val="1"/>
                <w:color w:val="53C072"/>
                <w:w w:val="96"/>
              </w:rPr>
              <w:t>DATE</w:t>
            </w:r>
          </w:p>
        </w:tc>
        <w:tc>
          <w:tcPr>
            <w:tcW w:w="220" w:type="dxa"/>
            <w:vAlign w:val="bottom"/>
            <w:shd w:val="clear" w:color="auto" w:fill="D8D8D8"/>
          </w:tcPr>
          <w:p>
            <w:pPr>
              <w:spacing w:after="0"/>
              <w:rPr>
                <w:sz w:val="24"/>
                <w:szCs w:val="24"/>
                <w:color w:val="auto"/>
              </w:rPr>
            </w:pPr>
          </w:p>
        </w:tc>
        <w:tc>
          <w:tcPr>
            <w:tcW w:w="1820" w:type="dxa"/>
            <w:vAlign w:val="bottom"/>
            <w:shd w:val="clear" w:color="auto" w:fill="D8D8D8"/>
          </w:tcPr>
          <w:p>
            <w:pPr>
              <w:jc w:val="center"/>
              <w:ind w:right="159"/>
              <w:spacing w:after="0"/>
              <w:rPr>
                <w:sz w:val="20"/>
                <w:szCs w:val="20"/>
                <w:color w:val="auto"/>
              </w:rPr>
            </w:pPr>
            <w:r>
              <w:rPr>
                <w:rFonts w:ascii="Arial" w:cs="Arial" w:eastAsia="Arial" w:hAnsi="Arial"/>
                <w:sz w:val="16"/>
                <w:szCs w:val="16"/>
                <w:b w:val="1"/>
                <w:bCs w:val="1"/>
                <w:color w:val="53C072"/>
                <w:w w:val="99"/>
              </w:rPr>
              <w:t>TIME</w:t>
            </w:r>
          </w:p>
        </w:tc>
        <w:tc>
          <w:tcPr>
            <w:tcW w:w="200" w:type="dxa"/>
            <w:vAlign w:val="bottom"/>
            <w:shd w:val="clear" w:color="auto" w:fill="D8D8D8"/>
          </w:tcPr>
          <w:p>
            <w:pPr>
              <w:spacing w:after="0"/>
              <w:rPr>
                <w:sz w:val="24"/>
                <w:szCs w:val="24"/>
                <w:color w:val="auto"/>
              </w:rPr>
            </w:pPr>
          </w:p>
        </w:tc>
        <w:tc>
          <w:tcPr>
            <w:tcW w:w="2180" w:type="dxa"/>
            <w:vAlign w:val="bottom"/>
            <w:shd w:val="clear" w:color="auto" w:fill="D8D8D8"/>
          </w:tcPr>
          <w:p>
            <w:pPr>
              <w:jc w:val="center"/>
              <w:ind w:right="159"/>
              <w:spacing w:after="0"/>
              <w:rPr>
                <w:sz w:val="20"/>
                <w:szCs w:val="20"/>
                <w:color w:val="auto"/>
              </w:rPr>
            </w:pPr>
            <w:r>
              <w:rPr>
                <w:rFonts w:ascii="Arial" w:cs="Arial" w:eastAsia="Arial" w:hAnsi="Arial"/>
                <w:sz w:val="16"/>
                <w:szCs w:val="16"/>
                <w:b w:val="1"/>
                <w:bCs w:val="1"/>
                <w:color w:val="53C072"/>
                <w:w w:val="99"/>
              </w:rPr>
              <w:t>PLACE</w:t>
            </w:r>
          </w:p>
        </w:tc>
        <w:tc>
          <w:tcPr>
            <w:tcW w:w="180" w:type="dxa"/>
            <w:vAlign w:val="bottom"/>
            <w:shd w:val="clear" w:color="auto" w:fill="D8D8D8"/>
          </w:tcPr>
          <w:p>
            <w:pPr>
              <w:spacing w:after="0"/>
              <w:rPr>
                <w:sz w:val="24"/>
                <w:szCs w:val="24"/>
                <w:color w:val="auto"/>
              </w:rPr>
            </w:pPr>
          </w:p>
        </w:tc>
        <w:tc>
          <w:tcPr>
            <w:tcW w:w="2000" w:type="dxa"/>
            <w:vAlign w:val="bottom"/>
            <w:shd w:val="clear" w:color="auto" w:fill="D8D8D8"/>
          </w:tcPr>
          <w:p>
            <w:pPr>
              <w:jc w:val="center"/>
              <w:ind w:right="279"/>
              <w:spacing w:after="0"/>
              <w:rPr>
                <w:sz w:val="20"/>
                <w:szCs w:val="20"/>
                <w:color w:val="auto"/>
              </w:rPr>
            </w:pPr>
            <w:r>
              <w:rPr>
                <w:rFonts w:ascii="Arial" w:cs="Arial" w:eastAsia="Arial" w:hAnsi="Arial"/>
                <w:sz w:val="16"/>
                <w:szCs w:val="16"/>
                <w:b w:val="1"/>
                <w:bCs w:val="1"/>
                <w:color w:val="53C072"/>
                <w:w w:val="98"/>
              </w:rPr>
              <w:t>RECORD DATE</w:t>
            </w:r>
          </w:p>
        </w:tc>
      </w:tr>
      <w:tr>
        <w:trPr>
          <w:trHeight w:val="203"/>
        </w:trPr>
        <w:tc>
          <w:tcPr>
            <w:tcW w:w="2160" w:type="dxa"/>
            <w:vAlign w:val="bottom"/>
            <w:shd w:val="clear" w:color="auto" w:fill="D8D8D8"/>
          </w:tcPr>
          <w:p>
            <w:pPr>
              <w:jc w:val="center"/>
              <w:ind w:left="59"/>
              <w:spacing w:after="0"/>
              <w:rPr>
                <w:sz w:val="20"/>
                <w:szCs w:val="20"/>
                <w:color w:val="auto"/>
              </w:rPr>
            </w:pPr>
            <w:r>
              <w:rPr>
                <w:rFonts w:ascii="Arial" w:cs="Arial" w:eastAsia="Arial" w:hAnsi="Arial"/>
                <w:sz w:val="16"/>
                <w:szCs w:val="16"/>
                <w:b w:val="1"/>
                <w:bCs w:val="1"/>
                <w:color w:val="auto"/>
              </w:rPr>
              <w:t>November 21, 2025</w:t>
            </w:r>
          </w:p>
        </w:tc>
        <w:tc>
          <w:tcPr>
            <w:tcW w:w="220" w:type="dxa"/>
            <w:vAlign w:val="bottom"/>
            <w:shd w:val="clear" w:color="auto" w:fill="D8D8D8"/>
          </w:tcPr>
          <w:p>
            <w:pPr>
              <w:spacing w:after="0"/>
              <w:rPr>
                <w:sz w:val="17"/>
                <w:szCs w:val="17"/>
                <w:color w:val="auto"/>
              </w:rPr>
            </w:pPr>
          </w:p>
        </w:tc>
        <w:tc>
          <w:tcPr>
            <w:tcW w:w="1820" w:type="dxa"/>
            <w:vAlign w:val="bottom"/>
            <w:shd w:val="clear" w:color="auto" w:fill="D8D8D8"/>
          </w:tcPr>
          <w:p>
            <w:pPr>
              <w:jc w:val="center"/>
              <w:ind w:right="139"/>
              <w:spacing w:after="0"/>
              <w:rPr>
                <w:sz w:val="20"/>
                <w:szCs w:val="20"/>
                <w:color w:val="auto"/>
              </w:rPr>
            </w:pPr>
            <w:r>
              <w:rPr>
                <w:rFonts w:ascii="Arial" w:cs="Arial" w:eastAsia="Arial" w:hAnsi="Arial"/>
                <w:sz w:val="16"/>
                <w:szCs w:val="16"/>
                <w:b w:val="1"/>
                <w:bCs w:val="1"/>
                <w:color w:val="auto"/>
              </w:rPr>
              <w:t>8:00 am local time</w:t>
            </w:r>
          </w:p>
        </w:tc>
        <w:tc>
          <w:tcPr>
            <w:tcW w:w="200" w:type="dxa"/>
            <w:vAlign w:val="bottom"/>
            <w:shd w:val="clear" w:color="auto" w:fill="D8D8D8"/>
          </w:tcPr>
          <w:p>
            <w:pPr>
              <w:spacing w:after="0"/>
              <w:rPr>
                <w:sz w:val="17"/>
                <w:szCs w:val="17"/>
                <w:color w:val="auto"/>
              </w:rPr>
            </w:pPr>
          </w:p>
        </w:tc>
        <w:tc>
          <w:tcPr>
            <w:tcW w:w="2180" w:type="dxa"/>
            <w:vAlign w:val="bottom"/>
            <w:shd w:val="clear" w:color="auto" w:fill="D8D8D8"/>
          </w:tcPr>
          <w:p>
            <w:pPr>
              <w:jc w:val="center"/>
              <w:ind w:right="159"/>
              <w:spacing w:after="0"/>
              <w:rPr>
                <w:sz w:val="20"/>
                <w:szCs w:val="20"/>
                <w:color w:val="auto"/>
              </w:rPr>
            </w:pPr>
            <w:r>
              <w:rPr>
                <w:rFonts w:ascii="Arial" w:cs="Arial" w:eastAsia="Arial" w:hAnsi="Arial"/>
                <w:sz w:val="16"/>
                <w:szCs w:val="16"/>
                <w:b w:val="1"/>
                <w:bCs w:val="1"/>
                <w:color w:val="auto"/>
              </w:rPr>
              <w:t>Avnet’s Headquarters</w:t>
            </w:r>
          </w:p>
        </w:tc>
        <w:tc>
          <w:tcPr>
            <w:tcW w:w="180" w:type="dxa"/>
            <w:vAlign w:val="bottom"/>
            <w:shd w:val="clear" w:color="auto" w:fill="D8D8D8"/>
          </w:tcPr>
          <w:p>
            <w:pPr>
              <w:spacing w:after="0"/>
              <w:rPr>
                <w:sz w:val="17"/>
                <w:szCs w:val="17"/>
                <w:color w:val="auto"/>
              </w:rPr>
            </w:pPr>
          </w:p>
        </w:tc>
        <w:tc>
          <w:tcPr>
            <w:tcW w:w="2000" w:type="dxa"/>
            <w:vAlign w:val="bottom"/>
            <w:shd w:val="clear" w:color="auto" w:fill="D8D8D8"/>
          </w:tcPr>
          <w:p>
            <w:pPr>
              <w:jc w:val="center"/>
              <w:ind w:right="219"/>
              <w:spacing w:after="0"/>
              <w:rPr>
                <w:sz w:val="20"/>
                <w:szCs w:val="20"/>
                <w:color w:val="auto"/>
              </w:rPr>
            </w:pPr>
            <w:r>
              <w:rPr>
                <w:rFonts w:ascii="Arial" w:cs="Arial" w:eastAsia="Arial" w:hAnsi="Arial"/>
                <w:sz w:val="16"/>
                <w:szCs w:val="16"/>
                <w:b w:val="1"/>
                <w:bCs w:val="1"/>
                <w:color w:val="auto"/>
              </w:rPr>
              <w:t>September 22, 2025</w:t>
            </w:r>
          </w:p>
        </w:tc>
      </w:tr>
      <w:tr>
        <w:trPr>
          <w:trHeight w:val="189"/>
        </w:trPr>
        <w:tc>
          <w:tcPr>
            <w:tcW w:w="21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182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2180" w:type="dxa"/>
            <w:vAlign w:val="bottom"/>
            <w:shd w:val="clear" w:color="auto" w:fill="D8D8D8"/>
          </w:tcPr>
          <w:p>
            <w:pPr>
              <w:jc w:val="center"/>
              <w:ind w:right="159"/>
              <w:spacing w:after="0"/>
              <w:rPr>
                <w:sz w:val="20"/>
                <w:szCs w:val="20"/>
                <w:color w:val="auto"/>
              </w:rPr>
            </w:pPr>
            <w:r>
              <w:rPr>
                <w:rFonts w:ascii="Arial" w:cs="Arial" w:eastAsia="Arial" w:hAnsi="Arial"/>
                <w:sz w:val="16"/>
                <w:szCs w:val="16"/>
                <w:b w:val="1"/>
                <w:bCs w:val="1"/>
                <w:color w:val="auto"/>
              </w:rPr>
              <w:t>2211 South 47th Street</w:t>
            </w:r>
          </w:p>
        </w:tc>
        <w:tc>
          <w:tcPr>
            <w:tcW w:w="180" w:type="dxa"/>
            <w:vAlign w:val="bottom"/>
            <w:shd w:val="clear" w:color="auto" w:fill="D8D8D8"/>
          </w:tcPr>
          <w:p>
            <w:pPr>
              <w:spacing w:after="0"/>
              <w:rPr>
                <w:sz w:val="16"/>
                <w:szCs w:val="16"/>
                <w:color w:val="auto"/>
              </w:rPr>
            </w:pPr>
          </w:p>
        </w:tc>
        <w:tc>
          <w:tcPr>
            <w:tcW w:w="2000" w:type="dxa"/>
            <w:vAlign w:val="bottom"/>
            <w:shd w:val="clear" w:color="auto" w:fill="D8D8D8"/>
          </w:tcPr>
          <w:p>
            <w:pPr>
              <w:spacing w:after="0"/>
              <w:rPr>
                <w:sz w:val="16"/>
                <w:szCs w:val="16"/>
                <w:color w:val="auto"/>
              </w:rPr>
            </w:pPr>
          </w:p>
        </w:tc>
      </w:tr>
      <w:tr>
        <w:trPr>
          <w:trHeight w:val="223"/>
        </w:trPr>
        <w:tc>
          <w:tcPr>
            <w:tcW w:w="216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1820" w:type="dxa"/>
            <w:vAlign w:val="bottom"/>
            <w:shd w:val="clear" w:color="auto" w:fill="D8D8D8"/>
          </w:tcPr>
          <w:p>
            <w:pPr>
              <w:spacing w:after="0"/>
              <w:rPr>
                <w:sz w:val="19"/>
                <w:szCs w:val="19"/>
                <w:color w:val="auto"/>
              </w:rPr>
            </w:pPr>
          </w:p>
        </w:tc>
        <w:tc>
          <w:tcPr>
            <w:tcW w:w="200" w:type="dxa"/>
            <w:vAlign w:val="bottom"/>
            <w:shd w:val="clear" w:color="auto" w:fill="D8D8D8"/>
          </w:tcPr>
          <w:p>
            <w:pPr>
              <w:spacing w:after="0"/>
              <w:rPr>
                <w:sz w:val="19"/>
                <w:szCs w:val="19"/>
                <w:color w:val="auto"/>
              </w:rPr>
            </w:pPr>
          </w:p>
        </w:tc>
        <w:tc>
          <w:tcPr>
            <w:tcW w:w="2180" w:type="dxa"/>
            <w:vAlign w:val="bottom"/>
            <w:shd w:val="clear" w:color="auto" w:fill="D8D8D8"/>
          </w:tcPr>
          <w:p>
            <w:pPr>
              <w:jc w:val="center"/>
              <w:ind w:right="119"/>
              <w:spacing w:after="0"/>
              <w:rPr>
                <w:sz w:val="20"/>
                <w:szCs w:val="20"/>
                <w:color w:val="auto"/>
              </w:rPr>
            </w:pPr>
            <w:r>
              <w:rPr>
                <w:rFonts w:ascii="Arial" w:cs="Arial" w:eastAsia="Arial" w:hAnsi="Arial"/>
                <w:sz w:val="16"/>
                <w:szCs w:val="16"/>
                <w:b w:val="1"/>
                <w:bCs w:val="1"/>
                <w:color w:val="auto"/>
              </w:rPr>
              <w:t>Phoenix, Arizona 85034</w:t>
            </w:r>
          </w:p>
        </w:tc>
        <w:tc>
          <w:tcPr>
            <w:tcW w:w="180" w:type="dxa"/>
            <w:vAlign w:val="bottom"/>
            <w:shd w:val="clear" w:color="auto" w:fill="D8D8D8"/>
          </w:tcPr>
          <w:p>
            <w:pPr>
              <w:spacing w:after="0"/>
              <w:rPr>
                <w:sz w:val="19"/>
                <w:szCs w:val="19"/>
                <w:color w:val="auto"/>
              </w:rPr>
            </w:pPr>
          </w:p>
        </w:tc>
        <w:tc>
          <w:tcPr>
            <w:tcW w:w="2000" w:type="dxa"/>
            <w:vAlign w:val="bottom"/>
            <w:shd w:val="clear" w:color="auto" w:fill="D8D8D8"/>
          </w:tcPr>
          <w:p>
            <w:pPr>
              <w:spacing w:after="0"/>
              <w:rPr>
                <w:sz w:val="19"/>
                <w:szCs w:val="19"/>
                <w:color w:val="auto"/>
              </w:rPr>
            </w:pPr>
          </w:p>
        </w:tc>
      </w:tr>
      <w:tr>
        <w:trPr>
          <w:trHeight w:val="169"/>
        </w:trPr>
        <w:tc>
          <w:tcPr>
            <w:tcW w:w="2160" w:type="dxa"/>
            <w:vAlign w:val="bottom"/>
            <w:tcBorders>
              <w:bottom w:val="single" w:sz="8" w:color="53C072"/>
            </w:tcBorders>
            <w:shd w:val="clear" w:color="auto" w:fill="D8D8D8"/>
          </w:tcPr>
          <w:p>
            <w:pPr>
              <w:spacing w:after="0"/>
              <w:rPr>
                <w:sz w:val="14"/>
                <w:szCs w:val="14"/>
                <w:color w:val="auto"/>
              </w:rPr>
            </w:pPr>
          </w:p>
        </w:tc>
        <w:tc>
          <w:tcPr>
            <w:tcW w:w="220" w:type="dxa"/>
            <w:vAlign w:val="bottom"/>
            <w:tcBorders>
              <w:bottom w:val="single" w:sz="8" w:color="53C072"/>
            </w:tcBorders>
            <w:shd w:val="clear" w:color="auto" w:fill="D8D8D8"/>
          </w:tcPr>
          <w:p>
            <w:pPr>
              <w:spacing w:after="0"/>
              <w:rPr>
                <w:sz w:val="14"/>
                <w:szCs w:val="14"/>
                <w:color w:val="auto"/>
              </w:rPr>
            </w:pPr>
          </w:p>
        </w:tc>
        <w:tc>
          <w:tcPr>
            <w:tcW w:w="1820" w:type="dxa"/>
            <w:vAlign w:val="bottom"/>
            <w:tcBorders>
              <w:bottom w:val="single" w:sz="8" w:color="53C072"/>
            </w:tcBorders>
            <w:shd w:val="clear" w:color="auto" w:fill="D8D8D8"/>
          </w:tcPr>
          <w:p>
            <w:pPr>
              <w:spacing w:after="0"/>
              <w:rPr>
                <w:sz w:val="14"/>
                <w:szCs w:val="14"/>
                <w:color w:val="auto"/>
              </w:rPr>
            </w:pPr>
          </w:p>
        </w:tc>
        <w:tc>
          <w:tcPr>
            <w:tcW w:w="200" w:type="dxa"/>
            <w:vAlign w:val="bottom"/>
            <w:tcBorders>
              <w:bottom w:val="single" w:sz="8" w:color="53C072"/>
            </w:tcBorders>
            <w:shd w:val="clear" w:color="auto" w:fill="D8D8D8"/>
          </w:tcPr>
          <w:p>
            <w:pPr>
              <w:spacing w:after="0"/>
              <w:rPr>
                <w:sz w:val="14"/>
                <w:szCs w:val="14"/>
                <w:color w:val="auto"/>
              </w:rPr>
            </w:pPr>
          </w:p>
        </w:tc>
        <w:tc>
          <w:tcPr>
            <w:tcW w:w="2180" w:type="dxa"/>
            <w:vAlign w:val="bottom"/>
            <w:tcBorders>
              <w:bottom w:val="single" w:sz="8" w:color="53C072"/>
            </w:tcBorders>
            <w:shd w:val="clear" w:color="auto" w:fill="D8D8D8"/>
          </w:tcPr>
          <w:p>
            <w:pPr>
              <w:spacing w:after="0"/>
              <w:rPr>
                <w:sz w:val="14"/>
                <w:szCs w:val="14"/>
                <w:color w:val="auto"/>
              </w:rPr>
            </w:pPr>
          </w:p>
        </w:tc>
        <w:tc>
          <w:tcPr>
            <w:tcW w:w="180" w:type="dxa"/>
            <w:vAlign w:val="bottom"/>
            <w:tcBorders>
              <w:bottom w:val="single" w:sz="8" w:color="53C072"/>
            </w:tcBorders>
            <w:shd w:val="clear" w:color="auto" w:fill="D8D8D8"/>
          </w:tcPr>
          <w:p>
            <w:pPr>
              <w:spacing w:after="0"/>
              <w:rPr>
                <w:sz w:val="14"/>
                <w:szCs w:val="14"/>
                <w:color w:val="auto"/>
              </w:rPr>
            </w:pPr>
          </w:p>
        </w:tc>
        <w:tc>
          <w:tcPr>
            <w:tcW w:w="2000" w:type="dxa"/>
            <w:vAlign w:val="bottom"/>
            <w:tcBorders>
              <w:bottom w:val="single" w:sz="8" w:color="53C072"/>
            </w:tcBorders>
            <w:shd w:val="clear" w:color="auto" w:fill="D8D8D8"/>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-1062355</wp:posOffset>
            </wp:positionV>
            <wp:extent cx="428625" cy="436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8625" cy="43688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-1062355</wp:posOffset>
            </wp:positionV>
            <wp:extent cx="437515" cy="436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7515" cy="43688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-1062355</wp:posOffset>
            </wp:positionV>
            <wp:extent cx="325755" cy="436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5755" cy="436880"/>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-1062355</wp:posOffset>
            </wp:positionV>
            <wp:extent cx="428625" cy="436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8625" cy="436880"/>
                    </a:xfrm>
                    <a:prstGeom prst="rect">
                      <a:avLst/>
                    </a:prstGeom>
                    <a:noFill/>
                  </pic:spPr>
                </pic:pic>
              </a:graphicData>
            </a:graphic>
          </wp:anchor>
        </w:drawing>
      </w:r>
    </w:p>
    <w:p>
      <w:pPr>
        <w:spacing w:after="0" w:line="110" w:lineRule="exact"/>
        <w:rPr>
          <w:sz w:val="20"/>
          <w:szCs w:val="20"/>
          <w:color w:val="auto"/>
        </w:rPr>
      </w:pPr>
    </w:p>
    <w:p>
      <w:pPr>
        <w:ind w:left="1000" w:right="319"/>
        <w:spacing w:after="0" w:line="271" w:lineRule="auto"/>
        <w:rPr>
          <w:sz w:val="20"/>
          <w:szCs w:val="20"/>
          <w:color w:val="auto"/>
        </w:rPr>
      </w:pPr>
      <w:r>
        <w:rPr>
          <w:rFonts w:ascii="Arial" w:cs="Arial" w:eastAsia="Arial" w:hAnsi="Arial"/>
          <w:sz w:val="17"/>
          <w:szCs w:val="17"/>
          <w:color w:val="auto"/>
        </w:rPr>
        <w:t>This Proxy Statement is furnished in connection with the solicitation of proxies by the Board of Directors of Avnet, Inc. (“Avnet” or the “Company”) to be voted at the Annual Meeting of Shareholders (the “Annual Meeting”), with respect to the matters referred to in the accompanying notice. This Proxy Statement and the enclosed form of proxy are first being sent or given to shareholders on approximately October 7, 2025. Only holders of record of outstanding shares of the Company’s common stock, par value $1.00 per share (the “Common Stock”), at the close of business on September 22, 2025, the record date, are entitled to notice of and to vote at the Annual Meeting. Each shareholder is entitled to one vote per share held on the record date. The aggregate number of shares of Common Stock outstanding (net of treasury shares) on September 22, 2025, was 81,326,423, comprising all the Company’s capital stock outstanding as of that date.</w:t>
      </w:r>
    </w:p>
    <w:p>
      <w:pPr>
        <w:spacing w:after="0" w:line="106" w:lineRule="exact"/>
        <w:rPr>
          <w:sz w:val="20"/>
          <w:szCs w:val="20"/>
          <w:color w:val="auto"/>
        </w:rPr>
      </w:pPr>
    </w:p>
    <w:p>
      <w:pPr>
        <w:ind w:left="1000" w:right="319"/>
        <w:spacing w:after="0" w:line="259" w:lineRule="auto"/>
        <w:rPr>
          <w:sz w:val="20"/>
          <w:szCs w:val="20"/>
          <w:color w:val="auto"/>
        </w:rPr>
      </w:pPr>
      <w:r>
        <w:rPr>
          <w:rFonts w:ascii="Arial" w:cs="Arial" w:eastAsia="Arial" w:hAnsi="Arial"/>
          <w:sz w:val="18"/>
          <w:szCs w:val="18"/>
          <w:color w:val="auto"/>
        </w:rPr>
        <w:t>At the Annual Meeting you will be asked to elect the ten Director nominees named in the Proxy Statement, conduct an advisory vote on named executive compensation, approve the 2025 Stock Compensation and Incentive Plan, and ratify the appointment of PricewaterhouseCoopers LLP as the independent registered public accounting firm to audit the consolidated financial statements of the Company for the fiscal year ending June 27, 2026.</w:t>
      </w:r>
    </w:p>
    <w:p>
      <w:pPr>
        <w:spacing w:after="0" w:line="98" w:lineRule="exact"/>
        <w:rPr>
          <w:sz w:val="20"/>
          <w:szCs w:val="20"/>
          <w:color w:val="auto"/>
        </w:rPr>
      </w:pPr>
    </w:p>
    <w:p>
      <w:pPr>
        <w:ind w:left="1000" w:right="199"/>
        <w:spacing w:after="0" w:line="262" w:lineRule="auto"/>
        <w:rPr>
          <w:sz w:val="20"/>
          <w:szCs w:val="20"/>
          <w:color w:val="auto"/>
        </w:rPr>
      </w:pPr>
      <w:r>
        <w:rPr>
          <w:rFonts w:ascii="Arial" w:cs="Arial" w:eastAsia="Arial" w:hAnsi="Arial"/>
          <w:sz w:val="18"/>
          <w:szCs w:val="18"/>
          <w:color w:val="auto"/>
        </w:rPr>
        <w:t>The Company will bear the cost of soliciting proxies relating to the Annual Meeting. Directors, officers, and employees of the Company may, without additional compensation, solicit proxies by mail, telephone, email, or personal interview. The Company has not engaged an independent proxy solicitor. An independent inspector of election will be engaged to tabulate shareholder votes.</w:t>
      </w:r>
    </w:p>
    <w:p>
      <w:pPr>
        <w:spacing w:after="0" w:line="109" w:lineRule="exact"/>
        <w:rPr>
          <w:sz w:val="20"/>
          <w:szCs w:val="20"/>
          <w:color w:val="auto"/>
        </w:rPr>
      </w:pPr>
    </w:p>
    <w:p>
      <w:pPr>
        <w:ind w:left="1000" w:right="199"/>
        <w:spacing w:after="0" w:line="257" w:lineRule="auto"/>
        <w:rPr>
          <w:sz w:val="20"/>
          <w:szCs w:val="20"/>
          <w:color w:val="auto"/>
        </w:rPr>
      </w:pPr>
      <w:r>
        <w:rPr>
          <w:rFonts w:ascii="Arial" w:cs="Arial" w:eastAsia="Arial" w:hAnsi="Arial"/>
          <w:sz w:val="18"/>
          <w:szCs w:val="18"/>
          <w:color w:val="auto"/>
        </w:rPr>
        <w:t>The Company is furnishing proxy materials to its shareholders primarily via the Internet. On or about October 7, 2025, the Company mailed to its shareholders a Notice of Internet Availability of Proxy Materials containing instructions on how to access the Company’s proxy materials, including the 2025 Proxy Statement and the 2025 Annual Report, and how to vote. On or about October 7, 2025, certain shareholders, in accordance with their prior requests, were sent e-mail notifications of how to access proxy materials and vote or have been mailed paper copies of the Company’s proxy materials and a proxy card or voting form.</w:t>
      </w:r>
    </w:p>
    <w:p>
      <w:pPr>
        <w:spacing w:after="0" w:line="115" w:lineRule="exact"/>
        <w:rPr>
          <w:sz w:val="20"/>
          <w:szCs w:val="20"/>
          <w:color w:val="auto"/>
        </w:rPr>
      </w:pPr>
    </w:p>
    <w:p>
      <w:pPr>
        <w:ind w:left="1000" w:right="159"/>
        <w:spacing w:after="0" w:line="259" w:lineRule="auto"/>
        <w:rPr>
          <w:sz w:val="20"/>
          <w:szCs w:val="20"/>
          <w:color w:val="auto"/>
        </w:rPr>
      </w:pPr>
      <w:r>
        <w:rPr>
          <w:rFonts w:ascii="Arial" w:cs="Arial" w:eastAsia="Arial" w:hAnsi="Arial"/>
          <w:sz w:val="18"/>
          <w:szCs w:val="18"/>
          <w:color w:val="auto"/>
        </w:rPr>
        <w:t>Internet distribution of the Company’s proxy materials is designed to expedite receipt by shareholders, lower the cost of the Annual Meeting, and conserve natural resources. However, if you prefer to receive printed proxy materials, please follow the instructions included in the Notice of Internet Availability. If you have previously elected to receive the Company’s proxy materials electronically, you will continue to receive these materials via e-mail unless you elect otherwise.</w:t>
      </w:r>
    </w:p>
    <w:p>
      <w:pPr>
        <w:spacing w:after="0" w:line="98" w:lineRule="exact"/>
        <w:rPr>
          <w:sz w:val="20"/>
          <w:szCs w:val="20"/>
          <w:color w:val="auto"/>
        </w:rPr>
      </w:pPr>
    </w:p>
    <w:p>
      <w:pPr>
        <w:ind w:left="1000" w:right="159"/>
        <w:spacing w:after="0" w:line="262" w:lineRule="auto"/>
        <w:rPr>
          <w:sz w:val="20"/>
          <w:szCs w:val="20"/>
          <w:color w:val="auto"/>
        </w:rPr>
      </w:pPr>
      <w:r>
        <w:rPr>
          <w:rFonts w:ascii="Arial" w:cs="Arial" w:eastAsia="Arial" w:hAnsi="Arial"/>
          <w:sz w:val="18"/>
          <w:szCs w:val="18"/>
          <w:color w:val="auto"/>
        </w:rPr>
        <w:t>The Company will request banks, brokerage houses and other institutions, nominees, and fiduciaries to forward the proxy materials to the beneficial owners of Common Stock and to obtain authorization for the execution of proxies. The Company will, upon request, reimburse banks, brokerage houses and other institutions, nominees, and fiduciaries for their reasonable expenses in forwarding the proxy materials.</w:t>
      </w:r>
    </w:p>
    <w:p>
      <w:pPr>
        <w:sectPr>
          <w:pgSz w:w="11900" w:h="16838" w:orient="portrait"/>
          <w:cols w:equalWidth="0" w:num="1">
            <w:col w:w="9879"/>
          </w:cols>
          <w:pgMar w:left="580" w:top="97" w:right="1440" w:bottom="1440" w:gutter="0" w:footer="0" w:header="0"/>
        </w:sectPr>
      </w:pPr>
    </w:p>
    <w:p>
      <w:pPr>
        <w:spacing w:after="0" w:line="153" w:lineRule="exact"/>
        <w:rPr>
          <w:sz w:val="20"/>
          <w:szCs w:val="20"/>
          <w:color w:val="auto"/>
        </w:rPr>
      </w:pPr>
    </w:p>
    <w:p>
      <w:pPr>
        <w:ind w:left="7640"/>
        <w:spacing w:after="0"/>
        <w:rPr>
          <w:sz w:val="20"/>
          <w:szCs w:val="20"/>
          <w:color w:val="auto"/>
        </w:rPr>
      </w:pPr>
      <w:r>
        <w:rPr>
          <w:sz w:val="1"/>
          <w:szCs w:val="1"/>
          <w:color w:val="auto"/>
        </w:rPr>
        <w:drawing>
          <wp:inline distT="0" distB="0" distL="0" distR="0">
            <wp:extent cx="1243330" cy="24003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7"/>
          <w:szCs w:val="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52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220" w:type="dxa"/>
            <w:vAlign w:val="bottom"/>
            <w:vMerge w:val="restart"/>
          </w:tcPr>
          <w:p>
            <w:pPr>
              <w:ind w:left="3180"/>
              <w:spacing w:after="0"/>
              <w:rPr>
                <w:sz w:val="20"/>
                <w:szCs w:val="20"/>
                <w:color w:val="auto"/>
              </w:rPr>
            </w:pPr>
            <w:r>
              <w:rPr>
                <w:rFonts w:ascii="Arial" w:cs="Arial" w:eastAsia="Arial" w:hAnsi="Arial"/>
                <w:sz w:val="14"/>
                <w:szCs w:val="14"/>
                <w:color w:val="auto"/>
                <w:w w:val="98"/>
              </w:rPr>
              <w:t>Proxy Statement</w:t>
            </w:r>
          </w:p>
        </w:tc>
        <w:tc>
          <w:tcPr>
            <w:tcW w:w="0" w:type="dxa"/>
            <w:vAlign w:val="bottom"/>
          </w:tcPr>
          <w:p>
            <w:pPr>
              <w:spacing w:after="0"/>
              <w:rPr>
                <w:sz w:val="1"/>
                <w:szCs w:val="1"/>
                <w:color w:val="auto"/>
              </w:rPr>
            </w:pPr>
          </w:p>
        </w:tc>
      </w:tr>
      <w:tr>
        <w:trPr>
          <w:trHeight w:val="88"/>
        </w:trPr>
        <w:tc>
          <w:tcPr>
            <w:tcW w:w="55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520" w:type="dxa"/>
            <w:vAlign w:val="bottom"/>
            <w:vMerge w:val="continue"/>
          </w:tcPr>
          <w:p>
            <w:pPr>
              <w:spacing w:after="0"/>
              <w:rPr>
                <w:sz w:val="11"/>
                <w:szCs w:val="11"/>
                <w:color w:val="auto"/>
              </w:rPr>
            </w:pPr>
          </w:p>
        </w:tc>
        <w:tc>
          <w:tcPr>
            <w:tcW w:w="4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PROXY AND REVOCATION OF PROXY</w:t>
      </w:r>
    </w:p>
    <w:p>
      <w:pPr>
        <w:spacing w:after="0" w:line="162" w:lineRule="exact"/>
        <w:rPr>
          <w:sz w:val="20"/>
          <w:szCs w:val="20"/>
          <w:color w:val="auto"/>
        </w:rPr>
      </w:pPr>
    </w:p>
    <w:p>
      <w:pPr>
        <w:ind w:left="1000" w:right="379"/>
        <w:spacing w:after="0" w:line="243" w:lineRule="auto"/>
        <w:rPr>
          <w:sz w:val="20"/>
          <w:szCs w:val="20"/>
          <w:color w:val="auto"/>
        </w:rPr>
      </w:pPr>
      <w:r>
        <w:rPr>
          <w:rFonts w:ascii="Arial" w:cs="Arial" w:eastAsia="Arial" w:hAnsi="Arial"/>
          <w:sz w:val="18"/>
          <w:szCs w:val="18"/>
          <w:color w:val="auto"/>
        </w:rPr>
        <w:t>Shareholders may mail their completed proxy cards or submit their proxy voting instructions by telephone or through the Internet. Shareholders who hold their shares through a broker, bank, or other nominee should contact their nominee to determine whether they may submit their proxy by telephone or Internet. Common Stock represented by a proxy properly signed or submitted and received at or prior to the Annual Meeting will be voted in accordance with the shareholder’s instructions. If a proxy card is signed, dated, and returned without indicating any voting instructions, the Common Stock represented by the proxy will be voted as the Board recommends. The Board of Directors is not currently aware of any business to be acted upon at the Annual Meeting other than as described in this Proxy Statement. If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 and the Company’s By-laws.</w:t>
      </w:r>
    </w:p>
    <w:p>
      <w:pPr>
        <w:spacing w:after="0" w:line="111" w:lineRule="exact"/>
        <w:rPr>
          <w:sz w:val="20"/>
          <w:szCs w:val="20"/>
          <w:color w:val="auto"/>
        </w:rPr>
      </w:pPr>
    </w:p>
    <w:p>
      <w:pPr>
        <w:ind w:left="1000" w:right="139"/>
        <w:spacing w:after="0" w:line="253" w:lineRule="auto"/>
        <w:rPr>
          <w:sz w:val="20"/>
          <w:szCs w:val="20"/>
          <w:color w:val="auto"/>
        </w:rPr>
      </w:pPr>
      <w:r>
        <w:rPr>
          <w:rFonts w:ascii="Arial" w:cs="Arial" w:eastAsia="Arial" w:hAnsi="Arial"/>
          <w:sz w:val="18"/>
          <w:szCs w:val="18"/>
          <w:color w:val="auto"/>
        </w:rPr>
        <w:t>Any shareholder may revoke a completed proxy card or voting instructions by submitting a written notice of revocation, submitting a new proxy that is received by the Company prior to the Annual Meeting, or by voting in person at the Annual Meeting. However, a proxy will not be revoked by simply attending the Annual Meeting and not voting. All written notices of revocation and other communications with respect to revocation by shareholders should be addressed as follows: Corporate Secretary, Avnet, Inc., 2211 South 47th Street, Phoenix, Arizona 85034. To revoke a proxy previously submitted by telephone or Internet, a shareholder of record can simply vote again at a later date, using the same procedures, in which case the later submitted vote will be recorded and the earlier vote will be revoked. Please note that any shareholder whose shares are held of record by a broker, bank, or other nominee, and who provides voting instructions on a form received from the nominee, may revoke, or change his or her voting instructions only by contacting the nominee who holds his or her shares. Such shareholders may not vote in person at the Annual Meeting unless the shareholder obtains a legal proxy from the broker, bank, or other nominee.</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BROKER VOTING</w:t>
      </w:r>
    </w:p>
    <w:p>
      <w:pPr>
        <w:spacing w:after="0" w:line="148" w:lineRule="exact"/>
        <w:rPr>
          <w:sz w:val="20"/>
          <w:szCs w:val="20"/>
          <w:color w:val="auto"/>
        </w:rPr>
      </w:pPr>
    </w:p>
    <w:p>
      <w:pPr>
        <w:ind w:left="1000" w:right="199"/>
        <w:spacing w:after="0" w:line="255" w:lineRule="auto"/>
        <w:rPr>
          <w:sz w:val="20"/>
          <w:szCs w:val="20"/>
          <w:color w:val="auto"/>
        </w:rPr>
      </w:pPr>
      <w:r>
        <w:rPr>
          <w:rFonts w:ascii="Arial" w:cs="Arial" w:eastAsia="Arial" w:hAnsi="Arial"/>
          <w:sz w:val="18"/>
          <w:szCs w:val="18"/>
          <w:color w:val="auto"/>
        </w:rPr>
        <w:t>Brokers holding shares of record for a shareholder may vote on certain limited matters if they do not receive timely voting instructions from the shareholder. There are also some matters (“non-routine matters”) on which brokers may not vote if they do not receive timely voting instructions from the shareholder. When a broker cannot vote on a particular matter and the shareholder has not given timely voting instructions, then a “broker non-vote” results. Any broker non-vote would be counted as present at the meeting for purposes of determining a quorum but would be treated as not entitled to vote with respect to non-routine matters. Therefore, a broker non-vote would not count as a vote in favor of or against such matters and, accordingly, would not affect the outcome of the vote.</w:t>
      </w:r>
    </w:p>
    <w:p>
      <w:pPr>
        <w:spacing w:after="0" w:line="117" w:lineRule="exact"/>
        <w:rPr>
          <w:sz w:val="20"/>
          <w:szCs w:val="20"/>
          <w:color w:val="auto"/>
        </w:rPr>
      </w:pPr>
    </w:p>
    <w:p>
      <w:pPr>
        <w:ind w:left="1000" w:right="159"/>
        <w:spacing w:after="0" w:line="270" w:lineRule="auto"/>
        <w:rPr>
          <w:sz w:val="20"/>
          <w:szCs w:val="20"/>
          <w:color w:val="auto"/>
        </w:rPr>
      </w:pPr>
      <w:r>
        <w:rPr>
          <w:rFonts w:ascii="Arial" w:cs="Arial" w:eastAsia="Arial" w:hAnsi="Arial"/>
          <w:sz w:val="17"/>
          <w:szCs w:val="17"/>
          <w:color w:val="auto"/>
        </w:rPr>
        <w:t>The election of Directors (Proposal 1), the advisory vote on named executive compensation (Proposal 2), and the approval of the 2025 Stock Compensation and Incentive Plan (Proposal 3) are classified as non-routine matters. Accordingly, brokers, banks, and other nominees will not be permitted to vote on any proposal other than the ratification of the appointment of the independent registered public accounting firm (Proposal 4) without</w:t>
      </w:r>
    </w:p>
    <w:p>
      <w:pPr>
        <w:spacing w:after="0" w:line="2" w:lineRule="exact"/>
        <w:rPr>
          <w:sz w:val="20"/>
          <w:szCs w:val="20"/>
          <w:color w:val="auto"/>
        </w:rPr>
      </w:pPr>
    </w:p>
    <w:p>
      <w:pPr>
        <w:ind w:left="1000" w:right="559"/>
        <w:spacing w:after="0" w:line="263" w:lineRule="auto"/>
        <w:rPr>
          <w:sz w:val="20"/>
          <w:szCs w:val="20"/>
          <w:color w:val="auto"/>
        </w:rPr>
      </w:pPr>
      <w:r>
        <w:rPr>
          <w:rFonts w:ascii="Arial" w:cs="Arial" w:eastAsia="Arial" w:hAnsi="Arial"/>
          <w:sz w:val="18"/>
          <w:szCs w:val="18"/>
          <w:color w:val="auto"/>
        </w:rPr>
        <w:t xml:space="preserve">instructions from the beneficial owners. </w:t>
      </w:r>
      <w:r>
        <w:rPr>
          <w:rFonts w:ascii="Arial" w:cs="Arial" w:eastAsia="Arial" w:hAnsi="Arial"/>
          <w:sz w:val="18"/>
          <w:szCs w:val="18"/>
          <w:b w:val="1"/>
          <w:bCs w:val="1"/>
          <w:color w:val="auto"/>
        </w:rPr>
        <w:t>As a result, the Company encourages all beneficial owners to</w:t>
      </w:r>
      <w:r>
        <w:rPr>
          <w:rFonts w:ascii="Arial" w:cs="Arial" w:eastAsia="Arial" w:hAnsi="Arial"/>
          <w:sz w:val="18"/>
          <w:szCs w:val="18"/>
          <w:color w:val="auto"/>
        </w:rPr>
        <w:t xml:space="preserve"> </w:t>
      </w:r>
      <w:r>
        <w:rPr>
          <w:rFonts w:ascii="Arial" w:cs="Arial" w:eastAsia="Arial" w:hAnsi="Arial"/>
          <w:sz w:val="18"/>
          <w:szCs w:val="18"/>
          <w:b w:val="1"/>
          <w:bCs w:val="1"/>
          <w:color w:val="auto"/>
        </w:rPr>
        <w:t>provide voting instructions to your nominees to ensure that your shares are voted at the Annual Meeting.</w:t>
      </w:r>
    </w:p>
    <w:p>
      <w:pPr>
        <w:spacing w:after="0" w:line="15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MEETING ATTENDANCE</w:t>
      </w:r>
    </w:p>
    <w:p>
      <w:pPr>
        <w:spacing w:after="0" w:line="148" w:lineRule="exact"/>
        <w:rPr>
          <w:sz w:val="20"/>
          <w:szCs w:val="20"/>
          <w:color w:val="auto"/>
        </w:rPr>
      </w:pPr>
    </w:p>
    <w:p>
      <w:pPr>
        <w:ind w:left="1000" w:right="259"/>
        <w:spacing w:after="0" w:line="278" w:lineRule="auto"/>
        <w:rPr>
          <w:sz w:val="20"/>
          <w:szCs w:val="20"/>
          <w:color w:val="auto"/>
        </w:rPr>
      </w:pPr>
      <w:r>
        <w:rPr>
          <w:rFonts w:ascii="Arial" w:cs="Arial" w:eastAsia="Arial" w:hAnsi="Arial"/>
          <w:sz w:val="17"/>
          <w:szCs w:val="17"/>
          <w:color w:val="auto"/>
        </w:rPr>
        <w:t>Admission to the Annual Meeting will be limited to shareholders. You are entitled to attend the Annual Meeting only if you are a shareholder of record as of the record date or hold a valid proxy for the meeting. To be admitted to the Annual Meeting, you must present proof of ownership of the Company’s Common Stock on the record date, which can be a brokerage statement or letter from a bank or broker indicating ownership on the record date, the Notice of Internet Availability of Proxy Materials, a proxy card, or legal proxy or voting</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6     </w:t>
      </w:r>
      <w:r>
        <w:rPr>
          <w:sz w:val="1"/>
          <w:szCs w:val="1"/>
          <w:color w:val="auto"/>
        </w:rPr>
        <w:drawing>
          <wp:inline distT="0" distB="0" distL="0" distR="0">
            <wp:extent cx="1242695" cy="24003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52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220" w:type="dxa"/>
            <w:vAlign w:val="bottom"/>
            <w:vMerge w:val="restart"/>
          </w:tcPr>
          <w:p>
            <w:pPr>
              <w:ind w:left="3180"/>
              <w:spacing w:after="0"/>
              <w:rPr>
                <w:sz w:val="20"/>
                <w:szCs w:val="20"/>
                <w:color w:val="auto"/>
              </w:rPr>
            </w:pPr>
            <w:r>
              <w:rPr>
                <w:rFonts w:ascii="Arial" w:cs="Arial" w:eastAsia="Arial" w:hAnsi="Arial"/>
                <w:sz w:val="14"/>
                <w:szCs w:val="14"/>
                <w:color w:val="auto"/>
                <w:w w:val="98"/>
              </w:rPr>
              <w:t>Proxy Statement</w:t>
            </w:r>
          </w:p>
        </w:tc>
        <w:tc>
          <w:tcPr>
            <w:tcW w:w="0" w:type="dxa"/>
            <w:vAlign w:val="bottom"/>
          </w:tcPr>
          <w:p>
            <w:pPr>
              <w:spacing w:after="0"/>
              <w:rPr>
                <w:sz w:val="1"/>
                <w:szCs w:val="1"/>
                <w:color w:val="auto"/>
              </w:rPr>
            </w:pPr>
          </w:p>
        </w:tc>
      </w:tr>
      <w:tr>
        <w:trPr>
          <w:trHeight w:val="88"/>
        </w:trPr>
        <w:tc>
          <w:tcPr>
            <w:tcW w:w="55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520" w:type="dxa"/>
            <w:vAlign w:val="bottom"/>
            <w:vMerge w:val="continue"/>
          </w:tcPr>
          <w:p>
            <w:pPr>
              <w:spacing w:after="0"/>
              <w:rPr>
                <w:sz w:val="11"/>
                <w:szCs w:val="11"/>
                <w:color w:val="auto"/>
              </w:rPr>
            </w:pPr>
          </w:p>
        </w:tc>
        <w:tc>
          <w:tcPr>
            <w:tcW w:w="4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239"/>
        <w:spacing w:after="0" w:line="257" w:lineRule="auto"/>
        <w:rPr>
          <w:sz w:val="20"/>
          <w:szCs w:val="20"/>
          <w:color w:val="auto"/>
        </w:rPr>
      </w:pPr>
      <w:r>
        <w:rPr>
          <w:rFonts w:ascii="Arial" w:cs="Arial" w:eastAsia="Arial" w:hAnsi="Arial"/>
          <w:sz w:val="18"/>
          <w:szCs w:val="18"/>
          <w:color w:val="auto"/>
        </w:rPr>
        <w:t>instruction card provided by your broker, bank, or nominee. Any holder of a proxy from a shareholder must present the proxy card, properly executed, and a copy of the proof of ownership. Shareholders and proxyholders may also be asked to present a form of photo identification such as a driver’s license or passport. Backpacks, cameras, cell phones with cameras, recording equipment, and other electronic recording devices will not be permitted at the Annual Meeting. Failure to follow the meeting rules or permit inspection will be grounds for exclusion from the Annual Meeting.</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QUORUM</w:t>
      </w:r>
    </w:p>
    <w:p>
      <w:pPr>
        <w:spacing w:after="0" w:line="162" w:lineRule="exact"/>
        <w:rPr>
          <w:sz w:val="20"/>
          <w:szCs w:val="20"/>
          <w:color w:val="auto"/>
        </w:rPr>
      </w:pPr>
    </w:p>
    <w:p>
      <w:pPr>
        <w:ind w:left="1000" w:right="279"/>
        <w:spacing w:after="0" w:line="282" w:lineRule="auto"/>
        <w:rPr>
          <w:sz w:val="20"/>
          <w:szCs w:val="20"/>
          <w:color w:val="auto"/>
        </w:rPr>
      </w:pPr>
      <w:r>
        <w:rPr>
          <w:rFonts w:ascii="Arial" w:cs="Arial" w:eastAsia="Arial" w:hAnsi="Arial"/>
          <w:sz w:val="17"/>
          <w:szCs w:val="17"/>
          <w:color w:val="auto"/>
        </w:rPr>
        <w:t>The presence at the Annual Meeting, in person or by proxy, of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w:t>
      </w:r>
    </w:p>
    <w:p>
      <w:pPr>
        <w:spacing w:after="0" w:line="15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REQUIRED VOTE AND BOARD RECOMMENDATIONS</w:t>
      </w:r>
    </w:p>
    <w:p>
      <w:pPr>
        <w:spacing w:after="0" w:line="184"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53C072"/>
                <w:w w:val="96"/>
              </w:rPr>
              <w:t>Voting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ind w:left="480"/>
              <w:spacing w:after="0"/>
              <w:rPr>
                <w:sz w:val="20"/>
                <w:szCs w:val="20"/>
                <w:color w:val="auto"/>
              </w:rPr>
            </w:pPr>
            <w:r>
              <w:rPr>
                <w:rFonts w:ascii="Arial" w:cs="Arial" w:eastAsia="Arial" w:hAnsi="Arial"/>
                <w:sz w:val="18"/>
                <w:szCs w:val="18"/>
                <w:b w:val="1"/>
                <w:bCs w:val="1"/>
                <w:color w:val="53C072"/>
              </w:rPr>
              <w:t>Board</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ind w:left="220"/>
              <w:spacing w:after="0"/>
              <w:rPr>
                <w:sz w:val="20"/>
                <w:szCs w:val="20"/>
                <w:color w:val="auto"/>
              </w:rPr>
            </w:pPr>
            <w:r>
              <w:rPr>
                <w:rFonts w:ascii="Arial" w:cs="Arial" w:eastAsia="Arial" w:hAnsi="Arial"/>
                <w:sz w:val="18"/>
                <w:szCs w:val="18"/>
                <w:b w:val="1"/>
                <w:bCs w:val="1"/>
                <w:color w:val="53C072"/>
              </w:rPr>
              <w:t>Page</w:t>
            </w:r>
          </w:p>
        </w:tc>
        <w:tc>
          <w:tcPr>
            <w:tcW w:w="0" w:type="dxa"/>
            <w:vAlign w:val="bottom"/>
          </w:tcPr>
          <w:p>
            <w:pPr>
              <w:spacing w:after="0"/>
              <w:rPr>
                <w:sz w:val="1"/>
                <w:szCs w:val="1"/>
                <w:color w:val="auto"/>
              </w:rPr>
            </w:pPr>
          </w:p>
        </w:tc>
      </w:tr>
      <w:tr>
        <w:trPr>
          <w:trHeight w:val="289"/>
        </w:trPr>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53C072"/>
                <w:w w:val="96"/>
              </w:rPr>
              <w:t>Proposals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ind w:left="60"/>
              <w:spacing w:after="0"/>
              <w:rPr>
                <w:sz w:val="20"/>
                <w:szCs w:val="20"/>
                <w:color w:val="auto"/>
              </w:rPr>
            </w:pPr>
            <w:r>
              <w:rPr>
                <w:rFonts w:ascii="Arial" w:cs="Arial" w:eastAsia="Arial" w:hAnsi="Arial"/>
                <w:sz w:val="18"/>
                <w:szCs w:val="18"/>
                <w:b w:val="1"/>
                <w:bCs w:val="1"/>
                <w:color w:val="53C072"/>
              </w:rPr>
              <w:t>​</w:t>
            </w:r>
          </w:p>
        </w:tc>
        <w:tc>
          <w:tcPr>
            <w:tcW w:w="20" w:type="dxa"/>
            <w:vAlign w:val="bottom"/>
          </w:tcPr>
          <w:p>
            <w:pPr>
              <w:spacing w:after="0"/>
              <w:rPr>
                <w:sz w:val="24"/>
                <w:szCs w:val="24"/>
                <w:color w:val="auto"/>
              </w:rPr>
            </w:pPr>
          </w:p>
        </w:tc>
        <w:tc>
          <w:tcPr>
            <w:tcW w:w="140" w:type="dxa"/>
            <w:vAlign w:val="bottom"/>
          </w:tcPr>
          <w:p>
            <w:pPr>
              <w:ind w:left="60"/>
              <w:spacing w:after="0"/>
              <w:rPr>
                <w:sz w:val="20"/>
                <w:szCs w:val="20"/>
                <w:color w:val="auto"/>
              </w:rPr>
            </w:pPr>
            <w:r>
              <w:rPr>
                <w:rFonts w:ascii="Arial" w:cs="Arial" w:eastAsia="Arial" w:hAnsi="Arial"/>
                <w:sz w:val="18"/>
                <w:szCs w:val="18"/>
                <w:b w:val="1"/>
                <w:bCs w:val="1"/>
                <w:color w:val="53C072"/>
              </w:rPr>
              <w:t>​</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53C072"/>
                <w:w w:val="99"/>
              </w:rPr>
              <w:t>Standard</w:t>
            </w:r>
          </w:p>
        </w:tc>
        <w:tc>
          <w:tcPr>
            <w:tcW w:w="100" w:type="dxa"/>
            <w:vAlign w:val="bottom"/>
          </w:tcPr>
          <w:p>
            <w:pPr>
              <w:ind w:left="20"/>
              <w:spacing w:after="0"/>
              <w:rPr>
                <w:sz w:val="20"/>
                <w:szCs w:val="20"/>
                <w:color w:val="auto"/>
              </w:rPr>
            </w:pPr>
            <w:r>
              <w:rPr>
                <w:rFonts w:ascii="Arial" w:cs="Arial" w:eastAsia="Arial" w:hAnsi="Arial"/>
                <w:sz w:val="18"/>
                <w:szCs w:val="18"/>
                <w:b w:val="1"/>
                <w:bCs w:val="1"/>
                <w:color w:val="53C072"/>
              </w:rPr>
              <w:t>​</w:t>
            </w:r>
          </w:p>
        </w:tc>
        <w:tc>
          <w:tcPr>
            <w:tcW w:w="1840" w:type="dxa"/>
            <w:vAlign w:val="bottom"/>
            <w:gridSpan w:val="3"/>
          </w:tcPr>
          <w:p>
            <w:pPr>
              <w:ind w:left="80"/>
              <w:spacing w:after="0" w:line="288" w:lineRule="exact"/>
              <w:rPr>
                <w:sz w:val="20"/>
                <w:szCs w:val="20"/>
                <w:color w:val="auto"/>
              </w:rPr>
            </w:pPr>
            <w:r>
              <w:rPr>
                <w:rFonts w:ascii="Arial" w:cs="Arial" w:eastAsia="Arial" w:hAnsi="Arial"/>
                <w:sz w:val="33"/>
                <w:szCs w:val="33"/>
                <w:b w:val="1"/>
                <w:bCs w:val="1"/>
                <w:color w:val="53C072"/>
                <w:vertAlign w:val="subscript"/>
              </w:rPr>
              <w:t>​</w:t>
            </w:r>
            <w:r>
              <w:rPr>
                <w:rFonts w:ascii="Arial" w:cs="Arial" w:eastAsia="Arial" w:hAnsi="Arial"/>
                <w:sz w:val="17"/>
                <w:szCs w:val="17"/>
                <w:b w:val="1"/>
                <w:bCs w:val="1"/>
                <w:color w:val="53C072"/>
              </w:rPr>
              <w:t xml:space="preserve"> Recommendation </w:t>
            </w:r>
            <w:r>
              <w:rPr>
                <w:rFonts w:ascii="Arial" w:cs="Arial" w:eastAsia="Arial" w:hAnsi="Arial"/>
                <w:sz w:val="33"/>
                <w:szCs w:val="33"/>
                <w:b w:val="1"/>
                <w:bCs w:val="1"/>
                <w:color w:val="53C072"/>
                <w:vertAlign w:val="subscript"/>
              </w:rPr>
              <w:t>​</w:t>
            </w:r>
          </w:p>
        </w:tc>
        <w:tc>
          <w:tcPr>
            <w:tcW w:w="20" w:type="dxa"/>
            <w:vAlign w:val="bottom"/>
          </w:tcPr>
          <w:p>
            <w:pPr>
              <w:spacing w:after="0"/>
              <w:rPr>
                <w:sz w:val="24"/>
                <w:szCs w:val="24"/>
                <w:color w:val="auto"/>
              </w:rPr>
            </w:pPr>
          </w:p>
        </w:tc>
        <w:tc>
          <w:tcPr>
            <w:tcW w:w="1040" w:type="dxa"/>
            <w:vAlign w:val="bottom"/>
            <w:gridSpan w:val="2"/>
          </w:tcPr>
          <w:p>
            <w:pPr>
              <w:ind w:left="80"/>
              <w:spacing w:after="0" w:line="288" w:lineRule="exact"/>
              <w:rPr>
                <w:sz w:val="20"/>
                <w:szCs w:val="20"/>
                <w:color w:val="auto"/>
              </w:rPr>
            </w:pPr>
            <w:r>
              <w:rPr>
                <w:rFonts w:ascii="Arial" w:cs="Arial" w:eastAsia="Arial" w:hAnsi="Arial"/>
                <w:sz w:val="33"/>
                <w:szCs w:val="33"/>
                <w:b w:val="1"/>
                <w:bCs w:val="1"/>
                <w:color w:val="53C072"/>
                <w:vertAlign w:val="subscript"/>
              </w:rPr>
              <w:t>​</w:t>
            </w:r>
            <w:r>
              <w:rPr>
                <w:rFonts w:ascii="Arial" w:cs="Arial" w:eastAsia="Arial" w:hAnsi="Arial"/>
                <w:sz w:val="17"/>
                <w:szCs w:val="17"/>
                <w:b w:val="1"/>
                <w:bCs w:val="1"/>
                <w:color w:val="53C072"/>
              </w:rPr>
              <w:t xml:space="preserve"> Reference</w:t>
            </w:r>
          </w:p>
        </w:tc>
        <w:tc>
          <w:tcPr>
            <w:tcW w:w="0" w:type="dxa"/>
            <w:vAlign w:val="bottom"/>
          </w:tcPr>
          <w:p>
            <w:pPr>
              <w:spacing w:after="0"/>
              <w:rPr>
                <w:sz w:val="1"/>
                <w:szCs w:val="1"/>
                <w:color w:val="auto"/>
              </w:rPr>
            </w:pPr>
          </w:p>
        </w:tc>
      </w:tr>
      <w:tr>
        <w:trPr>
          <w:trHeight w:val="270"/>
        </w:trPr>
        <w:tc>
          <w:tcPr>
            <w:tcW w:w="740" w:type="dxa"/>
            <w:vAlign w:val="bottom"/>
            <w:vMerge w:val="restart"/>
            <w:shd w:val="clear" w:color="auto" w:fill="53C072"/>
          </w:tcPr>
          <w:p>
            <w:pPr>
              <w:jc w:val="right"/>
              <w:ind w:right="132"/>
              <w:spacing w:after="0"/>
              <w:rPr>
                <w:sz w:val="20"/>
                <w:szCs w:val="20"/>
                <w:color w:val="auto"/>
              </w:rPr>
            </w:pPr>
            <w:r>
              <w:rPr>
                <w:rFonts w:ascii="Arial" w:cs="Arial" w:eastAsia="Arial" w:hAnsi="Arial"/>
                <w:sz w:val="32"/>
                <w:szCs w:val="32"/>
                <w:b w:val="1"/>
                <w:bCs w:val="1"/>
                <w:color w:val="FEFEFE"/>
              </w:rPr>
              <w:t>1</w:t>
            </w:r>
          </w:p>
        </w:tc>
        <w:tc>
          <w:tcPr>
            <w:tcW w:w="140" w:type="dxa"/>
            <w:vAlign w:val="bottom"/>
            <w:vMerge w:val="restart"/>
            <w:shd w:val="clear" w:color="auto" w:fill="53C072"/>
          </w:tcPr>
          <w:p>
            <w:pPr>
              <w:ind w:left="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3"/>
                <w:szCs w:val="23"/>
                <w:color w:val="auto"/>
              </w:rPr>
            </w:pPr>
          </w:p>
        </w:tc>
        <w:tc>
          <w:tcPr>
            <w:tcW w:w="140" w:type="dxa"/>
            <w:vAlign w:val="bottom"/>
            <w:vMerge w:val="restart"/>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3380" w:type="dxa"/>
            <w:vAlign w:val="bottom"/>
            <w:vMerge w:val="restart"/>
            <w:shd w:val="clear" w:color="auto" w:fill="D8D8D8"/>
          </w:tcPr>
          <w:p>
            <w:pPr>
              <w:ind w:left="20"/>
              <w:spacing w:after="0"/>
              <w:rPr>
                <w:sz w:val="20"/>
                <w:szCs w:val="20"/>
                <w:color w:val="auto"/>
              </w:rPr>
            </w:pPr>
            <w:r>
              <w:rPr>
                <w:rFonts w:ascii="Arial" w:cs="Arial" w:eastAsia="Arial" w:hAnsi="Arial"/>
                <w:sz w:val="18"/>
                <w:szCs w:val="18"/>
                <w:b w:val="1"/>
                <w:bCs w:val="1"/>
                <w:color w:val="auto"/>
              </w:rPr>
              <w:t>Election of Directors</w:t>
            </w:r>
          </w:p>
        </w:tc>
        <w:tc>
          <w:tcPr>
            <w:tcW w:w="140" w:type="dxa"/>
            <w:vAlign w:val="bottom"/>
            <w:vMerge w:val="restart"/>
            <w:shd w:val="clear" w:color="auto" w:fill="D8D8D8"/>
          </w:tcPr>
          <w:p>
            <w:pPr>
              <w:ind w:left="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3"/>
                <w:szCs w:val="23"/>
                <w:color w:val="auto"/>
              </w:rPr>
            </w:pPr>
          </w:p>
        </w:tc>
        <w:tc>
          <w:tcPr>
            <w:tcW w:w="140" w:type="dxa"/>
            <w:vAlign w:val="bottom"/>
            <w:vMerge w:val="restart"/>
            <w:shd w:val="clear" w:color="auto" w:fill="D8D8D8"/>
          </w:tcPr>
          <w:p>
            <w:pPr>
              <w:ind w:left="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D8D8D8"/>
          </w:tcPr>
          <w:p>
            <w:pPr>
              <w:jc w:val="center"/>
              <w:ind w:right="10"/>
              <w:spacing w:after="0"/>
              <w:rPr>
                <w:sz w:val="20"/>
                <w:szCs w:val="20"/>
                <w:color w:val="auto"/>
              </w:rPr>
            </w:pPr>
            <w:r>
              <w:rPr>
                <w:rFonts w:ascii="Arial" w:cs="Arial" w:eastAsia="Arial" w:hAnsi="Arial"/>
                <w:sz w:val="18"/>
                <w:szCs w:val="18"/>
                <w:b w:val="1"/>
                <w:bCs w:val="1"/>
                <w:color w:val="auto"/>
                <w:w w:val="98"/>
              </w:rPr>
              <w:t>Majority of</w:t>
            </w:r>
          </w:p>
        </w:tc>
        <w:tc>
          <w:tcPr>
            <w:tcW w:w="100" w:type="dxa"/>
            <w:vAlign w:val="bottom"/>
            <w:vMerge w:val="restart"/>
            <w:shd w:val="clear" w:color="auto" w:fill="D8D8D8"/>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shd w:val="clear" w:color="auto" w:fill="53C072"/>
          </w:tcPr>
          <w:p>
            <w:pPr>
              <w:ind w:left="80"/>
              <w:spacing w:after="0"/>
              <w:rPr>
                <w:sz w:val="20"/>
                <w:szCs w:val="20"/>
                <w:color w:val="auto"/>
              </w:rPr>
            </w:pPr>
            <w:r>
              <w:rPr>
                <w:rFonts w:ascii="Arial" w:cs="Arial" w:eastAsia="Arial" w:hAnsi="Arial"/>
                <w:sz w:val="18"/>
                <w:szCs w:val="18"/>
                <w:b w:val="1"/>
                <w:bCs w:val="1"/>
                <w:color w:val="auto"/>
              </w:rPr>
              <w:t>​</w:t>
            </w:r>
          </w:p>
        </w:tc>
        <w:tc>
          <w:tcPr>
            <w:tcW w:w="1540" w:type="dxa"/>
            <w:vAlign w:val="bottom"/>
            <w:vMerge w:val="restart"/>
            <w:shd w:val="clear" w:color="auto" w:fill="53C072"/>
          </w:tcPr>
          <w:p>
            <w:pPr>
              <w:ind w:left="460"/>
              <w:spacing w:after="0"/>
              <w:rPr>
                <w:sz w:val="20"/>
                <w:szCs w:val="20"/>
                <w:color w:val="auto"/>
              </w:rPr>
            </w:pPr>
            <w:r>
              <w:rPr>
                <w:rFonts w:ascii="Arial" w:cs="Arial" w:eastAsia="Arial" w:hAnsi="Arial"/>
                <w:sz w:val="29"/>
                <w:szCs w:val="29"/>
                <w:b w:val="1"/>
                <w:bCs w:val="1"/>
                <w:color w:val="FFFFFF"/>
              </w:rPr>
              <w:t>FOR</w:t>
            </w:r>
            <w:r>
              <w:rPr>
                <w:rFonts w:ascii="Arial" w:cs="Arial" w:eastAsia="Arial" w:hAnsi="Arial"/>
                <w:sz w:val="17"/>
                <w:szCs w:val="17"/>
                <w:b w:val="1"/>
                <w:bCs w:val="1"/>
                <w:color w:val="FFFFFF"/>
              </w:rPr>
              <w:t>​</w:t>
            </w:r>
          </w:p>
        </w:tc>
        <w:tc>
          <w:tcPr>
            <w:tcW w:w="140" w:type="dxa"/>
            <w:vAlign w:val="bottom"/>
            <w:vMerge w:val="restart"/>
            <w:shd w:val="clear" w:color="auto" w:fill="53C072"/>
          </w:tcPr>
          <w:p>
            <w:pPr>
              <w:ind w:left="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3"/>
                <w:szCs w:val="23"/>
                <w:color w:val="auto"/>
              </w:rPr>
            </w:pPr>
          </w:p>
        </w:tc>
        <w:tc>
          <w:tcPr>
            <w:tcW w:w="140" w:type="dxa"/>
            <w:vAlign w:val="bottom"/>
            <w:vMerge w:val="restart"/>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D8D8D8"/>
          </w:tcPr>
          <w:p>
            <w:pPr>
              <w:jc w:val="center"/>
              <w:spacing w:after="0"/>
              <w:rPr>
                <w:sz w:val="20"/>
                <w:szCs w:val="20"/>
                <w:color w:val="auto"/>
              </w:rPr>
            </w:pPr>
            <w:r>
              <w:rPr>
                <w:rFonts w:ascii="Arial" w:cs="Arial" w:eastAsia="Arial" w:hAnsi="Arial"/>
                <w:sz w:val="18"/>
                <w:szCs w:val="18"/>
                <w:b w:val="1"/>
                <w:bCs w:val="1"/>
                <w:color w:val="auto"/>
                <w:w w:val="99"/>
              </w:rPr>
              <w:t>8</w:t>
            </w:r>
          </w:p>
        </w:tc>
        <w:tc>
          <w:tcPr>
            <w:tcW w:w="0" w:type="dxa"/>
            <w:vAlign w:val="bottom"/>
          </w:tcPr>
          <w:p>
            <w:pPr>
              <w:spacing w:after="0"/>
              <w:rPr>
                <w:sz w:val="1"/>
                <w:szCs w:val="1"/>
                <w:color w:val="auto"/>
              </w:rPr>
            </w:pPr>
          </w:p>
        </w:tc>
      </w:tr>
      <w:tr>
        <w:trPr>
          <w:trHeight w:val="397"/>
        </w:trPr>
        <w:tc>
          <w:tcPr>
            <w:tcW w:w="740" w:type="dxa"/>
            <w:vAlign w:val="bottom"/>
            <w:vMerge w:val="continue"/>
            <w:shd w:val="clear" w:color="auto" w:fill="53C072"/>
          </w:tcPr>
          <w:p>
            <w:pPr>
              <w:spacing w:after="0"/>
              <w:rPr>
                <w:sz w:val="24"/>
                <w:szCs w:val="24"/>
                <w:color w:val="auto"/>
              </w:rPr>
            </w:pPr>
          </w:p>
        </w:tc>
        <w:tc>
          <w:tcPr>
            <w:tcW w:w="140" w:type="dxa"/>
            <w:vAlign w:val="bottom"/>
            <w:vMerge w:val="continue"/>
            <w:shd w:val="clear" w:color="auto" w:fill="53C072"/>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vMerge w:val="continue"/>
            <w:shd w:val="clear" w:color="auto" w:fill="D8D8D8"/>
          </w:tcPr>
          <w:p>
            <w:pPr>
              <w:spacing w:after="0"/>
              <w:rPr>
                <w:sz w:val="24"/>
                <w:szCs w:val="24"/>
                <w:color w:val="auto"/>
              </w:rPr>
            </w:pPr>
          </w:p>
        </w:tc>
        <w:tc>
          <w:tcPr>
            <w:tcW w:w="3380" w:type="dxa"/>
            <w:vAlign w:val="bottom"/>
            <w:vMerge w:val="continue"/>
            <w:shd w:val="clear" w:color="auto" w:fill="D8D8D8"/>
          </w:tcPr>
          <w:p>
            <w:pPr>
              <w:spacing w:after="0"/>
              <w:rPr>
                <w:sz w:val="24"/>
                <w:szCs w:val="24"/>
                <w:color w:val="auto"/>
              </w:rPr>
            </w:pPr>
          </w:p>
        </w:tc>
        <w:tc>
          <w:tcPr>
            <w:tcW w:w="140" w:type="dxa"/>
            <w:vAlign w:val="bottom"/>
            <w:vMerge w:val="continue"/>
            <w:shd w:val="clear" w:color="auto" w:fill="D8D8D8"/>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vMerge w:val="continue"/>
            <w:shd w:val="clear" w:color="auto" w:fill="D8D8D8"/>
          </w:tcPr>
          <w:p>
            <w:pPr>
              <w:spacing w:after="0"/>
              <w:rPr>
                <w:sz w:val="24"/>
                <w:szCs w:val="24"/>
                <w:color w:val="auto"/>
              </w:rPr>
            </w:pPr>
          </w:p>
        </w:tc>
        <w:tc>
          <w:tcPr>
            <w:tcW w:w="1040" w:type="dxa"/>
            <w:vAlign w:val="bottom"/>
            <w:shd w:val="clear" w:color="auto" w:fill="D8D8D8"/>
          </w:tcPr>
          <w:p>
            <w:pPr>
              <w:ind w:left="60"/>
              <w:spacing w:after="0"/>
              <w:rPr>
                <w:sz w:val="20"/>
                <w:szCs w:val="20"/>
                <w:color w:val="auto"/>
              </w:rPr>
            </w:pPr>
            <w:r>
              <w:rPr>
                <w:rFonts w:ascii="Arial" w:cs="Arial" w:eastAsia="Arial" w:hAnsi="Arial"/>
                <w:sz w:val="18"/>
                <w:szCs w:val="18"/>
                <w:b w:val="1"/>
                <w:bCs w:val="1"/>
                <w:color w:val="auto"/>
              </w:rPr>
              <w:t>votes cast</w:t>
            </w:r>
            <w:r>
              <w:rPr>
                <w:rFonts w:ascii="Arial" w:cs="Arial" w:eastAsia="Arial" w:hAnsi="Arial"/>
                <w:sz w:val="28"/>
                <w:szCs w:val="28"/>
                <w:b w:val="1"/>
                <w:bCs w:val="1"/>
                <w:color w:val="auto"/>
              </w:rPr>
              <w:t>​</w:t>
            </w:r>
          </w:p>
        </w:tc>
        <w:tc>
          <w:tcPr>
            <w:tcW w:w="100" w:type="dxa"/>
            <w:vAlign w:val="bottom"/>
            <w:vMerge w:val="continue"/>
            <w:shd w:val="clear" w:color="auto" w:fill="D8D8D8"/>
          </w:tcPr>
          <w:p>
            <w:pPr>
              <w:spacing w:after="0"/>
              <w:rPr>
                <w:sz w:val="24"/>
                <w:szCs w:val="24"/>
                <w:color w:val="auto"/>
              </w:rPr>
            </w:pPr>
          </w:p>
        </w:tc>
        <w:tc>
          <w:tcPr>
            <w:tcW w:w="160" w:type="dxa"/>
            <w:vAlign w:val="bottom"/>
            <w:vMerge w:val="continue"/>
            <w:shd w:val="clear" w:color="auto" w:fill="53C072"/>
          </w:tcPr>
          <w:p>
            <w:pPr>
              <w:spacing w:after="0"/>
              <w:rPr>
                <w:sz w:val="24"/>
                <w:szCs w:val="24"/>
                <w:color w:val="auto"/>
              </w:rPr>
            </w:pPr>
          </w:p>
        </w:tc>
        <w:tc>
          <w:tcPr>
            <w:tcW w:w="1540" w:type="dxa"/>
            <w:vAlign w:val="bottom"/>
            <w:vMerge w:val="continue"/>
            <w:shd w:val="clear" w:color="auto" w:fill="53C072"/>
          </w:tcPr>
          <w:p>
            <w:pPr>
              <w:spacing w:after="0"/>
              <w:rPr>
                <w:sz w:val="24"/>
                <w:szCs w:val="24"/>
                <w:color w:val="auto"/>
              </w:rPr>
            </w:pPr>
          </w:p>
        </w:tc>
        <w:tc>
          <w:tcPr>
            <w:tcW w:w="140" w:type="dxa"/>
            <w:vAlign w:val="bottom"/>
            <w:vMerge w:val="continue"/>
            <w:shd w:val="clear" w:color="auto" w:fill="53C072"/>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vMerge w:val="continue"/>
            <w:shd w:val="clear" w:color="auto" w:fill="D8D8D8"/>
          </w:tcPr>
          <w:p>
            <w:pPr>
              <w:spacing w:after="0"/>
              <w:rPr>
                <w:sz w:val="24"/>
                <w:szCs w:val="24"/>
                <w:color w:val="auto"/>
              </w:rPr>
            </w:pPr>
          </w:p>
        </w:tc>
        <w:tc>
          <w:tcPr>
            <w:tcW w:w="900" w:type="dxa"/>
            <w:vAlign w:val="bottom"/>
            <w:vMerge w:val="continue"/>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40" w:type="dxa"/>
            <w:vAlign w:val="bottom"/>
            <w:vMerge w:val="restart"/>
            <w:shd w:val="clear" w:color="auto" w:fill="53C072"/>
          </w:tcPr>
          <w:p>
            <w:pPr>
              <w:jc w:val="right"/>
              <w:ind w:right="132"/>
              <w:spacing w:after="0"/>
              <w:rPr>
                <w:sz w:val="20"/>
                <w:szCs w:val="20"/>
                <w:color w:val="auto"/>
              </w:rPr>
            </w:pPr>
            <w:r>
              <w:rPr>
                <w:rFonts w:ascii="Arial" w:cs="Arial" w:eastAsia="Arial" w:hAnsi="Arial"/>
                <w:sz w:val="32"/>
                <w:szCs w:val="32"/>
                <w:b w:val="1"/>
                <w:bCs w:val="1"/>
                <w:color w:val="FEFEFE"/>
              </w:rPr>
              <w:t>2</w:t>
            </w:r>
          </w:p>
        </w:tc>
        <w:tc>
          <w:tcPr>
            <w:tcW w:w="140" w:type="dxa"/>
            <w:vAlign w:val="bottom"/>
            <w:vMerge w:val="restart"/>
            <w:shd w:val="clear" w:color="auto" w:fill="53C072"/>
          </w:tcPr>
          <w:p>
            <w:pPr>
              <w:ind w:left="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vMerge w:val="restart"/>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338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Advisory vote on named executive</w:t>
            </w:r>
          </w:p>
        </w:tc>
        <w:tc>
          <w:tcPr>
            <w:tcW w:w="140" w:type="dxa"/>
            <w:vAlign w:val="bottom"/>
            <w:vMerge w:val="restart"/>
            <w:shd w:val="clear" w:color="auto" w:fill="D8D8D8"/>
          </w:tcPr>
          <w:p>
            <w:pPr>
              <w:ind w:left="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vMerge w:val="restart"/>
            <w:shd w:val="clear" w:color="auto" w:fill="D8D8D8"/>
          </w:tcPr>
          <w:p>
            <w:pPr>
              <w:ind w:left="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D8D8D8"/>
          </w:tcPr>
          <w:p>
            <w:pPr>
              <w:jc w:val="center"/>
              <w:ind w:right="10"/>
              <w:spacing w:after="0"/>
              <w:rPr>
                <w:sz w:val="20"/>
                <w:szCs w:val="20"/>
                <w:color w:val="auto"/>
              </w:rPr>
            </w:pPr>
            <w:r>
              <w:rPr>
                <w:rFonts w:ascii="Arial" w:cs="Arial" w:eastAsia="Arial" w:hAnsi="Arial"/>
                <w:sz w:val="18"/>
                <w:szCs w:val="18"/>
                <w:b w:val="1"/>
                <w:bCs w:val="1"/>
                <w:color w:val="auto"/>
                <w:w w:val="98"/>
              </w:rPr>
              <w:t>Majority of</w:t>
            </w:r>
          </w:p>
        </w:tc>
        <w:tc>
          <w:tcPr>
            <w:tcW w:w="100" w:type="dxa"/>
            <w:vAlign w:val="bottom"/>
            <w:vMerge w:val="restart"/>
            <w:shd w:val="clear" w:color="auto" w:fill="D8D8D8"/>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shd w:val="clear" w:color="auto" w:fill="53C072"/>
          </w:tcPr>
          <w:p>
            <w:pPr>
              <w:ind w:left="80"/>
              <w:spacing w:after="0"/>
              <w:rPr>
                <w:sz w:val="20"/>
                <w:szCs w:val="20"/>
                <w:color w:val="auto"/>
              </w:rPr>
            </w:pPr>
            <w:r>
              <w:rPr>
                <w:rFonts w:ascii="Arial" w:cs="Arial" w:eastAsia="Arial" w:hAnsi="Arial"/>
                <w:sz w:val="18"/>
                <w:szCs w:val="18"/>
                <w:b w:val="1"/>
                <w:bCs w:val="1"/>
                <w:color w:val="auto"/>
              </w:rPr>
              <w:t>​</w:t>
            </w:r>
          </w:p>
        </w:tc>
        <w:tc>
          <w:tcPr>
            <w:tcW w:w="1540" w:type="dxa"/>
            <w:vAlign w:val="bottom"/>
            <w:vMerge w:val="restart"/>
            <w:shd w:val="clear" w:color="auto" w:fill="53C072"/>
          </w:tcPr>
          <w:p>
            <w:pPr>
              <w:ind w:left="460"/>
              <w:spacing w:after="0"/>
              <w:rPr>
                <w:sz w:val="20"/>
                <w:szCs w:val="20"/>
                <w:color w:val="auto"/>
              </w:rPr>
            </w:pPr>
            <w:r>
              <w:rPr>
                <w:rFonts w:ascii="Arial" w:cs="Arial" w:eastAsia="Arial" w:hAnsi="Arial"/>
                <w:sz w:val="29"/>
                <w:szCs w:val="29"/>
                <w:b w:val="1"/>
                <w:bCs w:val="1"/>
                <w:color w:val="FFFFFF"/>
              </w:rPr>
              <w:t>FOR</w:t>
            </w:r>
            <w:r>
              <w:rPr>
                <w:rFonts w:ascii="Arial" w:cs="Arial" w:eastAsia="Arial" w:hAnsi="Arial"/>
                <w:sz w:val="17"/>
                <w:szCs w:val="17"/>
                <w:b w:val="1"/>
                <w:bCs w:val="1"/>
                <w:color w:val="FFFFFF"/>
              </w:rPr>
              <w:t>​</w:t>
            </w:r>
          </w:p>
        </w:tc>
        <w:tc>
          <w:tcPr>
            <w:tcW w:w="140" w:type="dxa"/>
            <w:vAlign w:val="bottom"/>
            <w:vMerge w:val="restart"/>
            <w:shd w:val="clear" w:color="auto" w:fill="53C072"/>
          </w:tcPr>
          <w:p>
            <w:pPr>
              <w:ind w:left="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vMerge w:val="restart"/>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D8D8D8"/>
          </w:tcPr>
          <w:p>
            <w:pPr>
              <w:jc w:val="center"/>
              <w:spacing w:after="0"/>
              <w:rPr>
                <w:sz w:val="20"/>
                <w:szCs w:val="20"/>
                <w:color w:val="auto"/>
              </w:rPr>
            </w:pPr>
            <w:r>
              <w:rPr>
                <w:rFonts w:ascii="Arial" w:cs="Arial" w:eastAsia="Arial" w:hAnsi="Arial"/>
                <w:sz w:val="18"/>
                <w:szCs w:val="18"/>
                <w:b w:val="1"/>
                <w:bCs w:val="1"/>
                <w:color w:val="auto"/>
                <w:w w:val="99"/>
              </w:rPr>
              <w:t>38</w:t>
            </w:r>
          </w:p>
        </w:tc>
        <w:tc>
          <w:tcPr>
            <w:tcW w:w="0" w:type="dxa"/>
            <w:vAlign w:val="bottom"/>
          </w:tcPr>
          <w:p>
            <w:pPr>
              <w:spacing w:after="0"/>
              <w:rPr>
                <w:sz w:val="1"/>
                <w:szCs w:val="1"/>
                <w:color w:val="auto"/>
              </w:rPr>
            </w:pPr>
          </w:p>
        </w:tc>
      </w:tr>
      <w:tr>
        <w:trPr>
          <w:trHeight w:val="282"/>
        </w:trPr>
        <w:tc>
          <w:tcPr>
            <w:tcW w:w="740" w:type="dxa"/>
            <w:vAlign w:val="bottom"/>
            <w:vMerge w:val="continue"/>
            <w:shd w:val="clear" w:color="auto" w:fill="53C072"/>
          </w:tcPr>
          <w:p>
            <w:pPr>
              <w:spacing w:after="0"/>
              <w:rPr>
                <w:sz w:val="24"/>
                <w:szCs w:val="24"/>
                <w:color w:val="auto"/>
              </w:rPr>
            </w:pPr>
          </w:p>
        </w:tc>
        <w:tc>
          <w:tcPr>
            <w:tcW w:w="140" w:type="dxa"/>
            <w:vAlign w:val="bottom"/>
            <w:vMerge w:val="continue"/>
            <w:shd w:val="clear" w:color="auto" w:fill="53C072"/>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vMerge w:val="continue"/>
            <w:shd w:val="clear" w:color="auto" w:fill="D8D8D8"/>
          </w:tcPr>
          <w:p>
            <w:pPr>
              <w:spacing w:after="0"/>
              <w:rPr>
                <w:sz w:val="24"/>
                <w:szCs w:val="24"/>
                <w:color w:val="auto"/>
              </w:rPr>
            </w:pPr>
          </w:p>
        </w:tc>
        <w:tc>
          <w:tcPr>
            <w:tcW w:w="338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compensation</w:t>
            </w:r>
          </w:p>
        </w:tc>
        <w:tc>
          <w:tcPr>
            <w:tcW w:w="140" w:type="dxa"/>
            <w:vAlign w:val="bottom"/>
            <w:vMerge w:val="continue"/>
            <w:shd w:val="clear" w:color="auto" w:fill="D8D8D8"/>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vMerge w:val="continue"/>
            <w:shd w:val="clear" w:color="auto" w:fill="D8D8D8"/>
          </w:tcPr>
          <w:p>
            <w:pPr>
              <w:spacing w:after="0"/>
              <w:rPr>
                <w:sz w:val="24"/>
                <w:szCs w:val="24"/>
                <w:color w:val="auto"/>
              </w:rPr>
            </w:pPr>
          </w:p>
        </w:tc>
        <w:tc>
          <w:tcPr>
            <w:tcW w:w="1040" w:type="dxa"/>
            <w:vAlign w:val="bottom"/>
            <w:vMerge w:val="restart"/>
            <w:shd w:val="clear" w:color="auto" w:fill="D8D8D8"/>
          </w:tcPr>
          <w:p>
            <w:pPr>
              <w:ind w:left="60"/>
              <w:spacing w:after="0"/>
              <w:rPr>
                <w:sz w:val="20"/>
                <w:szCs w:val="20"/>
                <w:color w:val="auto"/>
              </w:rPr>
            </w:pPr>
            <w:r>
              <w:rPr>
                <w:rFonts w:ascii="Arial" w:cs="Arial" w:eastAsia="Arial" w:hAnsi="Arial"/>
                <w:sz w:val="18"/>
                <w:szCs w:val="18"/>
                <w:b w:val="1"/>
                <w:bCs w:val="1"/>
                <w:color w:val="auto"/>
              </w:rPr>
              <w:t>votes cast</w:t>
            </w:r>
            <w:r>
              <w:rPr>
                <w:rFonts w:ascii="Arial" w:cs="Arial" w:eastAsia="Arial" w:hAnsi="Arial"/>
                <w:sz w:val="28"/>
                <w:szCs w:val="28"/>
                <w:b w:val="1"/>
                <w:bCs w:val="1"/>
                <w:color w:val="auto"/>
              </w:rPr>
              <w:t>​</w:t>
            </w:r>
          </w:p>
        </w:tc>
        <w:tc>
          <w:tcPr>
            <w:tcW w:w="100" w:type="dxa"/>
            <w:vAlign w:val="bottom"/>
            <w:vMerge w:val="continue"/>
            <w:shd w:val="clear" w:color="auto" w:fill="D8D8D8"/>
          </w:tcPr>
          <w:p>
            <w:pPr>
              <w:spacing w:after="0"/>
              <w:rPr>
                <w:sz w:val="24"/>
                <w:szCs w:val="24"/>
                <w:color w:val="auto"/>
              </w:rPr>
            </w:pPr>
          </w:p>
        </w:tc>
        <w:tc>
          <w:tcPr>
            <w:tcW w:w="160" w:type="dxa"/>
            <w:vAlign w:val="bottom"/>
            <w:vMerge w:val="continue"/>
            <w:shd w:val="clear" w:color="auto" w:fill="53C072"/>
          </w:tcPr>
          <w:p>
            <w:pPr>
              <w:spacing w:after="0"/>
              <w:rPr>
                <w:sz w:val="24"/>
                <w:szCs w:val="24"/>
                <w:color w:val="auto"/>
              </w:rPr>
            </w:pPr>
          </w:p>
        </w:tc>
        <w:tc>
          <w:tcPr>
            <w:tcW w:w="1540" w:type="dxa"/>
            <w:vAlign w:val="bottom"/>
            <w:vMerge w:val="continue"/>
            <w:shd w:val="clear" w:color="auto" w:fill="53C072"/>
          </w:tcPr>
          <w:p>
            <w:pPr>
              <w:spacing w:after="0"/>
              <w:rPr>
                <w:sz w:val="24"/>
                <w:szCs w:val="24"/>
                <w:color w:val="auto"/>
              </w:rPr>
            </w:pPr>
          </w:p>
        </w:tc>
        <w:tc>
          <w:tcPr>
            <w:tcW w:w="140" w:type="dxa"/>
            <w:vAlign w:val="bottom"/>
            <w:vMerge w:val="continue"/>
            <w:shd w:val="clear" w:color="auto" w:fill="53C072"/>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vMerge w:val="continue"/>
            <w:shd w:val="clear" w:color="auto" w:fill="D8D8D8"/>
          </w:tcPr>
          <w:p>
            <w:pPr>
              <w:spacing w:after="0"/>
              <w:rPr>
                <w:sz w:val="24"/>
                <w:szCs w:val="24"/>
                <w:color w:val="auto"/>
              </w:rPr>
            </w:pPr>
          </w:p>
        </w:tc>
        <w:tc>
          <w:tcPr>
            <w:tcW w:w="900" w:type="dxa"/>
            <w:vAlign w:val="bottom"/>
            <w:vMerge w:val="continue"/>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740" w:type="dxa"/>
            <w:vAlign w:val="bottom"/>
            <w:shd w:val="clear" w:color="auto" w:fill="53C072"/>
          </w:tcPr>
          <w:p>
            <w:pPr>
              <w:spacing w:after="0"/>
              <w:rPr>
                <w:sz w:val="10"/>
                <w:szCs w:val="10"/>
                <w:color w:val="auto"/>
              </w:rPr>
            </w:pPr>
          </w:p>
        </w:tc>
        <w:tc>
          <w:tcPr>
            <w:tcW w:w="140" w:type="dxa"/>
            <w:vAlign w:val="bottom"/>
            <w:shd w:val="clear" w:color="auto" w:fill="53C07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D8D8D8"/>
          </w:tcPr>
          <w:p>
            <w:pPr>
              <w:spacing w:after="0"/>
              <w:rPr>
                <w:sz w:val="10"/>
                <w:szCs w:val="10"/>
                <w:color w:val="auto"/>
              </w:rPr>
            </w:pPr>
          </w:p>
        </w:tc>
        <w:tc>
          <w:tcPr>
            <w:tcW w:w="3380" w:type="dxa"/>
            <w:vAlign w:val="bottom"/>
            <w:shd w:val="clear" w:color="auto" w:fill="D8D8D8"/>
          </w:tcPr>
          <w:p>
            <w:pPr>
              <w:spacing w:after="0"/>
              <w:rPr>
                <w:sz w:val="10"/>
                <w:szCs w:val="10"/>
                <w:color w:val="auto"/>
              </w:rPr>
            </w:pPr>
          </w:p>
        </w:tc>
        <w:tc>
          <w:tcPr>
            <w:tcW w:w="140" w:type="dxa"/>
            <w:vAlign w:val="bottom"/>
            <w:shd w:val="clear" w:color="auto" w:fill="D8D8D8"/>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D8D8D8"/>
          </w:tcPr>
          <w:p>
            <w:pPr>
              <w:spacing w:after="0"/>
              <w:rPr>
                <w:sz w:val="10"/>
                <w:szCs w:val="10"/>
                <w:color w:val="auto"/>
              </w:rPr>
            </w:pPr>
          </w:p>
        </w:tc>
        <w:tc>
          <w:tcPr>
            <w:tcW w:w="1040" w:type="dxa"/>
            <w:vAlign w:val="bottom"/>
            <w:vMerge w:val="continue"/>
            <w:shd w:val="clear" w:color="auto" w:fill="D8D8D8"/>
          </w:tcPr>
          <w:p>
            <w:pPr>
              <w:spacing w:after="0"/>
              <w:rPr>
                <w:sz w:val="10"/>
                <w:szCs w:val="10"/>
                <w:color w:val="auto"/>
              </w:rPr>
            </w:pPr>
          </w:p>
        </w:tc>
        <w:tc>
          <w:tcPr>
            <w:tcW w:w="100" w:type="dxa"/>
            <w:vAlign w:val="bottom"/>
            <w:shd w:val="clear" w:color="auto" w:fill="D8D8D8"/>
          </w:tcPr>
          <w:p>
            <w:pPr>
              <w:spacing w:after="0"/>
              <w:rPr>
                <w:sz w:val="10"/>
                <w:szCs w:val="10"/>
                <w:color w:val="auto"/>
              </w:rPr>
            </w:pPr>
          </w:p>
        </w:tc>
        <w:tc>
          <w:tcPr>
            <w:tcW w:w="160" w:type="dxa"/>
            <w:vAlign w:val="bottom"/>
            <w:shd w:val="clear" w:color="auto" w:fill="53C072"/>
          </w:tcPr>
          <w:p>
            <w:pPr>
              <w:spacing w:after="0"/>
              <w:rPr>
                <w:sz w:val="10"/>
                <w:szCs w:val="10"/>
                <w:color w:val="auto"/>
              </w:rPr>
            </w:pPr>
          </w:p>
        </w:tc>
        <w:tc>
          <w:tcPr>
            <w:tcW w:w="1540" w:type="dxa"/>
            <w:vAlign w:val="bottom"/>
            <w:shd w:val="clear" w:color="auto" w:fill="53C072"/>
          </w:tcPr>
          <w:p>
            <w:pPr>
              <w:spacing w:after="0"/>
              <w:rPr>
                <w:sz w:val="10"/>
                <w:szCs w:val="10"/>
                <w:color w:val="auto"/>
              </w:rPr>
            </w:pPr>
          </w:p>
        </w:tc>
        <w:tc>
          <w:tcPr>
            <w:tcW w:w="140" w:type="dxa"/>
            <w:vAlign w:val="bottom"/>
            <w:shd w:val="clear" w:color="auto" w:fill="53C07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D8D8D8"/>
          </w:tcPr>
          <w:p>
            <w:pPr>
              <w:spacing w:after="0"/>
              <w:rPr>
                <w:sz w:val="10"/>
                <w:szCs w:val="10"/>
                <w:color w:val="auto"/>
              </w:rPr>
            </w:pPr>
          </w:p>
        </w:tc>
        <w:tc>
          <w:tcPr>
            <w:tcW w:w="90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740" w:type="dxa"/>
            <w:vAlign w:val="bottom"/>
            <w:vMerge w:val="restart"/>
            <w:shd w:val="clear" w:color="auto" w:fill="53C072"/>
          </w:tcPr>
          <w:p>
            <w:pPr>
              <w:jc w:val="right"/>
              <w:ind w:right="132"/>
              <w:spacing w:after="0"/>
              <w:rPr>
                <w:sz w:val="20"/>
                <w:szCs w:val="20"/>
                <w:color w:val="auto"/>
              </w:rPr>
            </w:pPr>
            <w:r>
              <w:rPr>
                <w:rFonts w:ascii="Arial" w:cs="Arial" w:eastAsia="Arial" w:hAnsi="Arial"/>
                <w:sz w:val="32"/>
                <w:szCs w:val="32"/>
                <w:b w:val="1"/>
                <w:bCs w:val="1"/>
                <w:color w:val="FEFEFE"/>
              </w:rPr>
              <w:t>3</w:t>
            </w:r>
          </w:p>
        </w:tc>
        <w:tc>
          <w:tcPr>
            <w:tcW w:w="140" w:type="dxa"/>
            <w:vAlign w:val="bottom"/>
            <w:vMerge w:val="restart"/>
            <w:shd w:val="clear" w:color="auto" w:fill="53C072"/>
          </w:tcPr>
          <w:p>
            <w:pPr>
              <w:ind w:left="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vMerge w:val="restart"/>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338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Approval of 2025 Stock Compensation</w:t>
            </w:r>
          </w:p>
        </w:tc>
        <w:tc>
          <w:tcPr>
            <w:tcW w:w="140" w:type="dxa"/>
            <w:vAlign w:val="bottom"/>
            <w:vMerge w:val="restart"/>
            <w:shd w:val="clear" w:color="auto" w:fill="D8D8D8"/>
          </w:tcPr>
          <w:p>
            <w:pPr>
              <w:ind w:left="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vMerge w:val="restart"/>
            <w:shd w:val="clear" w:color="auto" w:fill="D8D8D8"/>
          </w:tcPr>
          <w:p>
            <w:pPr>
              <w:ind w:left="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Majority of</w:t>
            </w:r>
          </w:p>
        </w:tc>
        <w:tc>
          <w:tcPr>
            <w:tcW w:w="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shd w:val="clear" w:color="auto" w:fill="53C072"/>
          </w:tcPr>
          <w:p>
            <w:pPr>
              <w:ind w:left="80"/>
              <w:spacing w:after="0"/>
              <w:rPr>
                <w:sz w:val="20"/>
                <w:szCs w:val="20"/>
                <w:color w:val="auto"/>
              </w:rPr>
            </w:pPr>
            <w:r>
              <w:rPr>
                <w:rFonts w:ascii="Arial" w:cs="Arial" w:eastAsia="Arial" w:hAnsi="Arial"/>
                <w:sz w:val="18"/>
                <w:szCs w:val="18"/>
                <w:b w:val="1"/>
                <w:bCs w:val="1"/>
                <w:color w:val="auto"/>
              </w:rPr>
              <w:t>​</w:t>
            </w:r>
          </w:p>
        </w:tc>
        <w:tc>
          <w:tcPr>
            <w:tcW w:w="1540" w:type="dxa"/>
            <w:vAlign w:val="bottom"/>
            <w:vMerge w:val="restart"/>
            <w:shd w:val="clear" w:color="auto" w:fill="53C072"/>
          </w:tcPr>
          <w:p>
            <w:pPr>
              <w:ind w:left="460"/>
              <w:spacing w:after="0"/>
              <w:rPr>
                <w:sz w:val="20"/>
                <w:szCs w:val="20"/>
                <w:color w:val="auto"/>
              </w:rPr>
            </w:pPr>
            <w:r>
              <w:rPr>
                <w:rFonts w:ascii="Arial" w:cs="Arial" w:eastAsia="Arial" w:hAnsi="Arial"/>
                <w:sz w:val="29"/>
                <w:szCs w:val="29"/>
                <w:b w:val="1"/>
                <w:bCs w:val="1"/>
                <w:color w:val="FFFFFF"/>
              </w:rPr>
              <w:t>FOR</w:t>
            </w:r>
            <w:r>
              <w:rPr>
                <w:rFonts w:ascii="Arial" w:cs="Arial" w:eastAsia="Arial" w:hAnsi="Arial"/>
                <w:sz w:val="17"/>
                <w:szCs w:val="17"/>
                <w:b w:val="1"/>
                <w:bCs w:val="1"/>
                <w:color w:val="FFFFFF"/>
              </w:rPr>
              <w:t>​</w:t>
            </w:r>
          </w:p>
        </w:tc>
        <w:tc>
          <w:tcPr>
            <w:tcW w:w="140" w:type="dxa"/>
            <w:vAlign w:val="bottom"/>
            <w:vMerge w:val="restart"/>
            <w:shd w:val="clear" w:color="auto" w:fill="53C072"/>
          </w:tcPr>
          <w:p>
            <w:pPr>
              <w:ind w:left="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vMerge w:val="restart"/>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D8D8D8"/>
          </w:tcPr>
          <w:p>
            <w:pPr>
              <w:jc w:val="center"/>
              <w:spacing w:after="0"/>
              <w:rPr>
                <w:sz w:val="20"/>
                <w:szCs w:val="20"/>
                <w:color w:val="auto"/>
              </w:rPr>
            </w:pPr>
            <w:r>
              <w:rPr>
                <w:rFonts w:ascii="Arial" w:cs="Arial" w:eastAsia="Arial" w:hAnsi="Arial"/>
                <w:sz w:val="18"/>
                <w:szCs w:val="18"/>
                <w:b w:val="1"/>
                <w:bCs w:val="1"/>
                <w:color w:val="auto"/>
                <w:w w:val="99"/>
              </w:rPr>
              <w:t>72</w:t>
            </w:r>
          </w:p>
        </w:tc>
        <w:tc>
          <w:tcPr>
            <w:tcW w:w="0" w:type="dxa"/>
            <w:vAlign w:val="bottom"/>
          </w:tcPr>
          <w:p>
            <w:pPr>
              <w:spacing w:after="0"/>
              <w:rPr>
                <w:sz w:val="1"/>
                <w:szCs w:val="1"/>
                <w:color w:val="auto"/>
              </w:rPr>
            </w:pPr>
          </w:p>
        </w:tc>
      </w:tr>
      <w:tr>
        <w:trPr>
          <w:trHeight w:val="282"/>
        </w:trPr>
        <w:tc>
          <w:tcPr>
            <w:tcW w:w="740" w:type="dxa"/>
            <w:vAlign w:val="bottom"/>
            <w:vMerge w:val="continue"/>
            <w:shd w:val="clear" w:color="auto" w:fill="53C072"/>
          </w:tcPr>
          <w:p>
            <w:pPr>
              <w:spacing w:after="0"/>
              <w:rPr>
                <w:sz w:val="24"/>
                <w:szCs w:val="24"/>
                <w:color w:val="auto"/>
              </w:rPr>
            </w:pPr>
          </w:p>
        </w:tc>
        <w:tc>
          <w:tcPr>
            <w:tcW w:w="140" w:type="dxa"/>
            <w:vAlign w:val="bottom"/>
            <w:vMerge w:val="continue"/>
            <w:shd w:val="clear" w:color="auto" w:fill="53C072"/>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vMerge w:val="continue"/>
            <w:shd w:val="clear" w:color="auto" w:fill="D8D8D8"/>
          </w:tcPr>
          <w:p>
            <w:pPr>
              <w:spacing w:after="0"/>
              <w:rPr>
                <w:sz w:val="24"/>
                <w:szCs w:val="24"/>
                <w:color w:val="auto"/>
              </w:rPr>
            </w:pPr>
          </w:p>
        </w:tc>
        <w:tc>
          <w:tcPr>
            <w:tcW w:w="338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and Incentive Plan</w:t>
            </w:r>
          </w:p>
        </w:tc>
        <w:tc>
          <w:tcPr>
            <w:tcW w:w="140" w:type="dxa"/>
            <w:vAlign w:val="bottom"/>
            <w:vMerge w:val="continue"/>
            <w:shd w:val="clear" w:color="auto" w:fill="D8D8D8"/>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vMerge w:val="continue"/>
            <w:shd w:val="clear" w:color="auto" w:fill="D8D8D8"/>
          </w:tcPr>
          <w:p>
            <w:pPr>
              <w:spacing w:after="0"/>
              <w:rPr>
                <w:sz w:val="24"/>
                <w:szCs w:val="24"/>
                <w:color w:val="auto"/>
              </w:rPr>
            </w:pPr>
          </w:p>
        </w:tc>
        <w:tc>
          <w:tcPr>
            <w:tcW w:w="10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votes cast</w:t>
            </w:r>
            <w:r>
              <w:rPr>
                <w:rFonts w:ascii="Arial" w:cs="Arial" w:eastAsia="Arial" w:hAnsi="Arial"/>
                <w:sz w:val="28"/>
                <w:szCs w:val="28"/>
                <w:b w:val="1"/>
                <w:bCs w:val="1"/>
                <w:color w:val="auto"/>
              </w:rPr>
              <w:t>​</w:t>
            </w:r>
          </w:p>
        </w:tc>
        <w:tc>
          <w:tcPr>
            <w:tcW w:w="100" w:type="dxa"/>
            <w:vAlign w:val="bottom"/>
            <w:vMerge w:val="continue"/>
          </w:tcPr>
          <w:p>
            <w:pPr>
              <w:spacing w:after="0"/>
              <w:rPr>
                <w:sz w:val="24"/>
                <w:szCs w:val="24"/>
                <w:color w:val="auto"/>
              </w:rPr>
            </w:pPr>
          </w:p>
        </w:tc>
        <w:tc>
          <w:tcPr>
            <w:tcW w:w="160" w:type="dxa"/>
            <w:vAlign w:val="bottom"/>
            <w:vMerge w:val="continue"/>
            <w:shd w:val="clear" w:color="auto" w:fill="53C072"/>
          </w:tcPr>
          <w:p>
            <w:pPr>
              <w:spacing w:after="0"/>
              <w:rPr>
                <w:sz w:val="24"/>
                <w:szCs w:val="24"/>
                <w:color w:val="auto"/>
              </w:rPr>
            </w:pPr>
          </w:p>
        </w:tc>
        <w:tc>
          <w:tcPr>
            <w:tcW w:w="1540" w:type="dxa"/>
            <w:vAlign w:val="bottom"/>
            <w:vMerge w:val="continue"/>
            <w:shd w:val="clear" w:color="auto" w:fill="53C072"/>
          </w:tcPr>
          <w:p>
            <w:pPr>
              <w:spacing w:after="0"/>
              <w:rPr>
                <w:sz w:val="24"/>
                <w:szCs w:val="24"/>
                <w:color w:val="auto"/>
              </w:rPr>
            </w:pPr>
          </w:p>
        </w:tc>
        <w:tc>
          <w:tcPr>
            <w:tcW w:w="140" w:type="dxa"/>
            <w:vAlign w:val="bottom"/>
            <w:vMerge w:val="continue"/>
            <w:shd w:val="clear" w:color="auto" w:fill="53C072"/>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vMerge w:val="continue"/>
            <w:shd w:val="clear" w:color="auto" w:fill="D8D8D8"/>
          </w:tcPr>
          <w:p>
            <w:pPr>
              <w:spacing w:after="0"/>
              <w:rPr>
                <w:sz w:val="24"/>
                <w:szCs w:val="24"/>
                <w:color w:val="auto"/>
              </w:rPr>
            </w:pPr>
          </w:p>
        </w:tc>
        <w:tc>
          <w:tcPr>
            <w:tcW w:w="900" w:type="dxa"/>
            <w:vAlign w:val="bottom"/>
            <w:vMerge w:val="continue"/>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0" w:type="dxa"/>
            <w:vAlign w:val="bottom"/>
            <w:shd w:val="clear" w:color="auto" w:fill="53C072"/>
          </w:tcPr>
          <w:p>
            <w:pPr>
              <w:spacing w:after="0"/>
              <w:rPr>
                <w:sz w:val="9"/>
                <w:szCs w:val="9"/>
                <w:color w:val="auto"/>
              </w:rPr>
            </w:pPr>
          </w:p>
        </w:tc>
        <w:tc>
          <w:tcPr>
            <w:tcW w:w="140" w:type="dxa"/>
            <w:vAlign w:val="bottom"/>
            <w:shd w:val="clear" w:color="auto" w:fill="53C07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shd w:val="clear" w:color="auto" w:fill="D8D8D8"/>
          </w:tcPr>
          <w:p>
            <w:pPr>
              <w:spacing w:after="0"/>
              <w:rPr>
                <w:sz w:val="9"/>
                <w:szCs w:val="9"/>
                <w:color w:val="auto"/>
              </w:rPr>
            </w:pPr>
          </w:p>
        </w:tc>
        <w:tc>
          <w:tcPr>
            <w:tcW w:w="3380" w:type="dxa"/>
            <w:vAlign w:val="bottom"/>
            <w:shd w:val="clear" w:color="auto" w:fill="D8D8D8"/>
          </w:tcPr>
          <w:p>
            <w:pPr>
              <w:spacing w:after="0"/>
              <w:rPr>
                <w:sz w:val="9"/>
                <w:szCs w:val="9"/>
                <w:color w:val="auto"/>
              </w:rPr>
            </w:pPr>
          </w:p>
        </w:tc>
        <w:tc>
          <w:tcPr>
            <w:tcW w:w="140" w:type="dxa"/>
            <w:vAlign w:val="bottom"/>
            <w:shd w:val="clear" w:color="auto" w:fill="D8D8D8"/>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shd w:val="clear" w:color="auto" w:fill="D8D8D8"/>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shd w:val="clear" w:color="auto" w:fill="53C072"/>
          </w:tcPr>
          <w:p>
            <w:pPr>
              <w:spacing w:after="0"/>
              <w:rPr>
                <w:sz w:val="9"/>
                <w:szCs w:val="9"/>
                <w:color w:val="auto"/>
              </w:rPr>
            </w:pPr>
          </w:p>
        </w:tc>
        <w:tc>
          <w:tcPr>
            <w:tcW w:w="1540" w:type="dxa"/>
            <w:vAlign w:val="bottom"/>
            <w:shd w:val="clear" w:color="auto" w:fill="53C072"/>
          </w:tcPr>
          <w:p>
            <w:pPr>
              <w:spacing w:after="0"/>
              <w:rPr>
                <w:sz w:val="9"/>
                <w:szCs w:val="9"/>
                <w:color w:val="auto"/>
              </w:rPr>
            </w:pPr>
          </w:p>
        </w:tc>
        <w:tc>
          <w:tcPr>
            <w:tcW w:w="140" w:type="dxa"/>
            <w:vAlign w:val="bottom"/>
            <w:shd w:val="clear" w:color="auto" w:fill="53C07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shd w:val="clear" w:color="auto" w:fill="D8D8D8"/>
          </w:tcPr>
          <w:p>
            <w:pPr>
              <w:spacing w:after="0"/>
              <w:rPr>
                <w:sz w:val="9"/>
                <w:szCs w:val="9"/>
                <w:color w:val="auto"/>
              </w:rPr>
            </w:pPr>
          </w:p>
        </w:tc>
        <w:tc>
          <w:tcPr>
            <w:tcW w:w="90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740" w:type="dxa"/>
            <w:vAlign w:val="bottom"/>
            <w:vMerge w:val="restart"/>
            <w:shd w:val="clear" w:color="auto" w:fill="53C072"/>
          </w:tcPr>
          <w:p>
            <w:pPr>
              <w:jc w:val="right"/>
              <w:ind w:right="132"/>
              <w:spacing w:after="0"/>
              <w:rPr>
                <w:sz w:val="20"/>
                <w:szCs w:val="20"/>
                <w:color w:val="auto"/>
              </w:rPr>
            </w:pPr>
            <w:r>
              <w:rPr>
                <w:rFonts w:ascii="Arial" w:cs="Arial" w:eastAsia="Arial" w:hAnsi="Arial"/>
                <w:sz w:val="32"/>
                <w:szCs w:val="32"/>
                <w:b w:val="1"/>
                <w:bCs w:val="1"/>
                <w:color w:val="FEFEFE"/>
              </w:rPr>
              <w:t>4</w:t>
            </w:r>
          </w:p>
        </w:tc>
        <w:tc>
          <w:tcPr>
            <w:tcW w:w="140" w:type="dxa"/>
            <w:vAlign w:val="bottom"/>
            <w:vMerge w:val="restart"/>
            <w:shd w:val="clear" w:color="auto" w:fill="53C072"/>
          </w:tcPr>
          <w:p>
            <w:pPr>
              <w:ind w:left="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vMerge w:val="restart"/>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338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Ratification of independent registered</w:t>
            </w:r>
          </w:p>
        </w:tc>
        <w:tc>
          <w:tcPr>
            <w:tcW w:w="140" w:type="dxa"/>
            <w:vAlign w:val="bottom"/>
            <w:vMerge w:val="restart"/>
            <w:shd w:val="clear" w:color="auto" w:fill="D8D8D8"/>
          </w:tcPr>
          <w:p>
            <w:pPr>
              <w:ind w:left="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vMerge w:val="restart"/>
            <w:shd w:val="clear" w:color="auto" w:fill="D8D8D8"/>
          </w:tcPr>
          <w:p>
            <w:pPr>
              <w:ind w:left="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Majority of</w:t>
            </w:r>
          </w:p>
        </w:tc>
        <w:tc>
          <w:tcPr>
            <w:tcW w:w="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shd w:val="clear" w:color="auto" w:fill="53C072"/>
          </w:tcPr>
          <w:p>
            <w:pPr>
              <w:ind w:left="80"/>
              <w:spacing w:after="0"/>
              <w:rPr>
                <w:sz w:val="20"/>
                <w:szCs w:val="20"/>
                <w:color w:val="auto"/>
              </w:rPr>
            </w:pPr>
            <w:r>
              <w:rPr>
                <w:rFonts w:ascii="Arial" w:cs="Arial" w:eastAsia="Arial" w:hAnsi="Arial"/>
                <w:sz w:val="18"/>
                <w:szCs w:val="18"/>
                <w:b w:val="1"/>
                <w:bCs w:val="1"/>
                <w:color w:val="auto"/>
              </w:rPr>
              <w:t>​</w:t>
            </w:r>
          </w:p>
        </w:tc>
        <w:tc>
          <w:tcPr>
            <w:tcW w:w="1540" w:type="dxa"/>
            <w:vAlign w:val="bottom"/>
            <w:vMerge w:val="restart"/>
            <w:shd w:val="clear" w:color="auto" w:fill="53C072"/>
          </w:tcPr>
          <w:p>
            <w:pPr>
              <w:ind w:left="460"/>
              <w:spacing w:after="0"/>
              <w:rPr>
                <w:sz w:val="20"/>
                <w:szCs w:val="20"/>
                <w:color w:val="auto"/>
              </w:rPr>
            </w:pPr>
            <w:r>
              <w:rPr>
                <w:rFonts w:ascii="Arial" w:cs="Arial" w:eastAsia="Arial" w:hAnsi="Arial"/>
                <w:sz w:val="29"/>
                <w:szCs w:val="29"/>
                <w:b w:val="1"/>
                <w:bCs w:val="1"/>
                <w:color w:val="FFFFFF"/>
              </w:rPr>
              <w:t>FOR</w:t>
            </w:r>
            <w:r>
              <w:rPr>
                <w:rFonts w:ascii="Arial" w:cs="Arial" w:eastAsia="Arial" w:hAnsi="Arial"/>
                <w:sz w:val="17"/>
                <w:szCs w:val="17"/>
                <w:b w:val="1"/>
                <w:bCs w:val="1"/>
                <w:color w:val="FFFFFF"/>
              </w:rPr>
              <w:t>​</w:t>
            </w:r>
          </w:p>
        </w:tc>
        <w:tc>
          <w:tcPr>
            <w:tcW w:w="140" w:type="dxa"/>
            <w:vAlign w:val="bottom"/>
            <w:vMerge w:val="restart"/>
            <w:shd w:val="clear" w:color="auto" w:fill="53C072"/>
          </w:tcPr>
          <w:p>
            <w:pPr>
              <w:ind w:left="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vMerge w:val="restart"/>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D8D8D8"/>
          </w:tcPr>
          <w:p>
            <w:pPr>
              <w:jc w:val="center"/>
              <w:spacing w:after="0"/>
              <w:rPr>
                <w:sz w:val="20"/>
                <w:szCs w:val="20"/>
                <w:color w:val="auto"/>
              </w:rPr>
            </w:pPr>
            <w:r>
              <w:rPr>
                <w:rFonts w:ascii="Arial" w:cs="Arial" w:eastAsia="Arial" w:hAnsi="Arial"/>
                <w:sz w:val="18"/>
                <w:szCs w:val="18"/>
                <w:b w:val="1"/>
                <w:bCs w:val="1"/>
                <w:color w:val="auto"/>
                <w:w w:val="99"/>
              </w:rPr>
              <w:t>81</w:t>
            </w:r>
          </w:p>
        </w:tc>
        <w:tc>
          <w:tcPr>
            <w:tcW w:w="0" w:type="dxa"/>
            <w:vAlign w:val="bottom"/>
          </w:tcPr>
          <w:p>
            <w:pPr>
              <w:spacing w:after="0"/>
              <w:rPr>
                <w:sz w:val="1"/>
                <w:szCs w:val="1"/>
                <w:color w:val="auto"/>
              </w:rPr>
            </w:pPr>
          </w:p>
        </w:tc>
      </w:tr>
      <w:tr>
        <w:trPr>
          <w:trHeight w:val="397"/>
        </w:trPr>
        <w:tc>
          <w:tcPr>
            <w:tcW w:w="740" w:type="dxa"/>
            <w:vAlign w:val="bottom"/>
            <w:vMerge w:val="continue"/>
            <w:shd w:val="clear" w:color="auto" w:fill="53C072"/>
          </w:tcPr>
          <w:p>
            <w:pPr>
              <w:spacing w:after="0"/>
              <w:rPr>
                <w:sz w:val="24"/>
                <w:szCs w:val="24"/>
                <w:color w:val="auto"/>
              </w:rPr>
            </w:pPr>
          </w:p>
        </w:tc>
        <w:tc>
          <w:tcPr>
            <w:tcW w:w="140" w:type="dxa"/>
            <w:vAlign w:val="bottom"/>
            <w:vMerge w:val="continue"/>
            <w:shd w:val="clear" w:color="auto" w:fill="53C072"/>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vMerge w:val="continue"/>
            <w:shd w:val="clear" w:color="auto" w:fill="D8D8D8"/>
          </w:tcPr>
          <w:p>
            <w:pPr>
              <w:spacing w:after="0"/>
              <w:rPr>
                <w:sz w:val="24"/>
                <w:szCs w:val="24"/>
                <w:color w:val="auto"/>
              </w:rPr>
            </w:pPr>
          </w:p>
        </w:tc>
        <w:tc>
          <w:tcPr>
            <w:tcW w:w="338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public accounting firm</w:t>
            </w:r>
          </w:p>
        </w:tc>
        <w:tc>
          <w:tcPr>
            <w:tcW w:w="140" w:type="dxa"/>
            <w:vAlign w:val="bottom"/>
            <w:vMerge w:val="continue"/>
            <w:shd w:val="clear" w:color="auto" w:fill="D8D8D8"/>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vMerge w:val="continue"/>
            <w:shd w:val="clear" w:color="auto" w:fill="D8D8D8"/>
          </w:tcPr>
          <w:p>
            <w:pPr>
              <w:spacing w:after="0"/>
              <w:rPr>
                <w:sz w:val="24"/>
                <w:szCs w:val="24"/>
                <w:color w:val="auto"/>
              </w:rPr>
            </w:pPr>
          </w:p>
        </w:tc>
        <w:tc>
          <w:tcPr>
            <w:tcW w:w="1040" w:type="dxa"/>
            <w:vAlign w:val="bottom"/>
          </w:tcPr>
          <w:p>
            <w:pPr>
              <w:ind w:left="60"/>
              <w:spacing w:after="0"/>
              <w:rPr>
                <w:sz w:val="20"/>
                <w:szCs w:val="20"/>
                <w:color w:val="auto"/>
              </w:rPr>
            </w:pPr>
            <w:r>
              <w:rPr>
                <w:rFonts w:ascii="Arial" w:cs="Arial" w:eastAsia="Arial" w:hAnsi="Arial"/>
                <w:sz w:val="18"/>
                <w:szCs w:val="18"/>
                <w:b w:val="1"/>
                <w:bCs w:val="1"/>
                <w:color w:val="auto"/>
              </w:rPr>
              <w:t>votes cast</w:t>
            </w:r>
            <w:r>
              <w:rPr>
                <w:rFonts w:ascii="Arial" w:cs="Arial" w:eastAsia="Arial" w:hAnsi="Arial"/>
                <w:sz w:val="28"/>
                <w:szCs w:val="28"/>
                <w:b w:val="1"/>
                <w:bCs w:val="1"/>
                <w:color w:val="auto"/>
              </w:rPr>
              <w:t>​</w:t>
            </w:r>
          </w:p>
        </w:tc>
        <w:tc>
          <w:tcPr>
            <w:tcW w:w="100" w:type="dxa"/>
            <w:vAlign w:val="bottom"/>
            <w:vMerge w:val="continue"/>
          </w:tcPr>
          <w:p>
            <w:pPr>
              <w:spacing w:after="0"/>
              <w:rPr>
                <w:sz w:val="24"/>
                <w:szCs w:val="24"/>
                <w:color w:val="auto"/>
              </w:rPr>
            </w:pPr>
          </w:p>
        </w:tc>
        <w:tc>
          <w:tcPr>
            <w:tcW w:w="160" w:type="dxa"/>
            <w:vAlign w:val="bottom"/>
            <w:vMerge w:val="continue"/>
            <w:shd w:val="clear" w:color="auto" w:fill="53C072"/>
          </w:tcPr>
          <w:p>
            <w:pPr>
              <w:spacing w:after="0"/>
              <w:rPr>
                <w:sz w:val="24"/>
                <w:szCs w:val="24"/>
                <w:color w:val="auto"/>
              </w:rPr>
            </w:pPr>
          </w:p>
        </w:tc>
        <w:tc>
          <w:tcPr>
            <w:tcW w:w="1540" w:type="dxa"/>
            <w:vAlign w:val="bottom"/>
            <w:vMerge w:val="continue"/>
            <w:shd w:val="clear" w:color="auto" w:fill="53C072"/>
          </w:tcPr>
          <w:p>
            <w:pPr>
              <w:spacing w:after="0"/>
              <w:rPr>
                <w:sz w:val="24"/>
                <w:szCs w:val="24"/>
                <w:color w:val="auto"/>
              </w:rPr>
            </w:pPr>
          </w:p>
        </w:tc>
        <w:tc>
          <w:tcPr>
            <w:tcW w:w="140" w:type="dxa"/>
            <w:vAlign w:val="bottom"/>
            <w:vMerge w:val="continue"/>
            <w:shd w:val="clear" w:color="auto" w:fill="53C072"/>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vMerge w:val="continue"/>
            <w:shd w:val="clear" w:color="auto" w:fill="D8D8D8"/>
          </w:tcPr>
          <w:p>
            <w:pPr>
              <w:spacing w:after="0"/>
              <w:rPr>
                <w:sz w:val="24"/>
                <w:szCs w:val="24"/>
                <w:color w:val="auto"/>
              </w:rPr>
            </w:pPr>
          </w:p>
        </w:tc>
        <w:tc>
          <w:tcPr>
            <w:tcW w:w="900" w:type="dxa"/>
            <w:vAlign w:val="bottom"/>
            <w:vMerge w:val="continue"/>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740" w:type="dxa"/>
            <w:vAlign w:val="bottom"/>
            <w:shd w:val="clear" w:color="auto" w:fill="53C072"/>
          </w:tcPr>
          <w:p>
            <w:pPr>
              <w:spacing w:after="0"/>
              <w:rPr>
                <w:sz w:val="3"/>
                <w:szCs w:val="3"/>
                <w:color w:val="auto"/>
              </w:rPr>
            </w:pPr>
          </w:p>
        </w:tc>
        <w:tc>
          <w:tcPr>
            <w:tcW w:w="140" w:type="dxa"/>
            <w:vAlign w:val="bottom"/>
            <w:shd w:val="clear" w:color="auto" w:fill="53C07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shd w:val="clear" w:color="auto" w:fill="D8D8D8"/>
          </w:tcPr>
          <w:p>
            <w:pPr>
              <w:spacing w:after="0"/>
              <w:rPr>
                <w:sz w:val="3"/>
                <w:szCs w:val="3"/>
                <w:color w:val="auto"/>
              </w:rPr>
            </w:pPr>
          </w:p>
        </w:tc>
        <w:tc>
          <w:tcPr>
            <w:tcW w:w="3380" w:type="dxa"/>
            <w:vAlign w:val="bottom"/>
            <w:shd w:val="clear" w:color="auto" w:fill="D8D8D8"/>
          </w:tcPr>
          <w:p>
            <w:pPr>
              <w:spacing w:after="0"/>
              <w:rPr>
                <w:sz w:val="3"/>
                <w:szCs w:val="3"/>
                <w:color w:val="auto"/>
              </w:rPr>
            </w:pPr>
          </w:p>
        </w:tc>
        <w:tc>
          <w:tcPr>
            <w:tcW w:w="140" w:type="dxa"/>
            <w:vAlign w:val="bottom"/>
            <w:shd w:val="clear" w:color="auto" w:fill="D8D8D8"/>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shd w:val="clear" w:color="auto" w:fill="D8D8D8"/>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shd w:val="clear" w:color="auto" w:fill="53C072"/>
          </w:tcPr>
          <w:p>
            <w:pPr>
              <w:spacing w:after="0"/>
              <w:rPr>
                <w:sz w:val="3"/>
                <w:szCs w:val="3"/>
                <w:color w:val="auto"/>
              </w:rPr>
            </w:pPr>
          </w:p>
        </w:tc>
        <w:tc>
          <w:tcPr>
            <w:tcW w:w="1540" w:type="dxa"/>
            <w:vAlign w:val="bottom"/>
            <w:shd w:val="clear" w:color="auto" w:fill="53C072"/>
          </w:tcPr>
          <w:p>
            <w:pPr>
              <w:spacing w:after="0"/>
              <w:rPr>
                <w:sz w:val="3"/>
                <w:szCs w:val="3"/>
                <w:color w:val="auto"/>
              </w:rPr>
            </w:pPr>
          </w:p>
        </w:tc>
        <w:tc>
          <w:tcPr>
            <w:tcW w:w="140" w:type="dxa"/>
            <w:vAlign w:val="bottom"/>
            <w:shd w:val="clear" w:color="auto" w:fill="53C07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shd w:val="clear" w:color="auto" w:fill="D8D8D8"/>
          </w:tcPr>
          <w:p>
            <w:pPr>
              <w:spacing w:after="0"/>
              <w:rPr>
                <w:sz w:val="3"/>
                <w:szCs w:val="3"/>
                <w:color w:val="auto"/>
              </w:rPr>
            </w:pPr>
          </w:p>
        </w:tc>
        <w:tc>
          <w:tcPr>
            <w:tcW w:w="900" w:type="dxa"/>
            <w:vAlign w:val="bottom"/>
            <w:shd w:val="clear" w:color="auto" w:fill="D8D8D8"/>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-1353820</wp:posOffset>
            </wp:positionV>
            <wp:extent cx="5554980" cy="13633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5498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199"/>
        <w:spacing w:after="0"/>
        <w:rPr>
          <w:sz w:val="20"/>
          <w:szCs w:val="20"/>
          <w:color w:val="auto"/>
        </w:rPr>
      </w:pPr>
      <w:r>
        <w:rPr>
          <w:sz w:val="1"/>
          <w:szCs w:val="1"/>
          <w:color w:val="auto"/>
        </w:rPr>
        <w:drawing>
          <wp:inline distT="0" distB="0" distL="0" distR="0">
            <wp:extent cx="1243330" cy="24003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500"/>
        <w:spacing w:after="0"/>
        <w:rPr>
          <w:sz w:val="20"/>
          <w:szCs w:val="20"/>
          <w:color w:val="auto"/>
        </w:rPr>
      </w:pPr>
      <w:r>
        <w:rPr>
          <w:rFonts w:ascii="Arial" w:cs="Arial" w:eastAsia="Arial" w:hAnsi="Arial"/>
          <w:sz w:val="40"/>
          <w:szCs w:val="40"/>
          <w:b w:val="1"/>
          <w:bCs w:val="1"/>
          <w:color w:val="FEFEFE"/>
        </w:rPr>
        <w:t>PROPOSAL 1: ELECTION OF DIRECTORS</w:t>
      </w:r>
      <w:r>
        <w:rPr>
          <w:rFonts w:ascii="Times New Roman" w:cs="Times New Roman" w:eastAsia="Times New Roman" w:hAnsi="Times New Roman"/>
          <w:sz w:val="17"/>
          <w:szCs w:val="17"/>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226695</wp:posOffset>
            </wp:positionV>
            <wp:extent cx="5554980" cy="771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399"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FEFEFE"/>
        </w:rPr>
        <w:t>RECOMMENDATION OF THE BOARD</w:t>
      </w:r>
    </w:p>
    <w:p>
      <w:pPr>
        <w:spacing w:after="0" w:line="200" w:lineRule="exact"/>
        <w:rPr>
          <w:sz w:val="20"/>
          <w:szCs w:val="20"/>
          <w:color w:val="auto"/>
        </w:rPr>
      </w:pPr>
    </w:p>
    <w:p>
      <w:pPr>
        <w:spacing w:after="0" w:line="22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 xml:space="preserve">The Board recommends that shareholders vote </w:t>
      </w:r>
      <w:r>
        <w:rPr>
          <w:rFonts w:ascii="Arial" w:cs="Arial" w:eastAsia="Arial" w:hAnsi="Arial"/>
          <w:sz w:val="18"/>
          <w:szCs w:val="18"/>
          <w:b w:val="1"/>
          <w:bCs w:val="1"/>
          <w:color w:val="53C072"/>
        </w:rPr>
        <w:t>FOR</w:t>
      </w:r>
      <w:r>
        <w:rPr>
          <w:rFonts w:ascii="Arial" w:cs="Arial" w:eastAsia="Arial" w:hAnsi="Arial"/>
          <w:sz w:val="18"/>
          <w:szCs w:val="18"/>
          <w:b w:val="1"/>
          <w:bCs w:val="1"/>
          <w:color w:val="auto"/>
        </w:rPr>
        <w:t xml:space="preserve"> all ten nominees listed below.</w:t>
      </w:r>
    </w:p>
    <w:p>
      <w:pPr>
        <w:spacing w:after="0" w:line="200" w:lineRule="exact"/>
        <w:rPr>
          <w:sz w:val="20"/>
          <w:szCs w:val="20"/>
          <w:color w:val="auto"/>
        </w:rPr>
      </w:pPr>
    </w:p>
    <w:p>
      <w:pPr>
        <w:spacing w:after="0" w:line="29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Description of Proposal</w:t>
      </w:r>
    </w:p>
    <w:p>
      <w:pPr>
        <w:spacing w:after="0" w:line="162" w:lineRule="exact"/>
        <w:rPr>
          <w:sz w:val="20"/>
          <w:szCs w:val="20"/>
          <w:color w:val="auto"/>
        </w:rPr>
      </w:pPr>
    </w:p>
    <w:p>
      <w:pPr>
        <w:ind w:left="1000" w:right="419"/>
        <w:spacing w:after="0" w:line="262" w:lineRule="auto"/>
        <w:rPr>
          <w:sz w:val="20"/>
          <w:szCs w:val="20"/>
          <w:color w:val="auto"/>
        </w:rPr>
      </w:pPr>
      <w:r>
        <w:rPr>
          <w:rFonts w:ascii="Arial" w:cs="Arial" w:eastAsia="Arial" w:hAnsi="Arial"/>
          <w:sz w:val="18"/>
          <w:szCs w:val="18"/>
          <w:color w:val="auto"/>
        </w:rPr>
        <w:t>Rodney C. Adkins, Brenda L. Freeman, Philip R. Gallagher, Helmut Gassel, Virginia L. Henkels, Jo Ann Jenkins, Oleg Khaykin, Ernest E. Maddock, Avid Modjtabai, and Adalio T. Sanchez have been nominated for election as Directors at the Annual Meeting, to serve until the next annual meeting of shareholders and until their successors have been elected and qualified.</w:t>
      </w:r>
    </w:p>
    <w:p>
      <w:pPr>
        <w:spacing w:after="0" w:line="95" w:lineRule="exact"/>
        <w:rPr>
          <w:sz w:val="20"/>
          <w:szCs w:val="20"/>
          <w:color w:val="auto"/>
        </w:rPr>
      </w:pPr>
    </w:p>
    <w:p>
      <w:pPr>
        <w:ind w:left="1000" w:right="579"/>
        <w:spacing w:after="0" w:line="268" w:lineRule="auto"/>
        <w:rPr>
          <w:sz w:val="20"/>
          <w:szCs w:val="20"/>
          <w:color w:val="auto"/>
        </w:rPr>
      </w:pPr>
      <w:r>
        <w:rPr>
          <w:rFonts w:ascii="Arial" w:cs="Arial" w:eastAsia="Arial" w:hAnsi="Arial"/>
          <w:sz w:val="18"/>
          <w:szCs w:val="18"/>
          <w:color w:val="auto"/>
        </w:rPr>
        <w:t>All the nominees are presently serving as Directors of the Board. The Corporate Governance Committee recommended to the Board all the nominees for re-election. Each nominee has consented to being named herein and to serving if elected.</w:t>
      </w:r>
    </w:p>
    <w:p>
      <w:pPr>
        <w:spacing w:after="0" w:line="103" w:lineRule="exact"/>
        <w:rPr>
          <w:sz w:val="20"/>
          <w:szCs w:val="20"/>
          <w:color w:val="auto"/>
        </w:rPr>
      </w:pPr>
    </w:p>
    <w:p>
      <w:pPr>
        <w:ind w:left="1000" w:right="159"/>
        <w:spacing w:after="0" w:line="259" w:lineRule="auto"/>
        <w:rPr>
          <w:sz w:val="20"/>
          <w:szCs w:val="20"/>
          <w:color w:val="auto"/>
        </w:rPr>
      </w:pPr>
      <w:r>
        <w:rPr>
          <w:rFonts w:ascii="Arial" w:cs="Arial" w:eastAsia="Arial" w:hAnsi="Arial"/>
          <w:sz w:val="18"/>
          <w:szCs w:val="18"/>
          <w:color w:val="auto"/>
        </w:rPr>
        <w:t>If any nominee should become unavailable for election, either: (1) the persons named as proxies in the enclosed proxy card may vote for a substitute nominee or vote for the remaining nominees and leave a vacancy on the Board of Directors, whereby such vacancy may be filled by a majority vote of the Directors then in office or by the shareholders at a meeting, or (2) the Board may reduce the size of the Board and the number of nominees to eliminate the vacancy.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Required Vote</w:t>
      </w:r>
    </w:p>
    <w:p>
      <w:pPr>
        <w:spacing w:after="0" w:line="148" w:lineRule="exact"/>
        <w:rPr>
          <w:sz w:val="20"/>
          <w:szCs w:val="20"/>
          <w:color w:val="auto"/>
        </w:rPr>
      </w:pPr>
    </w:p>
    <w:p>
      <w:pPr>
        <w:ind w:left="1000" w:right="179"/>
        <w:spacing w:after="0" w:line="262" w:lineRule="auto"/>
        <w:rPr>
          <w:sz w:val="20"/>
          <w:szCs w:val="20"/>
          <w:color w:val="auto"/>
        </w:rPr>
      </w:pPr>
      <w:r>
        <w:rPr>
          <w:rFonts w:ascii="Arial" w:cs="Arial" w:eastAsia="Arial" w:hAnsi="Arial"/>
          <w:sz w:val="18"/>
          <w:szCs w:val="18"/>
          <w:color w:val="auto"/>
        </w:rPr>
        <w:t>To be elected, each nominee must receive affirmative votes from a simple majority of shareholder votes cast at the Annual Meeting. A majority of the votes cast means that the number of shares voted “for” a Director nominee must exceed the number of shares voted “against” that Director nominee. Abstentions are not counted in determining the votes cast, and therefore will have no effect on the outcome.</w:t>
      </w:r>
    </w:p>
    <w:p>
      <w:pPr>
        <w:spacing w:after="0" w:line="1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Brokers who hold shares of Common Stock as nominees may not vote such shares for a Director nominee.</w:t>
      </w:r>
    </w:p>
    <w:p>
      <w:pPr>
        <w:spacing w:after="0" w:line="158" w:lineRule="exact"/>
        <w:rPr>
          <w:sz w:val="20"/>
          <w:szCs w:val="20"/>
          <w:color w:val="auto"/>
        </w:rPr>
      </w:pPr>
    </w:p>
    <w:p>
      <w:pPr>
        <w:ind w:left="1000" w:right="319"/>
        <w:spacing w:after="0" w:line="268" w:lineRule="auto"/>
        <w:rPr>
          <w:sz w:val="20"/>
          <w:szCs w:val="20"/>
          <w:color w:val="auto"/>
        </w:rPr>
      </w:pPr>
      <w:r>
        <w:rPr>
          <w:rFonts w:ascii="Arial" w:cs="Arial" w:eastAsia="Arial" w:hAnsi="Arial"/>
          <w:sz w:val="18"/>
          <w:szCs w:val="18"/>
          <w:color w:val="auto"/>
        </w:rPr>
        <w:t>If an incumbent nominee is not elected by the requisite vote, he or she must tender his or her resignation, and the Board, excluding such individual, will, within 90 days of the election, decide whether to accept such resignation and will disclose and explain its decision.</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Proxy</w:t>
      </w:r>
    </w:p>
    <w:p>
      <w:pPr>
        <w:spacing w:after="0" w:line="148" w:lineRule="exact"/>
        <w:rPr>
          <w:sz w:val="20"/>
          <w:szCs w:val="20"/>
          <w:color w:val="auto"/>
        </w:rPr>
      </w:pPr>
    </w:p>
    <w:p>
      <w:pPr>
        <w:ind w:left="1000" w:right="359"/>
        <w:spacing w:after="0" w:line="287" w:lineRule="auto"/>
        <w:rPr>
          <w:sz w:val="20"/>
          <w:szCs w:val="20"/>
          <w:color w:val="auto"/>
        </w:rPr>
      </w:pPr>
      <w:r>
        <w:rPr>
          <w:rFonts w:ascii="Arial" w:cs="Arial" w:eastAsia="Arial" w:hAnsi="Arial"/>
          <w:sz w:val="18"/>
          <w:szCs w:val="18"/>
          <w:color w:val="auto"/>
        </w:rPr>
        <w:t>Unless otherwise directed by the shareholder, the persons named as proxies on the proxy card will vote each properly signed and returned proxy card FOR the election of all ten nominees listed below.</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Nominees</w:t>
      </w:r>
    </w:p>
    <w:p>
      <w:pPr>
        <w:spacing w:after="0" w:line="148" w:lineRule="exact"/>
        <w:rPr>
          <w:sz w:val="20"/>
          <w:szCs w:val="20"/>
          <w:color w:val="auto"/>
        </w:rPr>
      </w:pPr>
    </w:p>
    <w:p>
      <w:pPr>
        <w:ind w:left="1000" w:right="539"/>
        <w:spacing w:after="0" w:line="262" w:lineRule="auto"/>
        <w:rPr>
          <w:sz w:val="20"/>
          <w:szCs w:val="20"/>
          <w:color w:val="auto"/>
        </w:rPr>
      </w:pPr>
      <w:r>
        <w:rPr>
          <w:rFonts w:ascii="Arial" w:cs="Arial" w:eastAsia="Arial" w:hAnsi="Arial"/>
          <w:sz w:val="18"/>
          <w:szCs w:val="18"/>
          <w:color w:val="auto"/>
        </w:rPr>
        <w:t>The following tables set forth the names and biographical information of the nominees as of September 22, 2025, including their age, principal occupation, the year they first became a Director, and the experience, qualifications, attributes, and skills that led the Board to conclude that these nominees should serve as Directors.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8     </w:t>
      </w:r>
      <w:r>
        <w:rPr>
          <w:sz w:val="1"/>
          <w:szCs w:val="1"/>
          <w:color w:val="auto"/>
        </w:rPr>
        <w:drawing>
          <wp:inline distT="0" distB="0" distL="0" distR="0">
            <wp:extent cx="1242695" cy="24003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8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2015</w:t>
      </w:r>
      <w:r>
        <w:rPr>
          <w:rFonts w:ascii="Arial" w:cs="Arial" w:eastAsia="Arial" w:hAnsi="Arial"/>
          <w:sz w:val="17"/>
          <w:szCs w:val="17"/>
          <w:color w:val="auto"/>
        </w:rPr>
        <w:t>​</w:t>
      </w:r>
    </w:p>
    <w:p>
      <w:pPr>
        <w:spacing w:after="0" w:line="102"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Board Chair Since: </w:t>
      </w:r>
      <w:r>
        <w:rPr>
          <w:rFonts w:ascii="Arial" w:cs="Arial" w:eastAsia="Arial" w:hAnsi="Arial"/>
          <w:sz w:val="14"/>
          <w:szCs w:val="14"/>
          <w:color w:val="auto"/>
        </w:rPr>
        <w:t>2018</w:t>
      </w:r>
      <w:r>
        <w:rPr>
          <w:rFonts w:ascii="Arial" w:cs="Arial" w:eastAsia="Arial" w:hAnsi="Arial"/>
          <w:sz w:val="17"/>
          <w:szCs w:val="17"/>
          <w:color w:val="auto"/>
        </w:rPr>
        <w:t>​</w:t>
      </w:r>
    </w:p>
    <w:p>
      <w:pPr>
        <w:spacing w:after="0" w:line="138"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67</w:t>
      </w:r>
    </w:p>
    <w:p>
      <w:pPr>
        <w:spacing w:after="0" w:line="113"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11"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Current Committee</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Memberships:</w:t>
      </w:r>
      <w:r>
        <w:rPr>
          <w:rFonts w:ascii="Arial" w:cs="Arial" w:eastAsia="Arial" w:hAnsi="Arial"/>
          <w:sz w:val="17"/>
          <w:szCs w:val="17"/>
          <w:color w:val="auto"/>
        </w:rPr>
        <w:t>​</w:t>
      </w:r>
    </w:p>
    <w:p>
      <w:pPr>
        <w:spacing w:after="0" w:line="76" w:lineRule="exact"/>
        <w:rPr>
          <w:sz w:val="20"/>
          <w:szCs w:val="20"/>
          <w:color w:val="auto"/>
        </w:rPr>
      </w:pPr>
    </w:p>
    <w:p>
      <w:pPr>
        <w:ind w:left="1360" w:hanging="262"/>
        <w:spacing w:after="0"/>
        <w:tabs>
          <w:tab w:leader="none" w:pos="1360" w:val="left"/>
        </w:tabs>
        <w:numPr>
          <w:ilvl w:val="0"/>
          <w:numId w:val="10"/>
        </w:numPr>
        <w:rPr>
          <w:rFonts w:ascii="Arial" w:cs="Arial" w:eastAsia="Arial" w:hAnsi="Arial"/>
          <w:sz w:val="18"/>
          <w:szCs w:val="18"/>
          <w:color w:val="53C072"/>
        </w:rPr>
      </w:pPr>
      <w:r>
        <w:rPr>
          <w:rFonts w:ascii="Arial" w:cs="Arial" w:eastAsia="Arial" w:hAnsi="Arial"/>
          <w:sz w:val="14"/>
          <w:szCs w:val="14"/>
          <w:color w:val="auto"/>
        </w:rPr>
        <w:t>Corporate Governance</w:t>
      </w:r>
    </w:p>
    <w:p>
      <w:pPr>
        <w:spacing w:after="0" w:line="25" w:lineRule="exact"/>
        <w:rPr>
          <w:rFonts w:ascii="Arial" w:cs="Arial" w:eastAsia="Arial" w:hAnsi="Arial"/>
          <w:sz w:val="18"/>
          <w:szCs w:val="18"/>
          <w:color w:val="53C072"/>
        </w:rPr>
      </w:pPr>
    </w:p>
    <w:p>
      <w:pPr>
        <w:ind w:left="1360" w:hanging="262"/>
        <w:spacing w:after="0" w:line="220" w:lineRule="auto"/>
        <w:tabs>
          <w:tab w:leader="none" w:pos="1360" w:val="left"/>
        </w:tabs>
        <w:numPr>
          <w:ilvl w:val="0"/>
          <w:numId w:val="10"/>
        </w:numPr>
        <w:rPr>
          <w:rFonts w:ascii="Arial" w:cs="Arial" w:eastAsia="Arial" w:hAnsi="Arial"/>
          <w:sz w:val="18"/>
          <w:szCs w:val="18"/>
          <w:color w:val="53C072"/>
        </w:rPr>
      </w:pPr>
      <w:r>
        <w:rPr>
          <w:rFonts w:ascii="Arial" w:cs="Arial" w:eastAsia="Arial" w:hAnsi="Arial"/>
          <w:sz w:val="14"/>
          <w:szCs w:val="14"/>
          <w:color w:val="auto"/>
        </w:rPr>
        <w:t>Executive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120" w:type="dxa"/>
            <w:vAlign w:val="bottom"/>
            <w:gridSpan w:val="2"/>
          </w:tcPr>
          <w:p>
            <w:pPr>
              <w:ind w:left="1100"/>
              <w:spacing w:after="0"/>
              <w:rPr>
                <w:sz w:val="20"/>
                <w:szCs w:val="20"/>
                <w:color w:val="auto"/>
              </w:rPr>
            </w:pPr>
            <w:r>
              <w:rPr>
                <w:rFonts w:ascii="Arial" w:cs="Arial" w:eastAsia="Arial" w:hAnsi="Arial"/>
                <w:sz w:val="14"/>
                <w:szCs w:val="14"/>
                <w:color w:val="auto"/>
                <w:w w:val="99"/>
              </w:rPr>
              <w:t>Proposal 1: Election of Directors</w:t>
            </w:r>
          </w:p>
        </w:tc>
      </w:tr>
      <w:tr>
        <w:trPr>
          <w:trHeight w:val="623"/>
        </w:trPr>
        <w:tc>
          <w:tcPr>
            <w:tcW w:w="160" w:type="dxa"/>
            <w:vAlign w:val="bottom"/>
            <w:gridSpan w:val="2"/>
          </w:tcPr>
          <w:p>
            <w:pPr>
              <w:spacing w:after="0"/>
              <w:rPr>
                <w:sz w:val="24"/>
                <w:szCs w:val="24"/>
                <w:color w:val="auto"/>
              </w:rPr>
            </w:pPr>
          </w:p>
        </w:tc>
        <w:tc>
          <w:tcPr>
            <w:tcW w:w="3140" w:type="dxa"/>
            <w:vAlign w:val="bottom"/>
          </w:tcPr>
          <w:p>
            <w:pPr>
              <w:spacing w:after="0"/>
              <w:rPr>
                <w:sz w:val="24"/>
                <w:szCs w:val="24"/>
                <w:color w:val="auto"/>
              </w:rPr>
            </w:pPr>
          </w:p>
        </w:tc>
        <w:tc>
          <w:tcPr>
            <w:tcW w:w="3120" w:type="dxa"/>
            <w:vAlign w:val="bottom"/>
            <w:gridSpan w:val="2"/>
          </w:tcPr>
          <w:p>
            <w:pPr>
              <w:spacing w:after="0"/>
              <w:rPr>
                <w:sz w:val="24"/>
                <w:szCs w:val="24"/>
                <w:color w:val="auto"/>
              </w:rPr>
            </w:pPr>
          </w:p>
        </w:tc>
      </w:tr>
      <w:tr>
        <w:trPr>
          <w:trHeight w:val="363"/>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53C072"/>
            </w:tcBorders>
            <w:shd w:val="clear" w:color="auto" w:fill="53C072"/>
          </w:tcPr>
          <w:p>
            <w:pPr>
              <w:ind w:left="40"/>
              <w:spacing w:after="0"/>
              <w:rPr>
                <w:sz w:val="20"/>
                <w:szCs w:val="20"/>
                <w:color w:val="auto"/>
              </w:rPr>
            </w:pPr>
            <w:r>
              <w:rPr>
                <w:rFonts w:ascii="Arial" w:cs="Arial" w:eastAsia="Arial" w:hAnsi="Arial"/>
                <w:sz w:val="14"/>
                <w:szCs w:val="14"/>
                <w:color w:val="auto"/>
              </w:rPr>
              <w:t>​</w:t>
            </w:r>
          </w:p>
        </w:tc>
        <w:tc>
          <w:tcPr>
            <w:tcW w:w="3140" w:type="dxa"/>
            <w:vAlign w:val="bottom"/>
            <w:tcBorders>
              <w:top w:val="single" w:sz="8" w:color="53C072"/>
            </w:tcBorders>
            <w:shd w:val="clear" w:color="auto" w:fill="53C072"/>
          </w:tcPr>
          <w:p>
            <w:pPr>
              <w:spacing w:after="0"/>
              <w:rPr>
                <w:sz w:val="20"/>
                <w:szCs w:val="20"/>
                <w:color w:val="auto"/>
              </w:rPr>
            </w:pPr>
            <w:r>
              <w:rPr>
                <w:rFonts w:ascii="Arial" w:cs="Arial" w:eastAsia="Arial" w:hAnsi="Arial"/>
                <w:sz w:val="22"/>
                <w:szCs w:val="22"/>
                <w:b w:val="1"/>
                <w:bCs w:val="1"/>
                <w:color w:val="FEFEFE"/>
              </w:rPr>
              <w:t>RODNEY C. ADKINS</w:t>
            </w:r>
          </w:p>
        </w:tc>
        <w:tc>
          <w:tcPr>
            <w:tcW w:w="3100" w:type="dxa"/>
            <w:vAlign w:val="bottom"/>
            <w:tcBorders>
              <w:top w:val="single" w:sz="8" w:color="53C072"/>
            </w:tcBorders>
            <w:shd w:val="clear" w:color="auto" w:fill="53C072"/>
          </w:tcPr>
          <w:p>
            <w:pPr>
              <w:ind w:left="306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53C072"/>
            </w:tcBorders>
          </w:tcPr>
          <w:p>
            <w:pPr>
              <w:spacing w:after="0"/>
              <w:rPr>
                <w:sz w:val="24"/>
                <w:szCs w:val="24"/>
                <w:color w:val="auto"/>
              </w:rPr>
            </w:pPr>
          </w:p>
        </w:tc>
      </w:tr>
      <w:tr>
        <w:trPr>
          <w:trHeight w:val="68"/>
        </w:trPr>
        <w:tc>
          <w:tcPr>
            <w:tcW w:w="80" w:type="dxa"/>
            <w:vAlign w:val="bottom"/>
          </w:tcPr>
          <w:p>
            <w:pPr>
              <w:spacing w:after="0"/>
              <w:rPr>
                <w:sz w:val="5"/>
                <w:szCs w:val="5"/>
                <w:color w:val="auto"/>
              </w:rPr>
            </w:pPr>
          </w:p>
        </w:tc>
        <w:tc>
          <w:tcPr>
            <w:tcW w:w="80" w:type="dxa"/>
            <w:vAlign w:val="bottom"/>
            <w:shd w:val="clear" w:color="auto" w:fill="53C072"/>
          </w:tcPr>
          <w:p>
            <w:pPr>
              <w:spacing w:after="0"/>
              <w:rPr>
                <w:sz w:val="5"/>
                <w:szCs w:val="5"/>
                <w:color w:val="auto"/>
              </w:rPr>
            </w:pPr>
          </w:p>
        </w:tc>
        <w:tc>
          <w:tcPr>
            <w:tcW w:w="3140" w:type="dxa"/>
            <w:vAlign w:val="bottom"/>
            <w:shd w:val="clear" w:color="auto" w:fill="53C072"/>
          </w:tcPr>
          <w:p>
            <w:pPr>
              <w:spacing w:after="0"/>
              <w:rPr>
                <w:sz w:val="5"/>
                <w:szCs w:val="5"/>
                <w:color w:val="auto"/>
              </w:rPr>
            </w:pPr>
          </w:p>
        </w:tc>
        <w:tc>
          <w:tcPr>
            <w:tcW w:w="3100" w:type="dxa"/>
            <w:vAlign w:val="bottom"/>
            <w:shd w:val="clear" w:color="auto" w:fill="53C072"/>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-1478915</wp:posOffset>
            </wp:positionH>
            <wp:positionV relativeFrom="paragraph">
              <wp:posOffset>-290830</wp:posOffset>
            </wp:positionV>
            <wp:extent cx="5554980" cy="3985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54980" cy="3985895"/>
                    </a:xfrm>
                    <a:prstGeom prst="rect">
                      <a:avLst/>
                    </a:prstGeom>
                    <a:noFill/>
                  </pic:spPr>
                </pic:pic>
              </a:graphicData>
            </a:graphic>
          </wp:anchor>
        </w:drawing>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160" w:right="339"/>
        <w:spacing w:after="0" w:line="267" w:lineRule="auto"/>
        <w:rPr>
          <w:sz w:val="20"/>
          <w:szCs w:val="20"/>
          <w:color w:val="auto"/>
        </w:rPr>
      </w:pPr>
      <w:r>
        <w:rPr>
          <w:rFonts w:ascii="Arial" w:cs="Arial" w:eastAsia="Arial" w:hAnsi="Arial"/>
          <w:sz w:val="17"/>
          <w:szCs w:val="17"/>
          <w:color w:val="auto"/>
        </w:rPr>
        <w:t>Mr. Adkins has served as the Company’s Chair of the Board since November 2018. He serves as the President of 3RAM Group LLC, a privately held company specializing in capital investments, business consulting services, and property management. Mr. Adkins formerly served as Senior Vice President of IBM from 2007 until 2014. In his 33-year career with IBM, Mr. Adkins held a number of development and management roles, including Senior Vice President of Corporate Strategy from 2013 to 2014 and Senior Vice President of Systems and Technology Group from 2009 to 2013.</w:t>
      </w:r>
    </w:p>
    <w:p>
      <w:pPr>
        <w:spacing w:after="0" w:line="6" w:lineRule="exact"/>
        <w:rPr>
          <w:sz w:val="20"/>
          <w:szCs w:val="20"/>
          <w:color w:val="auto"/>
        </w:rPr>
      </w:pPr>
    </w:p>
    <w:p>
      <w:pPr>
        <w:ind w:left="160" w:right="319"/>
        <w:spacing w:after="0" w:line="254" w:lineRule="auto"/>
        <w:rPr>
          <w:sz w:val="20"/>
          <w:szCs w:val="20"/>
          <w:color w:val="auto"/>
        </w:rPr>
      </w:pPr>
      <w:r>
        <w:rPr>
          <w:rFonts w:ascii="Arial" w:cs="Arial" w:eastAsia="Arial" w:hAnsi="Arial"/>
          <w:sz w:val="18"/>
          <w:szCs w:val="18"/>
          <w:color w:val="auto"/>
        </w:rPr>
        <w:t>Mr. Adkins currently serves on the board of directors of United Parcel Service, Inc. (NYSE: UPS) and W.W. Grainger, Inc. (NYSE: GWW). He previously served on the board of directors of Pitney Bowes Inc. (NYSE: PBI) from 2007 to 2013, PPL Corporation (NYSE: PPL) from 2014 to 2019, and PayPal Holdings, Inc. (Nasdaq: PYPL) from 2017 to 2025.</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04" w:lineRule="exact"/>
        <w:rPr>
          <w:sz w:val="20"/>
          <w:szCs w:val="20"/>
          <w:color w:val="auto"/>
        </w:rPr>
      </w:pPr>
    </w:p>
    <w:p>
      <w:pPr>
        <w:ind w:left="160"/>
        <w:spacing w:after="0"/>
        <w:tabs>
          <w:tab w:leader="none" w:pos="480" w:val="left"/>
          <w:tab w:leader="none" w:pos="3320" w:val="left"/>
          <w:tab w:leader="none" w:pos="364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Operations</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International Business</w:t>
      </w:r>
    </w:p>
    <w:p>
      <w:pPr>
        <w:spacing w:after="0" w:line="63" w:lineRule="exact"/>
        <w:rPr>
          <w:sz w:val="20"/>
          <w:szCs w:val="20"/>
          <w:color w:val="auto"/>
        </w:rPr>
      </w:pPr>
    </w:p>
    <w:p>
      <w:pPr>
        <w:ind w:left="160"/>
        <w:spacing w:after="0"/>
        <w:tabs>
          <w:tab w:leader="none" w:pos="480" w:val="left"/>
          <w:tab w:leader="none" w:pos="3320" w:val="left"/>
          <w:tab w:leader="none" w:pos="364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Technology</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Industry</w:t>
      </w:r>
    </w:p>
    <w:p>
      <w:pPr>
        <w:spacing w:after="0" w:line="63" w:lineRule="exact"/>
        <w:rPr>
          <w:sz w:val="20"/>
          <w:szCs w:val="20"/>
          <w:color w:val="auto"/>
        </w:rPr>
      </w:pPr>
    </w:p>
    <w:p>
      <w:pPr>
        <w:ind w:left="500" w:hanging="333"/>
        <w:spacing w:after="0"/>
        <w:tabs>
          <w:tab w:leader="none" w:pos="500" w:val="left"/>
        </w:tabs>
        <w:numPr>
          <w:ilvl w:val="0"/>
          <w:numId w:val="11"/>
        </w:numPr>
        <w:rPr>
          <w:rFonts w:ascii="Arial" w:cs="Arial" w:eastAsia="Arial" w:hAnsi="Arial"/>
          <w:sz w:val="18"/>
          <w:szCs w:val="18"/>
          <w:color w:val="53C072"/>
        </w:rPr>
      </w:pPr>
      <w:r>
        <w:rPr>
          <w:rFonts w:ascii="Arial" w:cs="Arial" w:eastAsia="Arial" w:hAnsi="Arial"/>
          <w:sz w:val="18"/>
          <w:szCs w:val="18"/>
          <w:color w:val="auto"/>
        </w:rPr>
        <w:t>Risk Management and Resiliency</w:t>
      </w:r>
    </w:p>
    <w:p>
      <w:pPr>
        <w:spacing w:after="0" w:line="77" w:lineRule="exact"/>
        <w:rPr>
          <w:sz w:val="20"/>
          <w:szCs w:val="20"/>
          <w:color w:val="auto"/>
        </w:rPr>
      </w:pPr>
    </w:p>
    <w:p>
      <w:pPr>
        <w:ind w:left="160" w:right="339"/>
        <w:spacing w:after="0" w:line="259" w:lineRule="auto"/>
        <w:rPr>
          <w:sz w:val="20"/>
          <w:szCs w:val="20"/>
          <w:color w:val="auto"/>
        </w:rPr>
      </w:pPr>
      <w:r>
        <w:rPr>
          <w:rFonts w:ascii="Arial" w:cs="Arial" w:eastAsia="Arial" w:hAnsi="Arial"/>
          <w:sz w:val="18"/>
          <w:szCs w:val="18"/>
          <w:color w:val="auto"/>
        </w:rPr>
        <w:t>The Board benefits from Mr. Adkins’ global business experience in the technology industry, including emerging technologies and services, international and emerging markets, and supply chain management. He provides additional experience in the areas of corporate governance, strategy development, and senior leadership.</w:t>
      </w:r>
    </w:p>
    <w:p>
      <w:pPr>
        <w:spacing w:after="0" w:line="200" w:lineRule="exact"/>
        <w:rPr>
          <w:sz w:val="20"/>
          <w:szCs w:val="20"/>
          <w:color w:val="auto"/>
        </w:rPr>
      </w:pPr>
    </w:p>
    <w:p>
      <w:pPr>
        <w:sectPr>
          <w:pgSz w:w="11900" w:h="16838" w:orient="portrait"/>
          <w:cols w:equalWidth="0" w:num="2">
            <w:col w:w="2820" w:space="500"/>
            <w:col w:w="655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640"/>
        <w:spacing w:after="0"/>
        <w:rPr>
          <w:sz w:val="20"/>
          <w:szCs w:val="20"/>
          <w:color w:val="auto"/>
        </w:rPr>
      </w:pPr>
      <w:r>
        <w:rPr>
          <w:sz w:val="1"/>
          <w:szCs w:val="1"/>
          <w:color w:val="auto"/>
        </w:rPr>
        <w:drawing>
          <wp:inline distT="0" distB="0" distL="0" distR="0">
            <wp:extent cx="1243330" cy="24003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7"/>
          <w:szCs w:val="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04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700" w:type="dxa"/>
            <w:vAlign w:val="bottom"/>
            <w:vMerge w:val="restart"/>
          </w:tcPr>
          <w:p>
            <w:pPr>
              <w:ind w:left="2680"/>
              <w:spacing w:after="0"/>
              <w:rPr>
                <w:sz w:val="20"/>
                <w:szCs w:val="20"/>
                <w:color w:val="auto"/>
              </w:rPr>
            </w:pPr>
            <w:r>
              <w:rPr>
                <w:rFonts w:ascii="Arial" w:cs="Arial" w:eastAsia="Arial" w:hAnsi="Arial"/>
                <w:sz w:val="14"/>
                <w:szCs w:val="14"/>
                <w:color w:val="auto"/>
                <w:w w:val="99"/>
              </w:rPr>
              <w:t>Proposal 1: Election of Directors</w:t>
            </w:r>
          </w:p>
        </w:tc>
        <w:tc>
          <w:tcPr>
            <w:tcW w:w="0" w:type="dxa"/>
            <w:vAlign w:val="bottom"/>
          </w:tcPr>
          <w:p>
            <w:pPr>
              <w:spacing w:after="0"/>
              <w:rPr>
                <w:sz w:val="1"/>
                <w:szCs w:val="1"/>
                <w:color w:val="auto"/>
              </w:rPr>
            </w:pPr>
          </w:p>
        </w:tc>
      </w:tr>
      <w:tr>
        <w:trPr>
          <w:trHeight w:val="88"/>
        </w:trPr>
        <w:tc>
          <w:tcPr>
            <w:tcW w:w="50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04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309880</wp:posOffset>
            </wp:positionV>
            <wp:extent cx="5554980" cy="45948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54980" cy="45948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r>
        <w:rPr>
          <w:rFonts w:ascii="Arial" w:cs="Arial" w:eastAsia="Arial" w:hAnsi="Arial"/>
          <w:sz w:val="17"/>
          <w:szCs w:val="17"/>
          <w:color w:val="auto"/>
        </w:rPr>
        <w:t>​</w:t>
      </w:r>
    </w:p>
    <w:p>
      <w:pPr>
        <w:spacing w:after="0" w:line="138"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61</w:t>
      </w:r>
    </w:p>
    <w:p>
      <w:pPr>
        <w:spacing w:after="0" w:line="99"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25"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Current Committee</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Memberships:</w:t>
      </w:r>
      <w:r>
        <w:rPr>
          <w:rFonts w:ascii="Arial" w:cs="Arial" w:eastAsia="Arial" w:hAnsi="Arial"/>
          <w:sz w:val="17"/>
          <w:szCs w:val="17"/>
          <w:color w:val="auto"/>
        </w:rPr>
        <w:t>​</w:t>
      </w:r>
    </w:p>
    <w:p>
      <w:pPr>
        <w:spacing w:after="0" w:line="80" w:lineRule="exact"/>
        <w:rPr>
          <w:sz w:val="20"/>
          <w:szCs w:val="20"/>
          <w:color w:val="auto"/>
        </w:rPr>
      </w:pPr>
    </w:p>
    <w:p>
      <w:pPr>
        <w:ind w:left="1360" w:hanging="262"/>
        <w:spacing w:after="0" w:line="183" w:lineRule="auto"/>
        <w:tabs>
          <w:tab w:leader="none" w:pos="1360" w:val="left"/>
        </w:tabs>
        <w:numPr>
          <w:ilvl w:val="0"/>
          <w:numId w:val="12"/>
        </w:numPr>
        <w:rPr>
          <w:rFonts w:ascii="Arial" w:cs="Arial" w:eastAsia="Arial" w:hAnsi="Arial"/>
          <w:sz w:val="31"/>
          <w:szCs w:val="31"/>
          <w:color w:val="53C072"/>
          <w:vertAlign w:val="subscript"/>
        </w:rPr>
      </w:pPr>
      <w:r>
        <w:rPr>
          <w:rFonts w:ascii="Arial" w:cs="Arial" w:eastAsia="Arial" w:hAnsi="Arial"/>
          <w:sz w:val="13"/>
          <w:szCs w:val="13"/>
          <w:color w:val="auto"/>
        </w:rPr>
        <w:t>Compensation and Leadership Development</w:t>
      </w:r>
      <w:r>
        <w:rPr>
          <w:rFonts w:ascii="Arial" w:cs="Arial" w:eastAsia="Arial" w:hAnsi="Arial"/>
          <w:sz w:val="15"/>
          <w:szCs w:val="15"/>
          <w:color w:val="auto"/>
        </w:rPr>
        <w:t>​</w:t>
      </w:r>
    </w:p>
    <w:p>
      <w:pPr>
        <w:spacing w:after="0" w:line="11" w:lineRule="exact"/>
        <w:rPr>
          <w:rFonts w:ascii="Arial" w:cs="Arial" w:eastAsia="Arial" w:hAnsi="Arial"/>
          <w:sz w:val="31"/>
          <w:szCs w:val="31"/>
          <w:color w:val="53C072"/>
          <w:vertAlign w:val="subscript"/>
        </w:rPr>
      </w:pPr>
    </w:p>
    <w:p>
      <w:pPr>
        <w:ind w:left="1360" w:hanging="262"/>
        <w:spacing w:after="0"/>
        <w:tabs>
          <w:tab w:leader="none" w:pos="1360" w:val="left"/>
        </w:tabs>
        <w:numPr>
          <w:ilvl w:val="0"/>
          <w:numId w:val="12"/>
        </w:numPr>
        <w:rPr>
          <w:rFonts w:ascii="Arial" w:cs="Arial" w:eastAsia="Arial" w:hAnsi="Arial"/>
          <w:sz w:val="18"/>
          <w:szCs w:val="18"/>
          <w:color w:val="53C072"/>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tabs>
          <w:tab w:leader="none" w:pos="6320" w:val="left"/>
        </w:tabs>
        <w:rPr>
          <w:sz w:val="20"/>
          <w:szCs w:val="20"/>
          <w:color w:val="auto"/>
        </w:rPr>
      </w:pPr>
      <w:r>
        <w:rPr>
          <w:rFonts w:ascii="Arial" w:cs="Arial" w:eastAsia="Arial" w:hAnsi="Arial"/>
          <w:sz w:val="28"/>
          <w:szCs w:val="28"/>
          <w:color w:val="000000"/>
          <w:vertAlign w:val="superscript"/>
        </w:rPr>
        <w:t>​ ​</w:t>
      </w:r>
      <w:r>
        <w:rPr>
          <w:rFonts w:ascii="Arial" w:cs="Arial" w:eastAsia="Arial" w:hAnsi="Arial"/>
          <w:sz w:val="22"/>
          <w:szCs w:val="22"/>
          <w:b w:val="1"/>
          <w:bCs w:val="1"/>
          <w:color w:val="FEFEFE"/>
        </w:rPr>
        <w:t>BRENDA L. FREEMAN</w:t>
      </w:r>
      <w:r>
        <w:rPr>
          <w:sz w:val="20"/>
          <w:szCs w:val="20"/>
          <w:color w:val="auto"/>
        </w:rPr>
        <w:tab/>
      </w:r>
      <w:r>
        <w:rPr>
          <w:rFonts w:ascii="Arial" w:cs="Arial" w:eastAsia="Arial" w:hAnsi="Arial"/>
          <w:sz w:val="29"/>
          <w:szCs w:val="29"/>
          <w:color w:val="auto"/>
          <w:vertAlign w:val="superscript"/>
        </w:rPr>
        <w:t>​</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160" w:right="239"/>
        <w:spacing w:after="0" w:line="267" w:lineRule="auto"/>
        <w:rPr>
          <w:sz w:val="20"/>
          <w:szCs w:val="20"/>
          <w:color w:val="auto"/>
        </w:rPr>
      </w:pPr>
      <w:r>
        <w:rPr>
          <w:rFonts w:ascii="Arial" w:cs="Arial" w:eastAsia="Arial" w:hAnsi="Arial"/>
          <w:sz w:val="17"/>
          <w:szCs w:val="17"/>
          <w:color w:val="auto"/>
        </w:rPr>
        <w:t>Ms. Freeman is the founder of an advisory company, Joyeux Advisory Group, which was founded in 2018. She has been a Venture Partner of Debut Capital since May 2021. Ms. Freeman formerly served as the Chief Executive Officer and a Director of Arteza, a direct-to-consumer arts and crafts supplies company, from February 2020 to April 2021. Previously she served as Chief Marketing Officer of Magic Leap, Inc., a private company focused on virtual retinal displays, from 2016 to 2019. Prior to that, she served as Chief Marketing Officer at the National Geographic Channel from 2015 to 2016; Vice President, Television Marketing at DreamWorks Animation SKG Inc. from</w:t>
      </w:r>
    </w:p>
    <w:p>
      <w:pPr>
        <w:spacing w:after="0" w:line="5" w:lineRule="exact"/>
        <w:rPr>
          <w:sz w:val="20"/>
          <w:szCs w:val="20"/>
          <w:color w:val="auto"/>
        </w:rPr>
      </w:pPr>
    </w:p>
    <w:p>
      <w:pPr>
        <w:ind w:left="160" w:right="259"/>
        <w:spacing w:after="0" w:line="252" w:lineRule="auto"/>
        <w:rPr>
          <w:sz w:val="20"/>
          <w:szCs w:val="20"/>
          <w:color w:val="auto"/>
        </w:rPr>
      </w:pPr>
      <w:r>
        <w:rPr>
          <w:rFonts w:ascii="Arial" w:cs="Arial" w:eastAsia="Arial" w:hAnsi="Arial"/>
          <w:sz w:val="18"/>
          <w:szCs w:val="18"/>
          <w:color w:val="auto"/>
        </w:rPr>
        <w:t>2014 to 2015; Chief Marketing Officer, Turner Animation, Young Adults and Kids Media at Turner Broadcasting Systems, Inc. from 2008 to 2014; and Senior Vice President, Integrated Marketing and Partnerships, Nickelodeon at MTV Networks Company from 2005 to 2008. She has also served in other leadership roles for MTV Networks Company, VH1, ABC Radio Networks, and PepsiCo, Inc. (Nasdaq: PEP). Ms. Freeman has served on the board of directors at WM Technology, Inc. (Nasdaq: MAPS) since June 2021 and Caleres, Inc. (NYSE: CAL) since April 2017. Previously, she served on the board of directors of Blue Apron Holdings, Inc. (NYSE: APRN) from 2020 to 2023, Herman Miller, Inc. (Nasdaq: MLHR) from 2016 to 2019 and Under Armour, Inc. (NYSE: UA) from 2012 to 2013.</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58" w:lineRule="exact"/>
        <w:rPr>
          <w:sz w:val="20"/>
          <w:szCs w:val="20"/>
          <w:color w:val="auto"/>
        </w:rPr>
      </w:pPr>
    </w:p>
    <w:p>
      <w:pPr>
        <w:ind w:left="160"/>
        <w:spacing w:after="0"/>
        <w:tabs>
          <w:tab w:leader="none" w:pos="460" w:val="left"/>
          <w:tab w:leader="none" w:pos="3320" w:val="left"/>
          <w:tab w:leader="none" w:pos="364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CEO</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Finance</w:t>
      </w:r>
    </w:p>
    <w:p>
      <w:pPr>
        <w:spacing w:after="0" w:line="77" w:lineRule="exact"/>
        <w:rPr>
          <w:sz w:val="20"/>
          <w:szCs w:val="20"/>
          <w:color w:val="auto"/>
        </w:rPr>
      </w:pPr>
    </w:p>
    <w:p>
      <w:pPr>
        <w:ind w:left="160"/>
        <w:spacing w:after="0"/>
        <w:tabs>
          <w:tab w:leader="none" w:pos="460" w:val="left"/>
          <w:tab w:leader="none" w:pos="3320" w:val="left"/>
          <w:tab w:leader="none" w:pos="364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Technology/Digital Media</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Marketing</w:t>
      </w:r>
    </w:p>
    <w:p>
      <w:pPr>
        <w:spacing w:after="0" w:line="158" w:lineRule="exact"/>
        <w:rPr>
          <w:sz w:val="20"/>
          <w:szCs w:val="20"/>
          <w:color w:val="auto"/>
        </w:rPr>
      </w:pPr>
    </w:p>
    <w:p>
      <w:pPr>
        <w:ind w:left="160" w:right="299"/>
        <w:spacing w:after="0" w:line="268" w:lineRule="auto"/>
        <w:rPr>
          <w:sz w:val="20"/>
          <w:szCs w:val="20"/>
          <w:color w:val="auto"/>
        </w:rPr>
      </w:pPr>
      <w:r>
        <w:rPr>
          <w:rFonts w:ascii="Arial" w:cs="Arial" w:eastAsia="Arial" w:hAnsi="Arial"/>
          <w:sz w:val="18"/>
          <w:szCs w:val="18"/>
          <w:color w:val="auto"/>
        </w:rPr>
        <w:t>The Board benefits from Ms. Freeman’s experience in corporate leadership, serving on other boards, and her strong background in marketing, technology, digital commerce, and digital transformation.</w:t>
      </w:r>
    </w:p>
    <w:p>
      <w:pPr>
        <w:spacing w:after="0" w:line="200" w:lineRule="exact"/>
        <w:rPr>
          <w:sz w:val="20"/>
          <w:szCs w:val="20"/>
          <w:color w:val="auto"/>
        </w:rPr>
      </w:pPr>
    </w:p>
    <w:p>
      <w:pPr>
        <w:sectPr>
          <w:pgSz w:w="11900" w:h="16838" w:orient="portrait"/>
          <w:cols w:equalWidth="0" w:num="2">
            <w:col w:w="3000" w:space="340"/>
            <w:col w:w="65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10     </w:t>
      </w:r>
      <w:r>
        <w:rPr>
          <w:sz w:val="1"/>
          <w:szCs w:val="1"/>
          <w:color w:val="auto"/>
        </w:rPr>
        <w:drawing>
          <wp:inline distT="0" distB="0" distL="0" distR="0">
            <wp:extent cx="1242695" cy="24003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8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jc w:val="center"/>
        <w:ind w:left="76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2020</w:t>
      </w:r>
    </w:p>
    <w:p>
      <w:pPr>
        <w:spacing w:after="0" w:line="136"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64</w:t>
      </w:r>
    </w:p>
    <w:p>
      <w:pPr>
        <w:spacing w:after="0" w:line="113"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Not Independent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960" w:type="dxa"/>
            <w:vAlign w:val="bottom"/>
            <w:gridSpan w:val="2"/>
          </w:tcPr>
          <w:p>
            <w:pPr>
              <w:ind w:left="940"/>
              <w:spacing w:after="0"/>
              <w:rPr>
                <w:sz w:val="20"/>
                <w:szCs w:val="20"/>
                <w:color w:val="auto"/>
              </w:rPr>
            </w:pPr>
            <w:r>
              <w:rPr>
                <w:rFonts w:ascii="Arial" w:cs="Arial" w:eastAsia="Arial" w:hAnsi="Arial"/>
                <w:sz w:val="14"/>
                <w:szCs w:val="14"/>
                <w:color w:val="auto"/>
                <w:w w:val="99"/>
              </w:rPr>
              <w:t>Proposal 1: Election of Directors</w:t>
            </w:r>
          </w:p>
        </w:tc>
      </w:tr>
      <w:tr>
        <w:trPr>
          <w:trHeight w:val="623"/>
        </w:trPr>
        <w:tc>
          <w:tcPr>
            <w:tcW w:w="160" w:type="dxa"/>
            <w:vAlign w:val="bottom"/>
            <w:gridSpan w:val="2"/>
          </w:tcPr>
          <w:p>
            <w:pPr>
              <w:spacing w:after="0"/>
              <w:rPr>
                <w:sz w:val="24"/>
                <w:szCs w:val="24"/>
                <w:color w:val="auto"/>
              </w:rPr>
            </w:pPr>
          </w:p>
        </w:tc>
        <w:tc>
          <w:tcPr>
            <w:tcW w:w="3300" w:type="dxa"/>
            <w:vAlign w:val="bottom"/>
          </w:tcPr>
          <w:p>
            <w:pPr>
              <w:spacing w:after="0"/>
              <w:rPr>
                <w:sz w:val="24"/>
                <w:szCs w:val="24"/>
                <w:color w:val="auto"/>
              </w:rPr>
            </w:pPr>
          </w:p>
        </w:tc>
        <w:tc>
          <w:tcPr>
            <w:tcW w:w="2960" w:type="dxa"/>
            <w:vAlign w:val="bottom"/>
            <w:gridSpan w:val="2"/>
          </w:tcPr>
          <w:p>
            <w:pPr>
              <w:spacing w:after="0"/>
              <w:rPr>
                <w:sz w:val="24"/>
                <w:szCs w:val="24"/>
                <w:color w:val="auto"/>
              </w:rPr>
            </w:pPr>
          </w:p>
        </w:tc>
      </w:tr>
      <w:tr>
        <w:trPr>
          <w:trHeight w:val="363"/>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53C072"/>
            </w:tcBorders>
            <w:shd w:val="clear" w:color="auto" w:fill="53C072"/>
          </w:tcPr>
          <w:p>
            <w:pPr>
              <w:ind w:left="40"/>
              <w:spacing w:after="0"/>
              <w:rPr>
                <w:sz w:val="20"/>
                <w:szCs w:val="20"/>
                <w:color w:val="auto"/>
              </w:rPr>
            </w:pPr>
            <w:r>
              <w:rPr>
                <w:rFonts w:ascii="Arial" w:cs="Arial" w:eastAsia="Arial" w:hAnsi="Arial"/>
                <w:sz w:val="14"/>
                <w:szCs w:val="14"/>
                <w:color w:val="auto"/>
              </w:rPr>
              <w:t>​</w:t>
            </w:r>
          </w:p>
        </w:tc>
        <w:tc>
          <w:tcPr>
            <w:tcW w:w="3300" w:type="dxa"/>
            <w:vAlign w:val="bottom"/>
            <w:tcBorders>
              <w:top w:val="single" w:sz="8" w:color="53C072"/>
            </w:tcBorders>
            <w:shd w:val="clear" w:color="auto" w:fill="53C072"/>
          </w:tcPr>
          <w:p>
            <w:pPr>
              <w:spacing w:after="0"/>
              <w:rPr>
                <w:sz w:val="20"/>
                <w:szCs w:val="20"/>
                <w:color w:val="auto"/>
              </w:rPr>
            </w:pPr>
            <w:r>
              <w:rPr>
                <w:rFonts w:ascii="Arial" w:cs="Arial" w:eastAsia="Arial" w:hAnsi="Arial"/>
                <w:sz w:val="22"/>
                <w:szCs w:val="22"/>
                <w:b w:val="1"/>
                <w:bCs w:val="1"/>
                <w:color w:val="FEFEFE"/>
              </w:rPr>
              <w:t>PHILIP R. GALLAGHER</w:t>
            </w:r>
          </w:p>
        </w:tc>
        <w:tc>
          <w:tcPr>
            <w:tcW w:w="2940" w:type="dxa"/>
            <w:vAlign w:val="bottom"/>
            <w:tcBorders>
              <w:top w:val="single" w:sz="8" w:color="53C072"/>
            </w:tcBorders>
            <w:shd w:val="clear" w:color="auto" w:fill="53C072"/>
          </w:tcPr>
          <w:p>
            <w:pPr>
              <w:ind w:left="290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53C072"/>
            </w:tcBorders>
          </w:tcPr>
          <w:p>
            <w:pPr>
              <w:spacing w:after="0"/>
              <w:rPr>
                <w:sz w:val="24"/>
                <w:szCs w:val="24"/>
                <w:color w:val="auto"/>
              </w:rPr>
            </w:pPr>
          </w:p>
        </w:tc>
      </w:tr>
      <w:tr>
        <w:trPr>
          <w:trHeight w:val="69"/>
        </w:trPr>
        <w:tc>
          <w:tcPr>
            <w:tcW w:w="80" w:type="dxa"/>
            <w:vAlign w:val="bottom"/>
          </w:tcPr>
          <w:p>
            <w:pPr>
              <w:spacing w:after="0"/>
              <w:rPr>
                <w:sz w:val="5"/>
                <w:szCs w:val="5"/>
                <w:color w:val="auto"/>
              </w:rPr>
            </w:pPr>
          </w:p>
        </w:tc>
        <w:tc>
          <w:tcPr>
            <w:tcW w:w="80" w:type="dxa"/>
            <w:vAlign w:val="bottom"/>
            <w:shd w:val="clear" w:color="auto" w:fill="53C072"/>
          </w:tcPr>
          <w:p>
            <w:pPr>
              <w:spacing w:after="0"/>
              <w:rPr>
                <w:sz w:val="5"/>
                <w:szCs w:val="5"/>
                <w:color w:val="auto"/>
              </w:rPr>
            </w:pPr>
          </w:p>
        </w:tc>
        <w:tc>
          <w:tcPr>
            <w:tcW w:w="3300" w:type="dxa"/>
            <w:vAlign w:val="bottom"/>
            <w:shd w:val="clear" w:color="auto" w:fill="53C072"/>
          </w:tcPr>
          <w:p>
            <w:pPr>
              <w:spacing w:after="0"/>
              <w:rPr>
                <w:sz w:val="5"/>
                <w:szCs w:val="5"/>
                <w:color w:val="auto"/>
              </w:rPr>
            </w:pPr>
          </w:p>
        </w:tc>
        <w:tc>
          <w:tcPr>
            <w:tcW w:w="2940" w:type="dxa"/>
            <w:vAlign w:val="bottom"/>
            <w:shd w:val="clear" w:color="auto" w:fill="53C072"/>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-1478915</wp:posOffset>
            </wp:positionH>
            <wp:positionV relativeFrom="paragraph">
              <wp:posOffset>-290830</wp:posOffset>
            </wp:positionV>
            <wp:extent cx="5554980" cy="37973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54980" cy="3797300"/>
                    </a:xfrm>
                    <a:prstGeom prst="rect">
                      <a:avLst/>
                    </a:prstGeom>
                    <a:noFill/>
                  </pic:spPr>
                </pic:pic>
              </a:graphicData>
            </a:graphic>
          </wp:anchor>
        </w:drawing>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160" w:right="259"/>
        <w:spacing w:after="0" w:line="249" w:lineRule="auto"/>
        <w:rPr>
          <w:sz w:val="20"/>
          <w:szCs w:val="20"/>
          <w:color w:val="auto"/>
        </w:rPr>
      </w:pPr>
      <w:r>
        <w:rPr>
          <w:rFonts w:ascii="Arial" w:cs="Arial" w:eastAsia="Arial" w:hAnsi="Arial"/>
          <w:sz w:val="18"/>
          <w:szCs w:val="18"/>
          <w:color w:val="auto"/>
        </w:rPr>
        <w:t>Mr. Gallagher has served as the Company’s Chief Executive Officer and a Director since November 2020, and as President, Electronic Components, since August 2018. He previously served as the Interim Chief Executive Officer from July 2020 until November 2020 and as the Global President, Core Distribution Business from May 2017 to August 2018. He began his career with the Company in 1982 and held executive leadership positions in sales, marketing, and operations during his 38 years at the Company, with his last role as Global President of Technology Solutions from 2009 to 2014. He left the Company in 2014, and served as President, Americas Sales and Marketing, at TTI, a leading authorized distributor of interconnect, passive, electromechanical and discrete components, from 2016 to 2017. He rejoined the Company in May 2017. Mr. Gallagher currently serves on the advisory council for Women in Electronics and is also a member of Greater Phoenix Leadership (GPL), an organization of leading CEOs focused on creating action on priority issues.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04" w:lineRule="exact"/>
        <w:rPr>
          <w:sz w:val="20"/>
          <w:szCs w:val="20"/>
          <w:color w:val="auto"/>
        </w:rPr>
      </w:pPr>
    </w:p>
    <w:p>
      <w:pPr>
        <w:ind w:left="160"/>
        <w:spacing w:after="0"/>
        <w:tabs>
          <w:tab w:leader="none" w:pos="480" w:val="left"/>
          <w:tab w:leader="none" w:pos="3340" w:val="left"/>
          <w:tab w:leader="none" w:pos="366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Industry</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International Business</w:t>
      </w:r>
    </w:p>
    <w:p>
      <w:pPr>
        <w:spacing w:after="0" w:line="77" w:lineRule="exact"/>
        <w:rPr>
          <w:sz w:val="20"/>
          <w:szCs w:val="20"/>
          <w:color w:val="auto"/>
        </w:rPr>
      </w:pPr>
    </w:p>
    <w:p>
      <w:pPr>
        <w:ind w:left="160"/>
        <w:spacing w:after="0"/>
        <w:tabs>
          <w:tab w:leader="none" w:pos="480" w:val="left"/>
          <w:tab w:leader="none" w:pos="3340" w:val="left"/>
          <w:tab w:leader="none" w:pos="366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Technology/Digital Media</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CEO</w:t>
      </w:r>
    </w:p>
    <w:p>
      <w:pPr>
        <w:spacing w:after="0" w:line="104" w:lineRule="exact"/>
        <w:rPr>
          <w:sz w:val="20"/>
          <w:szCs w:val="20"/>
          <w:color w:val="auto"/>
        </w:rPr>
      </w:pPr>
    </w:p>
    <w:p>
      <w:pPr>
        <w:ind w:left="160" w:right="399"/>
        <w:spacing w:after="0" w:line="268" w:lineRule="auto"/>
        <w:rPr>
          <w:sz w:val="20"/>
          <w:szCs w:val="20"/>
          <w:color w:val="auto"/>
        </w:rPr>
      </w:pPr>
      <w:r>
        <w:rPr>
          <w:rFonts w:ascii="Arial" w:cs="Arial" w:eastAsia="Arial" w:hAnsi="Arial"/>
          <w:sz w:val="18"/>
          <w:szCs w:val="18"/>
          <w:color w:val="auto"/>
        </w:rPr>
        <w:t>The Board benefits from Mr. Gallagher’s extensive experience in business operations, corporate leadership, and management. The Board also benefits from his broad knowledge of the 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-1478915</wp:posOffset>
            </wp:positionH>
            <wp:positionV relativeFrom="paragraph">
              <wp:posOffset>214630</wp:posOffset>
            </wp:positionV>
            <wp:extent cx="5554980" cy="31203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720"/>
            <w:col w:w="655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2024</w:t>
      </w:r>
      <w:r>
        <w:rPr>
          <w:rFonts w:ascii="Arial" w:cs="Arial" w:eastAsia="Arial" w:hAnsi="Arial"/>
          <w:sz w:val="17"/>
          <w:szCs w:val="17"/>
          <w:color w:val="auto"/>
        </w:rPr>
        <w:t>​</w:t>
      </w:r>
    </w:p>
    <w:p>
      <w:pPr>
        <w:spacing w:after="0" w:line="102"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61</w:t>
      </w:r>
      <w:r>
        <w:rPr>
          <w:rFonts w:ascii="Arial" w:cs="Arial" w:eastAsia="Arial" w:hAnsi="Arial"/>
          <w:sz w:val="17"/>
          <w:szCs w:val="17"/>
          <w:color w:val="auto"/>
        </w:rPr>
        <w:t>​</w:t>
      </w:r>
    </w:p>
    <w:p>
      <w:pPr>
        <w:spacing w:after="0" w:line="102"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25"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Current Committee</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Memberships:</w:t>
      </w:r>
      <w:r>
        <w:rPr>
          <w:rFonts w:ascii="Arial" w:cs="Arial" w:eastAsia="Arial" w:hAnsi="Arial"/>
          <w:sz w:val="17"/>
          <w:szCs w:val="17"/>
          <w:color w:val="auto"/>
        </w:rPr>
        <w:t>​</w:t>
      </w:r>
    </w:p>
    <w:p>
      <w:pPr>
        <w:spacing w:after="0" w:line="65" w:lineRule="exact"/>
        <w:rPr>
          <w:sz w:val="20"/>
          <w:szCs w:val="20"/>
          <w:color w:val="auto"/>
        </w:rPr>
      </w:pPr>
    </w:p>
    <w:p>
      <w:pPr>
        <w:ind w:left="1360" w:hanging="262"/>
        <w:spacing w:after="0"/>
        <w:tabs>
          <w:tab w:leader="none" w:pos="1360" w:val="left"/>
        </w:tabs>
        <w:numPr>
          <w:ilvl w:val="0"/>
          <w:numId w:val="13"/>
        </w:numPr>
        <w:rPr>
          <w:rFonts w:ascii="Arial" w:cs="Arial" w:eastAsia="Arial" w:hAnsi="Arial"/>
          <w:sz w:val="18"/>
          <w:szCs w:val="18"/>
          <w:color w:val="53C072"/>
        </w:rPr>
      </w:pPr>
      <w:r>
        <w:rPr>
          <w:rFonts w:ascii="Arial" w:cs="Arial" w:eastAsia="Arial" w:hAnsi="Arial"/>
          <w:sz w:val="14"/>
          <w:szCs w:val="14"/>
          <w:color w:val="auto"/>
        </w:rPr>
        <w:t>Audit</w:t>
      </w:r>
    </w:p>
    <w:p>
      <w:pPr>
        <w:spacing w:after="0" w:line="63" w:lineRule="exact"/>
        <w:rPr>
          <w:rFonts w:ascii="Arial" w:cs="Arial" w:eastAsia="Arial" w:hAnsi="Arial"/>
          <w:sz w:val="18"/>
          <w:szCs w:val="18"/>
          <w:color w:val="53C072"/>
        </w:rPr>
      </w:pPr>
    </w:p>
    <w:p>
      <w:pPr>
        <w:ind w:left="1360" w:hanging="262"/>
        <w:spacing w:after="0"/>
        <w:tabs>
          <w:tab w:leader="none" w:pos="1360" w:val="left"/>
        </w:tabs>
        <w:numPr>
          <w:ilvl w:val="0"/>
          <w:numId w:val="13"/>
        </w:numPr>
        <w:rPr>
          <w:rFonts w:ascii="Arial" w:cs="Arial" w:eastAsia="Arial" w:hAnsi="Arial"/>
          <w:sz w:val="18"/>
          <w:szCs w:val="18"/>
          <w:color w:val="53C072"/>
        </w:rPr>
      </w:pPr>
      <w:r>
        <w:rPr>
          <w:rFonts w:ascii="Arial" w:cs="Arial" w:eastAsia="Arial" w:hAnsi="Arial"/>
          <w:sz w:val="14"/>
          <w:szCs w:val="14"/>
          <w:color w:val="auto"/>
        </w:rPr>
        <w:t>Technology and Risk</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tabs>
          <w:tab w:leader="none" w:pos="6340" w:val="left"/>
        </w:tabs>
        <w:rPr>
          <w:sz w:val="20"/>
          <w:szCs w:val="20"/>
          <w:color w:val="auto"/>
        </w:rPr>
      </w:pPr>
      <w:r>
        <w:rPr>
          <w:rFonts w:ascii="Arial" w:cs="Arial" w:eastAsia="Arial" w:hAnsi="Arial"/>
          <w:sz w:val="28"/>
          <w:szCs w:val="28"/>
          <w:color w:val="000000"/>
          <w:vertAlign w:val="superscript"/>
        </w:rPr>
        <w:t>​ ​</w:t>
      </w:r>
      <w:r>
        <w:rPr>
          <w:rFonts w:ascii="Arial" w:cs="Arial" w:eastAsia="Arial" w:hAnsi="Arial"/>
          <w:sz w:val="22"/>
          <w:szCs w:val="22"/>
          <w:b w:val="1"/>
          <w:bCs w:val="1"/>
          <w:color w:val="FEFEFE"/>
        </w:rPr>
        <w:t>HELMUT GASSEL</w:t>
      </w:r>
      <w:r>
        <w:rPr>
          <w:sz w:val="20"/>
          <w:szCs w:val="20"/>
          <w:color w:val="auto"/>
        </w:rPr>
        <w:tab/>
      </w:r>
      <w:r>
        <w:rPr>
          <w:rFonts w:ascii="Arial" w:cs="Arial" w:eastAsia="Arial" w:hAnsi="Arial"/>
          <w:sz w:val="29"/>
          <w:szCs w:val="29"/>
          <w:color w:val="auto"/>
          <w:vertAlign w:val="superscript"/>
        </w:rPr>
        <w:t>​</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Helmut Gassel is an experienced semiconductor executive with more than</w:t>
      </w:r>
    </w:p>
    <w:p>
      <w:pPr>
        <w:spacing w:after="0" w:line="27" w:lineRule="exact"/>
        <w:rPr>
          <w:sz w:val="20"/>
          <w:szCs w:val="20"/>
          <w:color w:val="auto"/>
        </w:rPr>
      </w:pPr>
    </w:p>
    <w:p>
      <w:pPr>
        <w:ind w:left="160" w:right="259"/>
        <w:spacing w:after="0" w:line="248" w:lineRule="auto"/>
        <w:rPr>
          <w:sz w:val="20"/>
          <w:szCs w:val="20"/>
          <w:color w:val="auto"/>
        </w:rPr>
      </w:pPr>
      <w:r>
        <w:rPr>
          <w:rFonts w:ascii="Arial" w:cs="Arial" w:eastAsia="Arial" w:hAnsi="Arial"/>
          <w:sz w:val="18"/>
          <w:szCs w:val="18"/>
          <w:color w:val="auto"/>
        </w:rPr>
        <w:t>30 years in the industry. Among other activities, he is currently Co-founder and Partner of Silian Partners, a group of semiconductor industry senior executives. He also serves as a Board Member for Nordic Semiconductor’s Board of Directors, since 2024. Prior to 2022, he held several leadership positions during his 27-year tenure at Infineon Technologies, including Board Member, Chief Marketing Officer, and Division President for Industrial Power Control. Mr. Gassel holds a Diploma in Nuclear Physics from Ruhr University Bochum and a Doctorate in Electrical Engineering from the University of Duisburg-Essen.</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04" w:lineRule="exact"/>
        <w:rPr>
          <w:sz w:val="20"/>
          <w:szCs w:val="20"/>
          <w:color w:val="auto"/>
        </w:rPr>
      </w:pPr>
    </w:p>
    <w:p>
      <w:pPr>
        <w:ind w:left="160"/>
        <w:spacing w:after="0"/>
        <w:tabs>
          <w:tab w:leader="none" w:pos="480" w:val="left"/>
          <w:tab w:leader="none" w:pos="3320" w:val="left"/>
          <w:tab w:leader="none" w:pos="364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International Business</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Technology/Digital Media</w:t>
      </w:r>
    </w:p>
    <w:p>
      <w:pPr>
        <w:spacing w:after="0" w:line="77" w:lineRule="exact"/>
        <w:rPr>
          <w:sz w:val="20"/>
          <w:szCs w:val="20"/>
          <w:color w:val="auto"/>
        </w:rPr>
      </w:pPr>
    </w:p>
    <w:p>
      <w:pPr>
        <w:ind w:left="160"/>
        <w:spacing w:after="0"/>
        <w:tabs>
          <w:tab w:leader="none" w:pos="480" w:val="left"/>
          <w:tab w:leader="none" w:pos="3320" w:val="left"/>
          <w:tab w:leader="none" w:pos="364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Marketing</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Industry</w:t>
      </w:r>
    </w:p>
    <w:p>
      <w:pPr>
        <w:spacing w:after="0" w:line="104" w:lineRule="exact"/>
        <w:rPr>
          <w:sz w:val="20"/>
          <w:szCs w:val="20"/>
          <w:color w:val="auto"/>
        </w:rPr>
      </w:pPr>
    </w:p>
    <w:p>
      <w:pPr>
        <w:ind w:left="160" w:right="699"/>
        <w:spacing w:after="0" w:line="291" w:lineRule="auto"/>
        <w:rPr>
          <w:sz w:val="20"/>
          <w:szCs w:val="20"/>
          <w:color w:val="auto"/>
        </w:rPr>
      </w:pPr>
      <w:r>
        <w:rPr>
          <w:rFonts w:ascii="Arial" w:cs="Arial" w:eastAsia="Arial" w:hAnsi="Arial"/>
          <w:sz w:val="17"/>
          <w:szCs w:val="17"/>
          <w:color w:val="auto"/>
        </w:rPr>
        <w:t>The Board benefits from Mr. Gassel’s extensive experience in the semiconductor industry, technology and innovation, sales and marketing, global business, and corporate leadership and management.</w:t>
      </w:r>
    </w:p>
    <w:p>
      <w:pPr>
        <w:spacing w:after="0" w:line="200" w:lineRule="exact"/>
        <w:rPr>
          <w:sz w:val="20"/>
          <w:szCs w:val="20"/>
          <w:color w:val="auto"/>
        </w:rPr>
      </w:pPr>
    </w:p>
    <w:p>
      <w:pPr>
        <w:sectPr>
          <w:pgSz w:w="11900" w:h="16838" w:orient="portrait"/>
          <w:cols w:equalWidth="0" w:num="2">
            <w:col w:w="2680" w:space="640"/>
            <w:col w:w="6559"/>
          </w:cols>
          <w:pgMar w:left="580" w:top="97"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7560"/>
        <w:spacing w:after="0"/>
        <w:rPr>
          <w:sz w:val="20"/>
          <w:szCs w:val="20"/>
          <w:color w:val="auto"/>
        </w:rPr>
      </w:pPr>
      <w:r>
        <w:rPr>
          <w:sz w:val="1"/>
          <w:szCs w:val="1"/>
          <w:color w:val="auto"/>
        </w:rPr>
        <w:drawing>
          <wp:inline distT="0" distB="0" distL="0" distR="0">
            <wp:extent cx="1242695" cy="24003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r>
        <w:rPr>
          <w:rFonts w:ascii="Arial" w:cs="Arial" w:eastAsia="Arial" w:hAnsi="Arial"/>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04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700" w:type="dxa"/>
            <w:vAlign w:val="bottom"/>
            <w:vMerge w:val="restart"/>
          </w:tcPr>
          <w:p>
            <w:pPr>
              <w:ind w:left="2680"/>
              <w:spacing w:after="0"/>
              <w:rPr>
                <w:sz w:val="20"/>
                <w:szCs w:val="20"/>
                <w:color w:val="auto"/>
              </w:rPr>
            </w:pPr>
            <w:r>
              <w:rPr>
                <w:rFonts w:ascii="Arial" w:cs="Arial" w:eastAsia="Arial" w:hAnsi="Arial"/>
                <w:sz w:val="14"/>
                <w:szCs w:val="14"/>
                <w:color w:val="auto"/>
                <w:w w:val="99"/>
              </w:rPr>
              <w:t>Proposal 1: Election of Directors</w:t>
            </w:r>
          </w:p>
        </w:tc>
        <w:tc>
          <w:tcPr>
            <w:tcW w:w="0" w:type="dxa"/>
            <w:vAlign w:val="bottom"/>
          </w:tcPr>
          <w:p>
            <w:pPr>
              <w:spacing w:after="0"/>
              <w:rPr>
                <w:sz w:val="1"/>
                <w:szCs w:val="1"/>
                <w:color w:val="auto"/>
              </w:rPr>
            </w:pPr>
          </w:p>
        </w:tc>
      </w:tr>
      <w:tr>
        <w:trPr>
          <w:trHeight w:val="88"/>
        </w:trPr>
        <w:tc>
          <w:tcPr>
            <w:tcW w:w="50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04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309880</wp:posOffset>
            </wp:positionV>
            <wp:extent cx="5554980" cy="36429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54980" cy="36429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2024</w:t>
      </w:r>
    </w:p>
    <w:p>
      <w:pPr>
        <w:spacing w:after="0" w:line="136"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57</w:t>
      </w:r>
    </w:p>
    <w:p>
      <w:pPr>
        <w:spacing w:after="0" w:line="136"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Independent</w:t>
      </w:r>
    </w:p>
    <w:p>
      <w:pPr>
        <w:spacing w:after="0" w:line="123"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Current Committee</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Memberships:</w:t>
      </w:r>
      <w:r>
        <w:rPr>
          <w:rFonts w:ascii="Arial" w:cs="Arial" w:eastAsia="Arial" w:hAnsi="Arial"/>
          <w:sz w:val="17"/>
          <w:szCs w:val="17"/>
          <w:color w:val="auto"/>
        </w:rPr>
        <w:t>​</w:t>
      </w:r>
    </w:p>
    <w:p>
      <w:pPr>
        <w:spacing w:after="0" w:line="65" w:lineRule="exact"/>
        <w:rPr>
          <w:sz w:val="20"/>
          <w:szCs w:val="20"/>
          <w:color w:val="auto"/>
        </w:rPr>
      </w:pPr>
    </w:p>
    <w:p>
      <w:pPr>
        <w:ind w:left="1360" w:hanging="262"/>
        <w:spacing w:after="0"/>
        <w:tabs>
          <w:tab w:leader="none" w:pos="1360" w:val="left"/>
        </w:tabs>
        <w:numPr>
          <w:ilvl w:val="0"/>
          <w:numId w:val="14"/>
        </w:numPr>
        <w:rPr>
          <w:rFonts w:ascii="Arial" w:cs="Arial" w:eastAsia="Arial" w:hAnsi="Arial"/>
          <w:sz w:val="18"/>
          <w:szCs w:val="18"/>
          <w:color w:val="53C072"/>
        </w:rPr>
      </w:pPr>
      <w:r>
        <w:rPr>
          <w:rFonts w:ascii="Arial" w:cs="Arial" w:eastAsia="Arial" w:hAnsi="Arial"/>
          <w:sz w:val="14"/>
          <w:szCs w:val="14"/>
          <w:color w:val="auto"/>
        </w:rPr>
        <w:t>Audit</w:t>
      </w:r>
    </w:p>
    <w:p>
      <w:pPr>
        <w:spacing w:after="0" w:line="63" w:lineRule="exact"/>
        <w:rPr>
          <w:rFonts w:ascii="Arial" w:cs="Arial" w:eastAsia="Arial" w:hAnsi="Arial"/>
          <w:sz w:val="18"/>
          <w:szCs w:val="18"/>
          <w:color w:val="53C072"/>
        </w:rPr>
      </w:pPr>
    </w:p>
    <w:p>
      <w:pPr>
        <w:ind w:left="1360" w:hanging="262"/>
        <w:spacing w:after="0"/>
        <w:tabs>
          <w:tab w:leader="none" w:pos="1360" w:val="left"/>
        </w:tabs>
        <w:numPr>
          <w:ilvl w:val="0"/>
          <w:numId w:val="14"/>
        </w:numPr>
        <w:rPr>
          <w:rFonts w:ascii="Arial" w:cs="Arial" w:eastAsia="Arial" w:hAnsi="Arial"/>
          <w:sz w:val="18"/>
          <w:szCs w:val="18"/>
          <w:color w:val="53C072"/>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tabs>
          <w:tab w:leader="none" w:pos="6340" w:val="left"/>
        </w:tabs>
        <w:rPr>
          <w:sz w:val="20"/>
          <w:szCs w:val="20"/>
          <w:color w:val="auto"/>
        </w:rPr>
      </w:pPr>
      <w:r>
        <w:rPr>
          <w:rFonts w:ascii="Arial" w:cs="Arial" w:eastAsia="Arial" w:hAnsi="Arial"/>
          <w:sz w:val="28"/>
          <w:szCs w:val="28"/>
          <w:color w:val="000000"/>
          <w:vertAlign w:val="superscript"/>
        </w:rPr>
        <w:t>​ ​</w:t>
      </w:r>
      <w:r>
        <w:rPr>
          <w:rFonts w:ascii="Arial" w:cs="Arial" w:eastAsia="Arial" w:hAnsi="Arial"/>
          <w:sz w:val="22"/>
          <w:szCs w:val="22"/>
          <w:b w:val="1"/>
          <w:bCs w:val="1"/>
          <w:color w:val="FEFEFE"/>
        </w:rPr>
        <w:t>VIRGINIA L. HENKELS</w:t>
      </w:r>
      <w:r>
        <w:rPr>
          <w:sz w:val="20"/>
          <w:szCs w:val="20"/>
          <w:color w:val="auto"/>
        </w:rPr>
        <w:tab/>
      </w:r>
      <w:r>
        <w:rPr>
          <w:rFonts w:ascii="Arial" w:cs="Arial" w:eastAsia="Arial" w:hAnsi="Arial"/>
          <w:sz w:val="29"/>
          <w:szCs w:val="29"/>
          <w:color w:val="auto"/>
          <w:vertAlign w:val="superscript"/>
        </w:rPr>
        <w:t>​</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160" w:right="319"/>
        <w:spacing w:after="0" w:line="265" w:lineRule="auto"/>
        <w:rPr>
          <w:sz w:val="20"/>
          <w:szCs w:val="20"/>
          <w:color w:val="auto"/>
        </w:rPr>
      </w:pPr>
      <w:r>
        <w:rPr>
          <w:rFonts w:ascii="Arial" w:cs="Arial" w:eastAsia="Arial" w:hAnsi="Arial"/>
          <w:sz w:val="17"/>
          <w:szCs w:val="17"/>
          <w:color w:val="auto"/>
        </w:rPr>
        <w:t>Ms. Henkels served as Executive Vice President, Chief Financial Officer, and Treasurer of Swift Transportation Company from 2008 to 2017. She held various finance and accounting leadership positions with increasing responsibilities since 2004 at Swift Transportation and from 1990 to 2002 at Honeywell International, Inc., a global diversified technology and manufacturing company. Ms. Henkels also served as Chief Financial Officer and Secretary of Empowerment &amp; Inclusion Capital I Corp., a special-purpose acquisition company focused on promoting equity and inclusion from 2020 to 2023. Ms. Henkels has served on the board of directors of Pursuit Attractions and Hospitality, Inc. (NYSE: PRSU) f/k/a Viad Corp. since November 2017, LCI Industries (NYSE: LCII) since September 2017, and privately-held Isaac Instruments since March 2023. From 2018 to 2021, Ms. Henkels served on the board of directors of Echo Global Logistics, Inc. (Nasdaq: ECHO).</w:t>
      </w:r>
    </w:p>
    <w:p>
      <w:pPr>
        <w:spacing w:after="0" w:line="3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04" w:lineRule="exact"/>
        <w:rPr>
          <w:sz w:val="20"/>
          <w:szCs w:val="20"/>
          <w:color w:val="auto"/>
        </w:rPr>
      </w:pPr>
    </w:p>
    <w:p>
      <w:pPr>
        <w:ind w:left="160"/>
        <w:spacing w:after="0"/>
        <w:tabs>
          <w:tab w:leader="none" w:pos="480" w:val="left"/>
          <w:tab w:leader="none" w:pos="3160" w:val="left"/>
          <w:tab w:leader="none" w:pos="348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International Business</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Risk Management and Resiliency</w:t>
      </w:r>
    </w:p>
    <w:p>
      <w:pPr>
        <w:spacing w:after="0" w:line="77" w:lineRule="exact"/>
        <w:rPr>
          <w:sz w:val="20"/>
          <w:szCs w:val="20"/>
          <w:color w:val="auto"/>
        </w:rPr>
      </w:pPr>
    </w:p>
    <w:p>
      <w:pPr>
        <w:ind w:left="500" w:hanging="333"/>
        <w:spacing w:after="0"/>
        <w:tabs>
          <w:tab w:leader="none" w:pos="500" w:val="left"/>
        </w:tabs>
        <w:numPr>
          <w:ilvl w:val="0"/>
          <w:numId w:val="15"/>
        </w:numPr>
        <w:rPr>
          <w:rFonts w:ascii="Arial" w:cs="Arial" w:eastAsia="Arial" w:hAnsi="Arial"/>
          <w:sz w:val="18"/>
          <w:szCs w:val="18"/>
          <w:color w:val="53C072"/>
        </w:rPr>
      </w:pPr>
      <w:r>
        <w:rPr>
          <w:rFonts w:ascii="Arial" w:cs="Arial" w:eastAsia="Arial" w:hAnsi="Arial"/>
          <w:sz w:val="18"/>
          <w:szCs w:val="18"/>
          <w:color w:val="auto"/>
        </w:rPr>
        <w:t>Finance</w:t>
      </w:r>
    </w:p>
    <w:p>
      <w:pPr>
        <w:spacing w:after="0" w:line="104" w:lineRule="exact"/>
        <w:rPr>
          <w:sz w:val="20"/>
          <w:szCs w:val="20"/>
          <w:color w:val="auto"/>
        </w:rPr>
      </w:pPr>
    </w:p>
    <w:p>
      <w:pPr>
        <w:jc w:val="both"/>
        <w:ind w:left="160" w:right="479"/>
        <w:spacing w:after="0" w:line="268" w:lineRule="auto"/>
        <w:rPr>
          <w:sz w:val="20"/>
          <w:szCs w:val="20"/>
          <w:color w:val="auto"/>
        </w:rPr>
      </w:pPr>
      <w:r>
        <w:rPr>
          <w:rFonts w:ascii="Arial" w:cs="Arial" w:eastAsia="Arial" w:hAnsi="Arial"/>
          <w:sz w:val="18"/>
          <w:szCs w:val="18"/>
          <w:color w:val="auto"/>
        </w:rPr>
        <w:t>The Board benefits from Ms. Henkels’ experience with finance, accounting, capital markets, investor relations, strategy development, risk management, financial reporting, audit,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-1478915</wp:posOffset>
            </wp:positionH>
            <wp:positionV relativeFrom="paragraph">
              <wp:posOffset>214630</wp:posOffset>
            </wp:positionV>
            <wp:extent cx="5554980" cy="3514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54980" cy="35147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500"/>
            <w:col w:w="65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136"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67</w:t>
      </w:r>
    </w:p>
    <w:p>
      <w:pPr>
        <w:spacing w:after="0" w:line="136"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Independent</w:t>
      </w:r>
    </w:p>
    <w:p>
      <w:pPr>
        <w:spacing w:after="0" w:line="123"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Current Committee</w:t>
      </w:r>
    </w:p>
    <w:p>
      <w:pPr>
        <w:spacing w:after="0" w:line="29"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Memberships:</w:t>
      </w:r>
    </w:p>
    <w:p>
      <w:pPr>
        <w:spacing w:after="0" w:line="68" w:lineRule="exact"/>
        <w:rPr>
          <w:sz w:val="20"/>
          <w:szCs w:val="20"/>
          <w:color w:val="auto"/>
        </w:rPr>
      </w:pPr>
    </w:p>
    <w:p>
      <w:pPr>
        <w:ind w:left="1360" w:hanging="262"/>
        <w:spacing w:after="0" w:line="183" w:lineRule="auto"/>
        <w:tabs>
          <w:tab w:leader="none" w:pos="1360" w:val="left"/>
        </w:tabs>
        <w:numPr>
          <w:ilvl w:val="0"/>
          <w:numId w:val="16"/>
        </w:numPr>
        <w:rPr>
          <w:rFonts w:ascii="Arial" w:cs="Arial" w:eastAsia="Arial" w:hAnsi="Arial"/>
          <w:sz w:val="28"/>
          <w:szCs w:val="28"/>
          <w:color w:val="53C072"/>
          <w:vertAlign w:val="subscript"/>
        </w:rPr>
      </w:pPr>
      <w:r>
        <w:rPr>
          <w:rFonts w:ascii="Arial" w:cs="Arial" w:eastAsia="Arial" w:hAnsi="Arial"/>
          <w:sz w:val="13"/>
          <w:szCs w:val="13"/>
          <w:color w:val="auto"/>
        </w:rPr>
        <w:t>Compensation and Leadership Development (Chair)</w:t>
      </w:r>
    </w:p>
    <w:p>
      <w:pPr>
        <w:spacing w:after="0" w:line="26" w:lineRule="exact"/>
        <w:rPr>
          <w:rFonts w:ascii="Arial" w:cs="Arial" w:eastAsia="Arial" w:hAnsi="Arial"/>
          <w:sz w:val="28"/>
          <w:szCs w:val="28"/>
          <w:color w:val="53C072"/>
          <w:vertAlign w:val="subscript"/>
        </w:rPr>
      </w:pPr>
    </w:p>
    <w:p>
      <w:pPr>
        <w:ind w:left="1360" w:hanging="262"/>
        <w:spacing w:after="0"/>
        <w:tabs>
          <w:tab w:leader="none" w:pos="1360" w:val="left"/>
        </w:tabs>
        <w:numPr>
          <w:ilvl w:val="0"/>
          <w:numId w:val="16"/>
        </w:numPr>
        <w:rPr>
          <w:rFonts w:ascii="Arial" w:cs="Arial" w:eastAsia="Arial" w:hAnsi="Arial"/>
          <w:sz w:val="14"/>
          <w:szCs w:val="14"/>
          <w:color w:val="53C072"/>
        </w:rPr>
      </w:pPr>
      <w:r>
        <w:rPr>
          <w:rFonts w:ascii="Arial" w:cs="Arial" w:eastAsia="Arial" w:hAnsi="Arial"/>
          <w:sz w:val="14"/>
          <w:szCs w:val="14"/>
          <w:color w:val="auto"/>
        </w:rPr>
        <w:t>Executive</w:t>
      </w:r>
    </w:p>
    <w:p>
      <w:pPr>
        <w:spacing w:after="0" w:line="82" w:lineRule="exact"/>
        <w:rPr>
          <w:rFonts w:ascii="Arial" w:cs="Arial" w:eastAsia="Arial" w:hAnsi="Arial"/>
          <w:sz w:val="14"/>
          <w:szCs w:val="14"/>
          <w:color w:val="53C072"/>
        </w:rPr>
      </w:pPr>
    </w:p>
    <w:p>
      <w:pPr>
        <w:ind w:left="1360" w:hanging="262"/>
        <w:spacing w:after="0"/>
        <w:tabs>
          <w:tab w:leader="none" w:pos="1360" w:val="left"/>
        </w:tabs>
        <w:numPr>
          <w:ilvl w:val="0"/>
          <w:numId w:val="16"/>
        </w:numPr>
        <w:rPr>
          <w:rFonts w:ascii="Arial" w:cs="Arial" w:eastAsia="Arial" w:hAnsi="Arial"/>
          <w:sz w:val="14"/>
          <w:szCs w:val="14"/>
          <w:color w:val="53C072"/>
        </w:rPr>
      </w:pPr>
      <w:r>
        <w:rPr>
          <w:rFonts w:ascii="Arial" w:cs="Arial" w:eastAsia="Arial" w:hAnsi="Arial"/>
          <w:sz w:val="14"/>
          <w:szCs w:val="14"/>
          <w:color w:val="auto"/>
        </w:rPr>
        <w:t>Technology and Risk</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tabs>
          <w:tab w:leader="none" w:pos="6320" w:val="left"/>
        </w:tabs>
        <w:rPr>
          <w:sz w:val="20"/>
          <w:szCs w:val="20"/>
          <w:color w:val="auto"/>
        </w:rPr>
      </w:pPr>
      <w:r>
        <w:rPr>
          <w:rFonts w:ascii="Arial" w:cs="Arial" w:eastAsia="Arial" w:hAnsi="Arial"/>
          <w:sz w:val="28"/>
          <w:szCs w:val="28"/>
          <w:color w:val="000000"/>
          <w:vertAlign w:val="superscript"/>
        </w:rPr>
        <w:t>​ ​</w:t>
      </w:r>
      <w:r>
        <w:rPr>
          <w:rFonts w:ascii="Arial" w:cs="Arial" w:eastAsia="Arial" w:hAnsi="Arial"/>
          <w:sz w:val="22"/>
          <w:szCs w:val="22"/>
          <w:b w:val="1"/>
          <w:bCs w:val="1"/>
          <w:color w:val="FEFEFE"/>
        </w:rPr>
        <w:t>JO ANN JENKINS</w:t>
      </w:r>
      <w:r>
        <w:rPr>
          <w:sz w:val="20"/>
          <w:szCs w:val="20"/>
          <w:color w:val="auto"/>
        </w:rPr>
        <w:tab/>
      </w:r>
      <w:r>
        <w:rPr>
          <w:rFonts w:ascii="Arial" w:cs="Arial" w:eastAsia="Arial" w:hAnsi="Arial"/>
          <w:sz w:val="29"/>
          <w:szCs w:val="29"/>
          <w:color w:val="auto"/>
          <w:vertAlign w:val="superscript"/>
        </w:rPr>
        <w:t>​</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160" w:right="359"/>
        <w:spacing w:after="0" w:line="251" w:lineRule="auto"/>
        <w:rPr>
          <w:sz w:val="20"/>
          <w:szCs w:val="20"/>
          <w:color w:val="auto"/>
        </w:rPr>
      </w:pPr>
      <w:r>
        <w:rPr>
          <w:rFonts w:ascii="Arial" w:cs="Arial" w:eastAsia="Arial" w:hAnsi="Arial"/>
          <w:sz w:val="18"/>
          <w:szCs w:val="18"/>
          <w:color w:val="auto"/>
        </w:rPr>
        <w:t>Ms. Jenkins served as the Chief Executive Officer of AARP, the nation’s largest nonprofit, nonpartisan organization dedicated to empowering people 50 and older to choose how they live and age, from 2014 until her retirement in 2024. Previously, she served as the Executive Vice President and Chief Operating Officer of AARP from 2013 to 2014 and President of the AARP Foundation from 2010 to 2013. Prior to that, Ms. Jenkins held various positions at the Library of Congress from 1994 to 2010, including Chief Operating Officer from 2007 to 2010. Ms. Jenkins has served on the board of directors of Aon plc (NYSE: AON) since August 2025 and General Mills, Inc. (NYSE: GIS) since January 2020.</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04" w:lineRule="exact"/>
        <w:rPr>
          <w:sz w:val="20"/>
          <w:szCs w:val="20"/>
          <w:color w:val="auto"/>
        </w:rPr>
      </w:pPr>
    </w:p>
    <w:p>
      <w:pPr>
        <w:ind w:left="160"/>
        <w:spacing w:after="0"/>
        <w:tabs>
          <w:tab w:leader="none" w:pos="460" w:val="left"/>
          <w:tab w:leader="none" w:pos="3140" w:val="left"/>
          <w:tab w:leader="none" w:pos="352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CEO</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Operations</w:t>
      </w:r>
    </w:p>
    <w:p>
      <w:pPr>
        <w:spacing w:after="0" w:line="63" w:lineRule="exact"/>
        <w:rPr>
          <w:sz w:val="20"/>
          <w:szCs w:val="20"/>
          <w:color w:val="auto"/>
        </w:rPr>
      </w:pPr>
    </w:p>
    <w:p>
      <w:pPr>
        <w:ind w:left="160"/>
        <w:spacing w:after="0"/>
        <w:tabs>
          <w:tab w:leader="none" w:pos="460" w:val="left"/>
          <w:tab w:leader="none" w:pos="3140" w:val="left"/>
          <w:tab w:leader="none" w:pos="352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Marketing</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Risk Management and Resiliency</w:t>
      </w:r>
    </w:p>
    <w:p>
      <w:pPr>
        <w:spacing w:after="0" w:line="104" w:lineRule="exact"/>
        <w:rPr>
          <w:sz w:val="20"/>
          <w:szCs w:val="20"/>
          <w:color w:val="auto"/>
        </w:rPr>
      </w:pPr>
    </w:p>
    <w:p>
      <w:pPr>
        <w:ind w:left="160" w:right="519"/>
        <w:spacing w:after="0" w:line="254" w:lineRule="auto"/>
        <w:rPr>
          <w:sz w:val="20"/>
          <w:szCs w:val="20"/>
          <w:color w:val="auto"/>
        </w:rPr>
      </w:pPr>
      <w:r>
        <w:rPr>
          <w:rFonts w:ascii="Arial" w:cs="Arial" w:eastAsia="Arial" w:hAnsi="Arial"/>
          <w:sz w:val="18"/>
          <w:szCs w:val="18"/>
          <w:color w:val="auto"/>
        </w:rPr>
        <w:t>The Board benefits from Ms. Jenkins’ deep understanding of strategic management and innovative marketing, which she developed through her CEO and operational roles. She contributes valuable insights regarding corporate leadership and management, government affairs and community relations, and innovation and strategic transformation, including developing and implementing diversity strategies.</w:t>
      </w:r>
    </w:p>
    <w:p>
      <w:pPr>
        <w:spacing w:after="0" w:line="200" w:lineRule="exact"/>
        <w:rPr>
          <w:sz w:val="20"/>
          <w:szCs w:val="20"/>
          <w:color w:val="auto"/>
        </w:rPr>
      </w:pPr>
    </w:p>
    <w:p>
      <w:pPr>
        <w:sectPr>
          <w:pgSz w:w="11900" w:h="16838" w:orient="portrait"/>
          <w:cols w:equalWidth="0" w:num="2">
            <w:col w:w="2940" w:space="400"/>
            <w:col w:w="6539"/>
          </w:cols>
          <w:pgMar w:left="580" w:top="97" w:right="1440" w:bottom="1440" w:gutter="0" w:footer="0" w:header="0"/>
          <w:type w:val="continuous"/>
        </w:sectPr>
      </w:pPr>
    </w:p>
    <w:p>
      <w:pPr>
        <w:spacing w:after="0" w:line="33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12     </w:t>
      </w:r>
      <w:r>
        <w:rPr>
          <w:sz w:val="1"/>
          <w:szCs w:val="1"/>
          <w:color w:val="auto"/>
        </w:rPr>
        <w:drawing>
          <wp:inline distT="0" distB="0" distL="0" distR="0">
            <wp:extent cx="1242695" cy="24003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04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700" w:type="dxa"/>
            <w:vAlign w:val="bottom"/>
            <w:vMerge w:val="restart"/>
          </w:tcPr>
          <w:p>
            <w:pPr>
              <w:ind w:left="2680"/>
              <w:spacing w:after="0"/>
              <w:rPr>
                <w:sz w:val="20"/>
                <w:szCs w:val="20"/>
                <w:color w:val="auto"/>
              </w:rPr>
            </w:pPr>
            <w:r>
              <w:rPr>
                <w:rFonts w:ascii="Arial" w:cs="Arial" w:eastAsia="Arial" w:hAnsi="Arial"/>
                <w:sz w:val="14"/>
                <w:szCs w:val="14"/>
                <w:color w:val="auto"/>
                <w:w w:val="99"/>
              </w:rPr>
              <w:t>Proposal 1: Election of Directors</w:t>
            </w:r>
          </w:p>
        </w:tc>
        <w:tc>
          <w:tcPr>
            <w:tcW w:w="0" w:type="dxa"/>
            <w:vAlign w:val="bottom"/>
          </w:tcPr>
          <w:p>
            <w:pPr>
              <w:spacing w:after="0"/>
              <w:rPr>
                <w:sz w:val="1"/>
                <w:szCs w:val="1"/>
                <w:color w:val="auto"/>
              </w:rPr>
            </w:pPr>
          </w:p>
        </w:tc>
      </w:tr>
      <w:tr>
        <w:trPr>
          <w:trHeight w:val="88"/>
        </w:trPr>
        <w:tc>
          <w:tcPr>
            <w:tcW w:w="50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04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309880</wp:posOffset>
            </wp:positionV>
            <wp:extent cx="5554980" cy="39001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54980" cy="39001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123"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60</w:t>
      </w:r>
    </w:p>
    <w:p>
      <w:pPr>
        <w:spacing w:after="0" w:line="86"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98"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Current Committee</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Memberships:</w:t>
      </w:r>
    </w:p>
    <w:p>
      <w:pPr>
        <w:spacing w:after="0" w:line="58" w:lineRule="exact"/>
        <w:rPr>
          <w:sz w:val="20"/>
          <w:szCs w:val="20"/>
          <w:color w:val="auto"/>
        </w:rPr>
      </w:pPr>
    </w:p>
    <w:p>
      <w:pPr>
        <w:ind w:left="1360" w:hanging="262"/>
        <w:spacing w:after="0"/>
        <w:tabs>
          <w:tab w:leader="none" w:pos="1360" w:val="left"/>
        </w:tabs>
        <w:numPr>
          <w:ilvl w:val="0"/>
          <w:numId w:val="17"/>
        </w:numPr>
        <w:rPr>
          <w:rFonts w:ascii="Arial" w:cs="Arial" w:eastAsia="Arial" w:hAnsi="Arial"/>
          <w:sz w:val="18"/>
          <w:szCs w:val="18"/>
          <w:color w:val="53C072"/>
        </w:rPr>
      </w:pPr>
      <w:r>
        <w:rPr>
          <w:rFonts w:ascii="Arial" w:cs="Arial" w:eastAsia="Arial" w:hAnsi="Arial"/>
          <w:sz w:val="14"/>
          <w:szCs w:val="14"/>
          <w:color w:val="auto"/>
        </w:rPr>
        <w:t>Audit</w:t>
      </w:r>
    </w:p>
    <w:p>
      <w:pPr>
        <w:spacing w:after="0" w:line="36" w:lineRule="exact"/>
        <w:rPr>
          <w:rFonts w:ascii="Arial" w:cs="Arial" w:eastAsia="Arial" w:hAnsi="Arial"/>
          <w:sz w:val="18"/>
          <w:szCs w:val="18"/>
          <w:color w:val="53C072"/>
        </w:rPr>
      </w:pPr>
    </w:p>
    <w:p>
      <w:pPr>
        <w:ind w:left="1360" w:hanging="262"/>
        <w:spacing w:after="0"/>
        <w:tabs>
          <w:tab w:leader="none" w:pos="1360" w:val="left"/>
        </w:tabs>
        <w:numPr>
          <w:ilvl w:val="0"/>
          <w:numId w:val="17"/>
        </w:numPr>
        <w:rPr>
          <w:rFonts w:ascii="Arial" w:cs="Arial" w:eastAsia="Arial" w:hAnsi="Arial"/>
          <w:sz w:val="18"/>
          <w:szCs w:val="18"/>
          <w:color w:val="53C072"/>
        </w:rPr>
      </w:pPr>
      <w:r>
        <w:rPr>
          <w:rFonts w:ascii="Arial" w:cs="Arial" w:eastAsia="Arial" w:hAnsi="Arial"/>
          <w:sz w:val="14"/>
          <w:szCs w:val="14"/>
          <w:color w:val="auto"/>
        </w:rPr>
        <w:t>Executive</w:t>
      </w:r>
    </w:p>
    <w:p>
      <w:pPr>
        <w:spacing w:after="0" w:line="36" w:lineRule="exact"/>
        <w:rPr>
          <w:rFonts w:ascii="Arial" w:cs="Arial" w:eastAsia="Arial" w:hAnsi="Arial"/>
          <w:sz w:val="18"/>
          <w:szCs w:val="18"/>
          <w:color w:val="53C072"/>
        </w:rPr>
      </w:pPr>
    </w:p>
    <w:p>
      <w:pPr>
        <w:ind w:left="1360" w:hanging="262"/>
        <w:spacing w:after="0"/>
        <w:tabs>
          <w:tab w:leader="none" w:pos="1360" w:val="left"/>
        </w:tabs>
        <w:numPr>
          <w:ilvl w:val="0"/>
          <w:numId w:val="17"/>
        </w:numPr>
        <w:rPr>
          <w:rFonts w:ascii="Arial" w:cs="Arial" w:eastAsia="Arial" w:hAnsi="Arial"/>
          <w:sz w:val="18"/>
          <w:szCs w:val="18"/>
          <w:color w:val="53C072"/>
        </w:rPr>
      </w:pPr>
      <w:r>
        <w:rPr>
          <w:rFonts w:ascii="Arial" w:cs="Arial" w:eastAsia="Arial" w:hAnsi="Arial"/>
          <w:sz w:val="14"/>
          <w:szCs w:val="14"/>
          <w:color w:val="auto"/>
        </w:rPr>
        <w:t>Technology and Risk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sz w:val="1"/>
          <w:szCs w:val="1"/>
          <w:color w:val="auto"/>
        </w:rPr>
        <w:drawing>
          <wp:inline distT="0" distB="0" distL="0" distR="0">
            <wp:extent cx="60325" cy="29146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291465"/>
                    </a:xfrm>
                    <a:prstGeom prst="rect">
                      <a:avLst/>
                    </a:prstGeom>
                    <a:noFill/>
                    <a:ln>
                      <a:noFill/>
                    </a:ln>
                  </pic:spPr>
                </pic:pic>
              </a:graphicData>
            </a:graphic>
          </wp:inline>
        </w:drawing>
      </w:r>
      <w:r>
        <w:rPr>
          <w:rFonts w:ascii="Arial" w:cs="Arial" w:eastAsia="Arial" w:hAnsi="Arial"/>
          <w:sz w:val="22"/>
          <w:szCs w:val="22"/>
          <w:b w:val="1"/>
          <w:bCs w:val="1"/>
          <w:color w:val="FEFEFE"/>
        </w:rPr>
        <w:t>OLEG KHAYKIN</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80" w:right="299"/>
        <w:spacing w:after="0" w:line="257" w:lineRule="auto"/>
        <w:rPr>
          <w:sz w:val="20"/>
          <w:szCs w:val="20"/>
          <w:color w:val="auto"/>
        </w:rPr>
      </w:pPr>
      <w:r>
        <w:rPr>
          <w:rFonts w:ascii="Arial" w:cs="Arial" w:eastAsia="Arial" w:hAnsi="Arial"/>
          <w:sz w:val="17"/>
          <w:szCs w:val="17"/>
          <w:color w:val="auto"/>
        </w:rPr>
        <w:t>Mr. Khaykin has served as the President and Chief Executive Officer and member of the board of directors of Viavi Solutions Inc. (Nasdaq: VIAV), a provider of network and service enablement solutions, since February 2016. From 2015 to 2016, he served as a Senior Advisor at Silver Lake Partners. Prior to that, Mr. Khaykin served as President and Chief Executive Officer and a member of the board of directors of International Rectifier, a maker of power semiconductors, from 2008 until its acquisition by Infineon AG in 2015. From 2003 to 2008, he served as Executive Vice President and Chief Operating Officer of Amkor Technology, Inc. (Nasdaq: AMKR), and from 1999 to 2003 as Vice President of Strategy &amp; Business Development at Conexant Systems, Inc. (Nasdaq: CNXT) and Mindspeed Technologies, Inc. (Nasdaq: MSPD). Mr. Khaykin had previously served on the boards of directors of Marvell Technology Group (Nasdaq: MRVL) from 2016 to July 2020 and Newport Corporation from 2010 until its acquisition by MKS Instruments in 2016.​</w:t>
      </w:r>
    </w:p>
    <w:p>
      <w:pPr>
        <w:spacing w:after="0" w:line="9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200" w:type="dxa"/>
            <w:vAlign w:val="bottom"/>
          </w:tcPr>
          <w:p>
            <w:pPr>
              <w:spacing w:after="0"/>
              <w:rPr>
                <w:sz w:val="20"/>
                <w:szCs w:val="20"/>
                <w:color w:val="auto"/>
              </w:rPr>
            </w:pPr>
            <w:r>
              <w:rPr>
                <w:rFonts w:ascii="Arial" w:cs="Arial" w:eastAsia="Arial" w:hAnsi="Arial"/>
                <w:sz w:val="18"/>
                <w:szCs w:val="18"/>
                <w:color w:val="53C072"/>
              </w:rPr>
              <w:t>•</w:t>
            </w:r>
          </w:p>
        </w:tc>
        <w:tc>
          <w:tcPr>
            <w:tcW w:w="2340" w:type="dxa"/>
            <w:vAlign w:val="bottom"/>
          </w:tcPr>
          <w:p>
            <w:pPr>
              <w:ind w:left="140"/>
              <w:spacing w:after="0"/>
              <w:rPr>
                <w:sz w:val="20"/>
                <w:szCs w:val="20"/>
                <w:color w:val="auto"/>
              </w:rPr>
            </w:pPr>
            <w:r>
              <w:rPr>
                <w:rFonts w:ascii="Arial" w:cs="Arial" w:eastAsia="Arial" w:hAnsi="Arial"/>
                <w:sz w:val="18"/>
                <w:szCs w:val="18"/>
                <w:color w:val="auto"/>
              </w:rPr>
              <w:t>CEO</w:t>
            </w:r>
          </w:p>
        </w:tc>
        <w:tc>
          <w:tcPr>
            <w:tcW w:w="680" w:type="dxa"/>
            <w:vAlign w:val="bottom"/>
          </w:tcPr>
          <w:p>
            <w:pPr>
              <w:ind w:left="480"/>
              <w:spacing w:after="0"/>
              <w:rPr>
                <w:sz w:val="20"/>
                <w:szCs w:val="20"/>
                <w:color w:val="auto"/>
              </w:rPr>
            </w:pPr>
            <w:r>
              <w:rPr>
                <w:rFonts w:ascii="Arial" w:cs="Arial" w:eastAsia="Arial" w:hAnsi="Arial"/>
                <w:sz w:val="18"/>
                <w:szCs w:val="18"/>
                <w:color w:val="53C072"/>
              </w:rPr>
              <w:t>•</w:t>
            </w:r>
          </w:p>
        </w:tc>
        <w:tc>
          <w:tcPr>
            <w:tcW w:w="2760" w:type="dxa"/>
            <w:vAlign w:val="bottom"/>
          </w:tcPr>
          <w:p>
            <w:pPr>
              <w:ind w:left="120"/>
              <w:spacing w:after="0"/>
              <w:rPr>
                <w:sz w:val="20"/>
                <w:szCs w:val="20"/>
                <w:color w:val="auto"/>
              </w:rPr>
            </w:pPr>
            <w:r>
              <w:rPr>
                <w:rFonts w:ascii="Arial" w:cs="Arial" w:eastAsia="Arial" w:hAnsi="Arial"/>
                <w:sz w:val="18"/>
                <w:szCs w:val="18"/>
                <w:color w:val="auto"/>
              </w:rPr>
              <w:t>Technology/Digital Media</w:t>
            </w:r>
          </w:p>
        </w:tc>
      </w:tr>
      <w:tr>
        <w:trPr>
          <w:trHeight w:val="257"/>
        </w:trPr>
        <w:tc>
          <w:tcPr>
            <w:tcW w:w="200" w:type="dxa"/>
            <w:vAlign w:val="bottom"/>
          </w:tcPr>
          <w:p>
            <w:pPr>
              <w:spacing w:after="0"/>
              <w:rPr>
                <w:sz w:val="20"/>
                <w:szCs w:val="20"/>
                <w:color w:val="auto"/>
              </w:rPr>
            </w:pPr>
            <w:r>
              <w:rPr>
                <w:rFonts w:ascii="Arial" w:cs="Arial" w:eastAsia="Arial" w:hAnsi="Arial"/>
                <w:sz w:val="18"/>
                <w:szCs w:val="18"/>
                <w:color w:val="53C072"/>
              </w:rPr>
              <w:t>•</w:t>
            </w:r>
          </w:p>
        </w:tc>
        <w:tc>
          <w:tcPr>
            <w:tcW w:w="2340" w:type="dxa"/>
            <w:vAlign w:val="bottom"/>
          </w:tcPr>
          <w:p>
            <w:pPr>
              <w:ind w:left="140"/>
              <w:spacing w:after="0"/>
              <w:rPr>
                <w:sz w:val="20"/>
                <w:szCs w:val="20"/>
                <w:color w:val="auto"/>
              </w:rPr>
            </w:pPr>
            <w:r>
              <w:rPr>
                <w:rFonts w:ascii="Arial" w:cs="Arial" w:eastAsia="Arial" w:hAnsi="Arial"/>
                <w:sz w:val="18"/>
                <w:szCs w:val="18"/>
                <w:color w:val="auto"/>
              </w:rPr>
              <w:t>International Business</w:t>
            </w:r>
          </w:p>
        </w:tc>
        <w:tc>
          <w:tcPr>
            <w:tcW w:w="3440" w:type="dxa"/>
            <w:vAlign w:val="bottom"/>
            <w:gridSpan w:val="2"/>
          </w:tcPr>
          <w:p>
            <w:pPr>
              <w:ind w:left="480"/>
              <w:spacing w:after="0"/>
              <w:rPr>
                <w:sz w:val="20"/>
                <w:szCs w:val="20"/>
                <w:color w:val="auto"/>
              </w:rPr>
            </w:pPr>
            <w:r>
              <w:rPr>
                <w:rFonts w:ascii="Arial" w:cs="Arial" w:eastAsia="Arial" w:hAnsi="Arial"/>
                <w:sz w:val="18"/>
                <w:szCs w:val="18"/>
                <w:color w:val="53C072"/>
              </w:rPr>
              <w:t xml:space="preserve">•   </w:t>
            </w:r>
            <w:r>
              <w:rPr>
                <w:rFonts w:ascii="Arial" w:cs="Arial" w:eastAsia="Arial" w:hAnsi="Arial"/>
                <w:sz w:val="18"/>
                <w:szCs w:val="18"/>
                <w:color w:val="000000"/>
              </w:rPr>
              <w:t>Risk Management and Resiliency</w:t>
            </w:r>
          </w:p>
        </w:tc>
      </w:tr>
      <w:tr>
        <w:trPr>
          <w:trHeight w:val="257"/>
        </w:trPr>
        <w:tc>
          <w:tcPr>
            <w:tcW w:w="200" w:type="dxa"/>
            <w:vAlign w:val="bottom"/>
          </w:tcPr>
          <w:p>
            <w:pPr>
              <w:spacing w:after="0"/>
              <w:rPr>
                <w:sz w:val="20"/>
                <w:szCs w:val="20"/>
                <w:color w:val="auto"/>
              </w:rPr>
            </w:pPr>
            <w:r>
              <w:rPr>
                <w:rFonts w:ascii="Arial" w:cs="Arial" w:eastAsia="Arial" w:hAnsi="Arial"/>
                <w:sz w:val="18"/>
                <w:szCs w:val="18"/>
                <w:color w:val="53C072"/>
              </w:rPr>
              <w:t>•</w:t>
            </w:r>
          </w:p>
        </w:tc>
        <w:tc>
          <w:tcPr>
            <w:tcW w:w="2340" w:type="dxa"/>
            <w:vAlign w:val="bottom"/>
          </w:tcPr>
          <w:p>
            <w:pPr>
              <w:ind w:left="140"/>
              <w:spacing w:after="0"/>
              <w:rPr>
                <w:sz w:val="20"/>
                <w:szCs w:val="20"/>
                <w:color w:val="auto"/>
              </w:rPr>
            </w:pPr>
            <w:r>
              <w:rPr>
                <w:rFonts w:ascii="Arial" w:cs="Arial" w:eastAsia="Arial" w:hAnsi="Arial"/>
                <w:sz w:val="18"/>
                <w:szCs w:val="18"/>
                <w:color w:val="auto"/>
              </w:rPr>
              <w:t>Finance</w:t>
            </w:r>
          </w:p>
        </w:tc>
        <w:tc>
          <w:tcPr>
            <w:tcW w:w="680" w:type="dxa"/>
            <w:vAlign w:val="bottom"/>
          </w:tcPr>
          <w:p>
            <w:pPr>
              <w:ind w:left="480"/>
              <w:spacing w:after="0"/>
              <w:rPr>
                <w:sz w:val="20"/>
                <w:szCs w:val="20"/>
                <w:color w:val="auto"/>
              </w:rPr>
            </w:pPr>
            <w:r>
              <w:rPr>
                <w:rFonts w:ascii="Arial" w:cs="Arial" w:eastAsia="Arial" w:hAnsi="Arial"/>
                <w:sz w:val="18"/>
                <w:szCs w:val="18"/>
                <w:color w:val="53C072"/>
              </w:rPr>
              <w:t>•</w:t>
            </w:r>
          </w:p>
        </w:tc>
        <w:tc>
          <w:tcPr>
            <w:tcW w:w="2760" w:type="dxa"/>
            <w:vAlign w:val="bottom"/>
          </w:tcPr>
          <w:p>
            <w:pPr>
              <w:ind w:left="120"/>
              <w:spacing w:after="0"/>
              <w:rPr>
                <w:sz w:val="20"/>
                <w:szCs w:val="20"/>
                <w:color w:val="auto"/>
              </w:rPr>
            </w:pPr>
            <w:r>
              <w:rPr>
                <w:rFonts w:ascii="Arial" w:cs="Arial" w:eastAsia="Arial" w:hAnsi="Arial"/>
                <w:sz w:val="18"/>
                <w:szCs w:val="18"/>
                <w:color w:val="auto"/>
              </w:rPr>
              <w:t>Marketing</w:t>
            </w:r>
          </w:p>
        </w:tc>
      </w:tr>
      <w:tr>
        <w:trPr>
          <w:trHeight w:val="257"/>
        </w:trPr>
        <w:tc>
          <w:tcPr>
            <w:tcW w:w="200" w:type="dxa"/>
            <w:vAlign w:val="bottom"/>
          </w:tcPr>
          <w:p>
            <w:pPr>
              <w:spacing w:after="0"/>
              <w:rPr>
                <w:sz w:val="20"/>
                <w:szCs w:val="20"/>
                <w:color w:val="auto"/>
              </w:rPr>
            </w:pPr>
            <w:r>
              <w:rPr>
                <w:rFonts w:ascii="Arial" w:cs="Arial" w:eastAsia="Arial" w:hAnsi="Arial"/>
                <w:sz w:val="18"/>
                <w:szCs w:val="18"/>
                <w:color w:val="53C072"/>
              </w:rPr>
              <w:t>•</w:t>
            </w:r>
          </w:p>
        </w:tc>
        <w:tc>
          <w:tcPr>
            <w:tcW w:w="23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680" w:type="dxa"/>
            <w:vAlign w:val="bottom"/>
          </w:tcPr>
          <w:p>
            <w:pPr>
              <w:ind w:left="480"/>
              <w:spacing w:after="0"/>
              <w:rPr>
                <w:sz w:val="20"/>
                <w:szCs w:val="20"/>
                <w:color w:val="auto"/>
              </w:rPr>
            </w:pPr>
            <w:r>
              <w:rPr>
                <w:rFonts w:ascii="Arial" w:cs="Arial" w:eastAsia="Arial" w:hAnsi="Arial"/>
                <w:sz w:val="18"/>
                <w:szCs w:val="18"/>
                <w:color w:val="53C072"/>
              </w:rPr>
              <w:t>•</w:t>
            </w:r>
          </w:p>
        </w:tc>
        <w:tc>
          <w:tcPr>
            <w:tcW w:w="2760" w:type="dxa"/>
            <w:vAlign w:val="bottom"/>
          </w:tcPr>
          <w:p>
            <w:pPr>
              <w:ind w:left="120"/>
              <w:spacing w:after="0"/>
              <w:rPr>
                <w:sz w:val="20"/>
                <w:szCs w:val="20"/>
                <w:color w:val="auto"/>
              </w:rPr>
            </w:pPr>
            <w:r>
              <w:rPr>
                <w:rFonts w:ascii="Arial" w:cs="Arial" w:eastAsia="Arial" w:hAnsi="Arial"/>
                <w:sz w:val="18"/>
                <w:szCs w:val="18"/>
                <w:color w:val="auto"/>
              </w:rPr>
              <w:t>Industry</w:t>
            </w:r>
          </w:p>
        </w:tc>
      </w:tr>
    </w:tbl>
    <w:p>
      <w:pPr>
        <w:spacing w:after="0" w:line="4" w:lineRule="exact"/>
        <w:rPr>
          <w:sz w:val="20"/>
          <w:szCs w:val="20"/>
          <w:color w:val="auto"/>
        </w:rPr>
      </w:pPr>
    </w:p>
    <w:p>
      <w:pPr>
        <w:ind w:left="80" w:right="359"/>
        <w:spacing w:after="0" w:line="271" w:lineRule="auto"/>
        <w:rPr>
          <w:sz w:val="20"/>
          <w:szCs w:val="20"/>
          <w:color w:val="auto"/>
        </w:rPr>
      </w:pPr>
      <w:r>
        <w:rPr>
          <w:rFonts w:ascii="Arial" w:cs="Arial" w:eastAsia="Arial" w:hAnsi="Arial"/>
          <w:sz w:val="17"/>
          <w:szCs w:val="17"/>
          <w:color w:val="auto"/>
        </w:rPr>
        <w:t>The Board benefits from Mr. Khaykin’s significant corporate leadership and management experience and extensive experience in the semiconductor industry. His experience with technology companies, and as both a prior customer and supplier to the Company, brings valuable insights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-1529715</wp:posOffset>
            </wp:positionH>
            <wp:positionV relativeFrom="paragraph">
              <wp:posOffset>213995</wp:posOffset>
            </wp:positionV>
            <wp:extent cx="5554980" cy="3188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54980" cy="31889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260"/>
            <w:col w:w="64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2021</w:t>
      </w:r>
    </w:p>
    <w:p>
      <w:pPr>
        <w:spacing w:after="0" w:line="136"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67</w:t>
      </w:r>
    </w:p>
    <w:p>
      <w:pPr>
        <w:spacing w:after="0" w:line="86"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11"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Current Committee</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Memberships:</w:t>
      </w:r>
    </w:p>
    <w:p>
      <w:pPr>
        <w:spacing w:after="0" w:line="58" w:lineRule="exact"/>
        <w:rPr>
          <w:sz w:val="20"/>
          <w:szCs w:val="20"/>
          <w:color w:val="auto"/>
        </w:rPr>
      </w:pPr>
    </w:p>
    <w:p>
      <w:pPr>
        <w:ind w:left="1360" w:hanging="262"/>
        <w:spacing w:after="0"/>
        <w:tabs>
          <w:tab w:leader="none" w:pos="1360" w:val="left"/>
        </w:tabs>
        <w:numPr>
          <w:ilvl w:val="0"/>
          <w:numId w:val="18"/>
        </w:numPr>
        <w:rPr>
          <w:rFonts w:ascii="Arial" w:cs="Arial" w:eastAsia="Arial" w:hAnsi="Arial"/>
          <w:sz w:val="18"/>
          <w:szCs w:val="18"/>
          <w:color w:val="53C072"/>
        </w:rPr>
      </w:pPr>
      <w:r>
        <w:rPr>
          <w:rFonts w:ascii="Arial" w:cs="Arial" w:eastAsia="Arial" w:hAnsi="Arial"/>
          <w:sz w:val="14"/>
          <w:szCs w:val="14"/>
          <w:color w:val="auto"/>
        </w:rPr>
        <w:t>Audit (Chair)</w:t>
      </w:r>
    </w:p>
    <w:p>
      <w:pPr>
        <w:spacing w:after="0" w:line="36" w:lineRule="exact"/>
        <w:rPr>
          <w:rFonts w:ascii="Arial" w:cs="Arial" w:eastAsia="Arial" w:hAnsi="Arial"/>
          <w:sz w:val="18"/>
          <w:szCs w:val="18"/>
          <w:color w:val="53C072"/>
        </w:rPr>
      </w:pPr>
    </w:p>
    <w:p>
      <w:pPr>
        <w:ind w:left="1360" w:hanging="262"/>
        <w:spacing w:after="0"/>
        <w:tabs>
          <w:tab w:leader="none" w:pos="1360" w:val="left"/>
        </w:tabs>
        <w:numPr>
          <w:ilvl w:val="0"/>
          <w:numId w:val="18"/>
        </w:numPr>
        <w:rPr>
          <w:rFonts w:ascii="Arial" w:cs="Arial" w:eastAsia="Arial" w:hAnsi="Arial"/>
          <w:sz w:val="18"/>
          <w:szCs w:val="18"/>
          <w:color w:val="53C072"/>
        </w:rPr>
      </w:pPr>
      <w:r>
        <w:rPr>
          <w:rFonts w:ascii="Arial" w:cs="Arial" w:eastAsia="Arial" w:hAnsi="Arial"/>
          <w:sz w:val="14"/>
          <w:szCs w:val="14"/>
          <w:color w:val="auto"/>
        </w:rPr>
        <w:t>Executive</w:t>
      </w:r>
    </w:p>
    <w:p>
      <w:pPr>
        <w:spacing w:after="0" w:line="36" w:lineRule="exact"/>
        <w:rPr>
          <w:rFonts w:ascii="Arial" w:cs="Arial" w:eastAsia="Arial" w:hAnsi="Arial"/>
          <w:sz w:val="18"/>
          <w:szCs w:val="18"/>
          <w:color w:val="53C072"/>
        </w:rPr>
      </w:pPr>
    </w:p>
    <w:p>
      <w:pPr>
        <w:ind w:left="1360" w:hanging="262"/>
        <w:spacing w:after="0"/>
        <w:tabs>
          <w:tab w:leader="none" w:pos="1360" w:val="left"/>
        </w:tabs>
        <w:numPr>
          <w:ilvl w:val="0"/>
          <w:numId w:val="18"/>
        </w:numPr>
        <w:rPr>
          <w:rFonts w:ascii="Arial" w:cs="Arial" w:eastAsia="Arial" w:hAnsi="Arial"/>
          <w:sz w:val="18"/>
          <w:szCs w:val="18"/>
          <w:color w:val="53C072"/>
        </w:rPr>
      </w:pPr>
      <w:r>
        <w:rPr>
          <w:rFonts w:ascii="Arial" w:cs="Arial" w:eastAsia="Arial" w:hAnsi="Arial"/>
          <w:sz w:val="14"/>
          <w:szCs w:val="14"/>
          <w:color w:val="auto"/>
        </w:rPr>
        <w:t>Technology and Risk</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tabs>
          <w:tab w:leader="none" w:pos="6340" w:val="left"/>
        </w:tabs>
        <w:rPr>
          <w:sz w:val="20"/>
          <w:szCs w:val="20"/>
          <w:color w:val="auto"/>
        </w:rPr>
      </w:pPr>
      <w:r>
        <w:rPr>
          <w:rFonts w:ascii="Arial" w:cs="Arial" w:eastAsia="Arial" w:hAnsi="Arial"/>
          <w:sz w:val="28"/>
          <w:szCs w:val="28"/>
          <w:color w:val="000000"/>
          <w:vertAlign w:val="superscript"/>
        </w:rPr>
        <w:t>​ ​</w:t>
      </w:r>
      <w:r>
        <w:rPr>
          <w:rFonts w:ascii="Arial" w:cs="Arial" w:eastAsia="Arial" w:hAnsi="Arial"/>
          <w:sz w:val="22"/>
          <w:szCs w:val="22"/>
          <w:b w:val="1"/>
          <w:bCs w:val="1"/>
          <w:color w:val="FEFEFE"/>
        </w:rPr>
        <w:t>ERNEST E. MADDOCK</w:t>
      </w:r>
      <w:r>
        <w:rPr>
          <w:sz w:val="20"/>
          <w:szCs w:val="20"/>
          <w:color w:val="auto"/>
        </w:rPr>
        <w:tab/>
      </w:r>
      <w:r>
        <w:rPr>
          <w:rFonts w:ascii="Arial" w:cs="Arial" w:eastAsia="Arial" w:hAnsi="Arial"/>
          <w:sz w:val="29"/>
          <w:szCs w:val="29"/>
          <w:color w:val="auto"/>
          <w:vertAlign w:val="superscript"/>
        </w:rPr>
        <w:t>​</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160" w:right="319"/>
        <w:spacing w:after="0" w:line="255" w:lineRule="auto"/>
        <w:rPr>
          <w:sz w:val="20"/>
          <w:szCs w:val="20"/>
          <w:color w:val="auto"/>
        </w:rPr>
      </w:pPr>
      <w:r>
        <w:rPr>
          <w:rFonts w:ascii="Arial" w:cs="Arial" w:eastAsia="Arial" w:hAnsi="Arial"/>
          <w:sz w:val="17"/>
          <w:szCs w:val="17"/>
          <w:color w:val="auto"/>
        </w:rPr>
        <w:t>Mr. Maddock served as Chief Financial Officer and Senior Vice President of Micron Technology, Inc. (Nasdaq: MU) from 2015 until his retirement in 2018. Prior to that, he served as Chief Financial Officer of Riverbed Technology, Inc. from 2013 to 2015. From 1997 to 2013, Mr. Maddock served in various roles at Lam Research Corporation (Nasdaq: LRCX), last as Chief Financial Officer from 2008 to 2013. He has served on the board of directors of Ultra Clean Holdings Inc. (Nasdaq: UCTT) since June 2018; Ouster, Inc. (NYSE: OUST) since January 2022; and Teradyne, Inc. (NASDAQ: TER) since</w:t>
      </w:r>
    </w:p>
    <w:p>
      <w:pPr>
        <w:spacing w:after="0" w:line="3" w:lineRule="exact"/>
        <w:rPr>
          <w:sz w:val="20"/>
          <w:szCs w:val="20"/>
          <w:color w:val="auto"/>
        </w:rPr>
      </w:pPr>
    </w:p>
    <w:p>
      <w:pPr>
        <w:ind w:left="160" w:right="779"/>
        <w:spacing w:after="0" w:line="266" w:lineRule="auto"/>
        <w:rPr>
          <w:sz w:val="20"/>
          <w:szCs w:val="20"/>
          <w:color w:val="auto"/>
        </w:rPr>
      </w:pPr>
      <w:r>
        <w:rPr>
          <w:rFonts w:ascii="Arial" w:cs="Arial" w:eastAsia="Arial" w:hAnsi="Arial"/>
          <w:sz w:val="18"/>
          <w:szCs w:val="18"/>
          <w:color w:val="auto"/>
        </w:rPr>
        <w:t>November 2022. Mr. Maddock previously served on the board of Intersil Corporation (Nasdaq: ISIL) from 2015 to 2017.</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77" w:lineRule="exact"/>
        <w:rPr>
          <w:sz w:val="20"/>
          <w:szCs w:val="20"/>
          <w:color w:val="auto"/>
        </w:rPr>
      </w:pPr>
    </w:p>
    <w:p>
      <w:pPr>
        <w:ind w:left="160"/>
        <w:spacing w:after="0"/>
        <w:tabs>
          <w:tab w:leader="none" w:pos="480" w:val="left"/>
          <w:tab w:leader="none" w:pos="3040" w:val="left"/>
          <w:tab w:leader="none" w:pos="336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International Business</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Risk Management and Resiliency</w:t>
      </w:r>
    </w:p>
    <w:p>
      <w:pPr>
        <w:spacing w:after="0" w:line="50" w:lineRule="exact"/>
        <w:rPr>
          <w:sz w:val="20"/>
          <w:szCs w:val="20"/>
          <w:color w:val="auto"/>
        </w:rPr>
      </w:pPr>
    </w:p>
    <w:p>
      <w:pPr>
        <w:ind w:left="160"/>
        <w:spacing w:after="0"/>
        <w:tabs>
          <w:tab w:leader="none" w:pos="480" w:val="left"/>
          <w:tab w:leader="none" w:pos="3040" w:val="left"/>
          <w:tab w:leader="none" w:pos="336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Finance</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Operations</w:t>
      </w:r>
    </w:p>
    <w:p>
      <w:pPr>
        <w:spacing w:after="0" w:line="36" w:lineRule="exact"/>
        <w:rPr>
          <w:sz w:val="20"/>
          <w:szCs w:val="20"/>
          <w:color w:val="auto"/>
        </w:rPr>
      </w:pPr>
    </w:p>
    <w:p>
      <w:pPr>
        <w:ind w:left="160" w:right="319"/>
        <w:spacing w:after="0" w:line="251" w:lineRule="auto"/>
        <w:rPr>
          <w:sz w:val="20"/>
          <w:szCs w:val="20"/>
          <w:color w:val="auto"/>
        </w:rPr>
      </w:pPr>
      <w:r>
        <w:rPr>
          <w:rFonts w:ascii="Arial" w:cs="Arial" w:eastAsia="Arial" w:hAnsi="Arial"/>
          <w:sz w:val="18"/>
          <w:szCs w:val="18"/>
          <w:color w:val="auto"/>
        </w:rPr>
        <w:t>The Board benefits from Mr. Maddock’s breadth of global business experience, including risk management and operations, and experience in the semiconductor industry. Additionally, as a former Chief Financial Officer for multiple public companies, Mr. Maddock has extensive experience in finance and accounting, particularly as it applies to public companies.</w:t>
      </w:r>
    </w:p>
    <w:p>
      <w:pPr>
        <w:spacing w:after="0" w:line="200" w:lineRule="exact"/>
        <w:rPr>
          <w:sz w:val="20"/>
          <w:szCs w:val="20"/>
          <w:color w:val="auto"/>
        </w:rPr>
      </w:pPr>
    </w:p>
    <w:p>
      <w:pPr>
        <w:sectPr>
          <w:pgSz w:w="11900" w:h="16838" w:orient="portrait"/>
          <w:cols w:equalWidth="0" w:num="2">
            <w:col w:w="2680" w:space="640"/>
            <w:col w:w="6559"/>
          </w:cols>
          <w:pgMar w:left="580" w:top="97" w:right="1440" w:bottom="1440" w:gutter="0" w:footer="0" w:header="0"/>
          <w:type w:val="continuous"/>
        </w:sectPr>
      </w:pPr>
    </w:p>
    <w:p>
      <w:pPr>
        <w:spacing w:after="0" w:line="210"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252730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04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700" w:type="dxa"/>
            <w:vAlign w:val="bottom"/>
            <w:vMerge w:val="restart"/>
          </w:tcPr>
          <w:p>
            <w:pPr>
              <w:ind w:left="2680"/>
              <w:spacing w:after="0"/>
              <w:rPr>
                <w:sz w:val="20"/>
                <w:szCs w:val="20"/>
                <w:color w:val="auto"/>
              </w:rPr>
            </w:pPr>
            <w:r>
              <w:rPr>
                <w:rFonts w:ascii="Arial" w:cs="Arial" w:eastAsia="Arial" w:hAnsi="Arial"/>
                <w:sz w:val="14"/>
                <w:szCs w:val="14"/>
                <w:color w:val="auto"/>
                <w:w w:val="99"/>
              </w:rPr>
              <w:t>Proposal 1: Election of Directors</w:t>
            </w:r>
          </w:p>
        </w:tc>
        <w:tc>
          <w:tcPr>
            <w:tcW w:w="0" w:type="dxa"/>
            <w:vAlign w:val="bottom"/>
          </w:tcPr>
          <w:p>
            <w:pPr>
              <w:spacing w:after="0"/>
              <w:rPr>
                <w:sz w:val="1"/>
                <w:szCs w:val="1"/>
                <w:color w:val="auto"/>
              </w:rPr>
            </w:pPr>
          </w:p>
        </w:tc>
      </w:tr>
      <w:tr>
        <w:trPr>
          <w:trHeight w:val="88"/>
        </w:trPr>
        <w:tc>
          <w:tcPr>
            <w:tcW w:w="50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04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309880</wp:posOffset>
            </wp:positionV>
            <wp:extent cx="5554980" cy="33686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54980" cy="33686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2014</w:t>
      </w:r>
    </w:p>
    <w:p>
      <w:pPr>
        <w:spacing w:after="0" w:line="136"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63</w:t>
      </w:r>
    </w:p>
    <w:p>
      <w:pPr>
        <w:spacing w:after="0" w:line="136"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Independent</w:t>
      </w:r>
    </w:p>
    <w:p>
      <w:pPr>
        <w:spacing w:after="0" w:line="123"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Current Committee</w:t>
      </w:r>
    </w:p>
    <w:p>
      <w:pPr>
        <w:spacing w:after="0" w:line="29"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Memberships:</w:t>
      </w:r>
    </w:p>
    <w:p>
      <w:pPr>
        <w:spacing w:after="0" w:line="68" w:lineRule="exact"/>
        <w:rPr>
          <w:sz w:val="20"/>
          <w:szCs w:val="20"/>
          <w:color w:val="auto"/>
        </w:rPr>
      </w:pPr>
    </w:p>
    <w:p>
      <w:pPr>
        <w:ind w:left="1360" w:hanging="262"/>
        <w:spacing w:after="0" w:line="181" w:lineRule="auto"/>
        <w:tabs>
          <w:tab w:leader="none" w:pos="1360" w:val="left"/>
        </w:tabs>
        <w:numPr>
          <w:ilvl w:val="0"/>
          <w:numId w:val="19"/>
        </w:numPr>
        <w:rPr>
          <w:rFonts w:ascii="Arial" w:cs="Arial" w:eastAsia="Arial" w:hAnsi="Arial"/>
          <w:sz w:val="30"/>
          <w:szCs w:val="30"/>
          <w:color w:val="53C072"/>
          <w:vertAlign w:val="subscript"/>
        </w:rPr>
      </w:pPr>
      <w:r>
        <w:rPr>
          <w:rFonts w:ascii="Arial" w:cs="Arial" w:eastAsia="Arial" w:hAnsi="Arial"/>
          <w:sz w:val="13"/>
          <w:szCs w:val="13"/>
          <w:color w:val="auto"/>
        </w:rPr>
        <w:t>Compensation and Leadership Development</w:t>
      </w:r>
      <w:r>
        <w:rPr>
          <w:rFonts w:ascii="Arial" w:cs="Arial" w:eastAsia="Arial" w:hAnsi="Arial"/>
          <w:sz w:val="15"/>
          <w:szCs w:val="15"/>
          <w:color w:val="auto"/>
        </w:rPr>
        <w:t>​</w:t>
      </w:r>
    </w:p>
    <w:p>
      <w:pPr>
        <w:spacing w:after="0" w:line="45" w:lineRule="exact"/>
        <w:rPr>
          <w:rFonts w:ascii="Arial" w:cs="Arial" w:eastAsia="Arial" w:hAnsi="Arial"/>
          <w:sz w:val="30"/>
          <w:szCs w:val="30"/>
          <w:color w:val="53C072"/>
          <w:vertAlign w:val="subscript"/>
        </w:rPr>
      </w:pPr>
    </w:p>
    <w:p>
      <w:pPr>
        <w:ind w:left="1360" w:hanging="262"/>
        <w:spacing w:after="0"/>
        <w:tabs>
          <w:tab w:leader="none" w:pos="1360" w:val="left"/>
        </w:tabs>
        <w:numPr>
          <w:ilvl w:val="0"/>
          <w:numId w:val="19"/>
        </w:numPr>
        <w:rPr>
          <w:rFonts w:ascii="Arial" w:cs="Arial" w:eastAsia="Arial" w:hAnsi="Arial"/>
          <w:sz w:val="18"/>
          <w:szCs w:val="18"/>
          <w:color w:val="53C072"/>
        </w:rPr>
      </w:pPr>
      <w:r>
        <w:rPr>
          <w:rFonts w:ascii="Arial" w:cs="Arial" w:eastAsia="Arial" w:hAnsi="Arial"/>
          <w:sz w:val="14"/>
          <w:szCs w:val="14"/>
          <w:color w:val="auto"/>
        </w:rPr>
        <w:t>Technology and Risk</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tabs>
          <w:tab w:leader="none" w:pos="6320" w:val="left"/>
        </w:tabs>
        <w:rPr>
          <w:sz w:val="20"/>
          <w:szCs w:val="20"/>
          <w:color w:val="auto"/>
        </w:rPr>
      </w:pPr>
      <w:r>
        <w:rPr>
          <w:rFonts w:ascii="Arial" w:cs="Arial" w:eastAsia="Arial" w:hAnsi="Arial"/>
          <w:sz w:val="28"/>
          <w:szCs w:val="28"/>
          <w:color w:val="000000"/>
          <w:vertAlign w:val="superscript"/>
        </w:rPr>
        <w:t>​ ​</w:t>
      </w:r>
      <w:r>
        <w:rPr>
          <w:rFonts w:ascii="Arial" w:cs="Arial" w:eastAsia="Arial" w:hAnsi="Arial"/>
          <w:sz w:val="22"/>
          <w:szCs w:val="22"/>
          <w:b w:val="1"/>
          <w:bCs w:val="1"/>
          <w:color w:val="FEFEFE"/>
        </w:rPr>
        <w:t>AVID MODJTABAI</w:t>
      </w:r>
      <w:r>
        <w:rPr>
          <w:sz w:val="20"/>
          <w:szCs w:val="20"/>
          <w:color w:val="auto"/>
        </w:rPr>
        <w:tab/>
      </w:r>
      <w:r>
        <w:rPr>
          <w:rFonts w:ascii="Arial" w:cs="Arial" w:eastAsia="Arial" w:hAnsi="Arial"/>
          <w:sz w:val="29"/>
          <w:szCs w:val="29"/>
          <w:color w:val="auto"/>
          <w:vertAlign w:val="superscript"/>
        </w:rPr>
        <w:t>​</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160" w:right="319"/>
        <w:spacing w:after="0" w:line="269" w:lineRule="auto"/>
        <w:rPr>
          <w:sz w:val="20"/>
          <w:szCs w:val="20"/>
          <w:color w:val="auto"/>
        </w:rPr>
      </w:pPr>
      <w:r>
        <w:rPr>
          <w:rFonts w:ascii="Arial" w:cs="Arial" w:eastAsia="Arial" w:hAnsi="Arial"/>
          <w:sz w:val="17"/>
          <w:szCs w:val="17"/>
          <w:color w:val="auto"/>
        </w:rPr>
        <w:t>Ms. Modjtabai served as the Senior Executive Vice President and head of the Payments, Virtual Solutions and Innovation Group at Wells Fargo (NYSE: WFC) until March 2020, when she retired from Wells Fargo after 27 years. Prior to that, she served in various leadership roles at Wells Fargo, including Group head for Wells Fargo Consumer Lending from 2011 to 2016; Chief Information Officer and head of Technology and Operations Group from 2008 to 2011; Chief Information Officer and head of technology from 2007 to 2008; Director of Human Resources from 2005 to 2007; Executive Vice President, Head, of the Internet Services Group from 2001 to 2005; Senior Vice President of Consumer Internet Services from 1999 to 2001; and held leadership roles in the enterprise internet services group, consumer deposits, and corporate strategy from 1993 to 2001. Ms. Modjtabai has served on the board of directors of Prologis, Inc. (NYSE: PLD) since February 2020.</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04" w:lineRule="exact"/>
        <w:rPr>
          <w:sz w:val="20"/>
          <w:szCs w:val="20"/>
          <w:color w:val="auto"/>
        </w:rPr>
      </w:pPr>
    </w:p>
    <w:p>
      <w:pPr>
        <w:ind w:left="160"/>
        <w:spacing w:after="0"/>
        <w:tabs>
          <w:tab w:leader="none" w:pos="460" w:val="left"/>
          <w:tab w:leader="none" w:pos="3320" w:val="left"/>
          <w:tab w:leader="none" w:pos="364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Finance</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Operations</w:t>
      </w:r>
    </w:p>
    <w:p>
      <w:pPr>
        <w:spacing w:after="0" w:line="77" w:lineRule="exact"/>
        <w:rPr>
          <w:sz w:val="20"/>
          <w:szCs w:val="20"/>
          <w:color w:val="auto"/>
        </w:rPr>
      </w:pPr>
    </w:p>
    <w:p>
      <w:pPr>
        <w:ind w:left="160" w:right="259"/>
        <w:spacing w:after="0" w:line="268" w:lineRule="auto"/>
        <w:rPr>
          <w:sz w:val="20"/>
          <w:szCs w:val="20"/>
          <w:color w:val="auto"/>
        </w:rPr>
      </w:pPr>
      <w:r>
        <w:rPr>
          <w:rFonts w:ascii="Arial" w:cs="Arial" w:eastAsia="Arial" w:hAnsi="Arial"/>
          <w:sz w:val="18"/>
          <w:szCs w:val="18"/>
          <w:color w:val="auto"/>
        </w:rPr>
        <w:t>The Board benefits from Ms. Modjtabai’s extensive experience in operations and strategy development. The Board also benefits from her experience in the areas of financial services and change management.</w:t>
      </w:r>
    </w:p>
    <w:p>
      <w:pPr>
        <w:spacing w:after="0" w:line="200" w:lineRule="exact"/>
        <w:rPr>
          <w:sz w:val="20"/>
          <w:szCs w:val="20"/>
          <w:color w:val="auto"/>
        </w:rPr>
      </w:pPr>
    </w:p>
    <w:p>
      <w:pPr>
        <w:sectPr>
          <w:pgSz w:w="11900" w:h="16838" w:orient="portrait"/>
          <w:cols w:equalWidth="0" w:num="2">
            <w:col w:w="3000" w:space="340"/>
            <w:col w:w="65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14     </w:t>
      </w:r>
      <w:r>
        <w:rPr>
          <w:sz w:val="1"/>
          <w:szCs w:val="1"/>
          <w:color w:val="auto"/>
        </w:rPr>
        <w:drawing>
          <wp:inline distT="0" distB="0" distL="0" distR="0">
            <wp:extent cx="1242695" cy="24003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252730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04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700" w:type="dxa"/>
            <w:vAlign w:val="bottom"/>
            <w:vMerge w:val="restart"/>
          </w:tcPr>
          <w:p>
            <w:pPr>
              <w:ind w:left="2680"/>
              <w:spacing w:after="0"/>
              <w:rPr>
                <w:sz w:val="20"/>
                <w:szCs w:val="20"/>
                <w:color w:val="auto"/>
              </w:rPr>
            </w:pPr>
            <w:r>
              <w:rPr>
                <w:rFonts w:ascii="Arial" w:cs="Arial" w:eastAsia="Arial" w:hAnsi="Arial"/>
                <w:sz w:val="14"/>
                <w:szCs w:val="14"/>
                <w:color w:val="auto"/>
                <w:w w:val="99"/>
              </w:rPr>
              <w:t>Proposal 1: Election of Directors</w:t>
            </w:r>
          </w:p>
        </w:tc>
        <w:tc>
          <w:tcPr>
            <w:tcW w:w="0" w:type="dxa"/>
            <w:vAlign w:val="bottom"/>
          </w:tcPr>
          <w:p>
            <w:pPr>
              <w:spacing w:after="0"/>
              <w:rPr>
                <w:sz w:val="1"/>
                <w:szCs w:val="1"/>
                <w:color w:val="auto"/>
              </w:rPr>
            </w:pPr>
          </w:p>
        </w:tc>
      </w:tr>
      <w:tr>
        <w:trPr>
          <w:trHeight w:val="88"/>
        </w:trPr>
        <w:tc>
          <w:tcPr>
            <w:tcW w:w="50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04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309880</wp:posOffset>
            </wp:positionV>
            <wp:extent cx="5554980" cy="51517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54980" cy="51517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2019</w:t>
      </w:r>
    </w:p>
    <w:p>
      <w:pPr>
        <w:spacing w:after="0" w:line="136"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66</w:t>
      </w:r>
    </w:p>
    <w:p>
      <w:pPr>
        <w:spacing w:after="0" w:line="136"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Independent</w:t>
      </w:r>
    </w:p>
    <w:p>
      <w:pPr>
        <w:spacing w:after="0" w:line="123"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Current Committee</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Memberships:</w:t>
      </w:r>
      <w:r>
        <w:rPr>
          <w:rFonts w:ascii="Arial" w:cs="Arial" w:eastAsia="Arial" w:hAnsi="Arial"/>
          <w:sz w:val="17"/>
          <w:szCs w:val="17"/>
          <w:color w:val="auto"/>
        </w:rPr>
        <w:t>​</w:t>
      </w:r>
    </w:p>
    <w:p>
      <w:pPr>
        <w:spacing w:after="0" w:line="134" w:lineRule="exact"/>
        <w:rPr>
          <w:sz w:val="20"/>
          <w:szCs w:val="20"/>
          <w:color w:val="auto"/>
        </w:rPr>
      </w:pPr>
    </w:p>
    <w:p>
      <w:pPr>
        <w:ind w:left="1360" w:hanging="262"/>
        <w:spacing w:after="0" w:line="183" w:lineRule="auto"/>
        <w:tabs>
          <w:tab w:leader="none" w:pos="1360" w:val="left"/>
        </w:tabs>
        <w:numPr>
          <w:ilvl w:val="0"/>
          <w:numId w:val="20"/>
        </w:numPr>
        <w:rPr>
          <w:rFonts w:ascii="Arial" w:cs="Arial" w:eastAsia="Arial" w:hAnsi="Arial"/>
          <w:sz w:val="31"/>
          <w:szCs w:val="31"/>
          <w:color w:val="53C072"/>
          <w:vertAlign w:val="subscript"/>
        </w:rPr>
      </w:pPr>
      <w:r>
        <w:rPr>
          <w:rFonts w:ascii="Arial" w:cs="Arial" w:eastAsia="Arial" w:hAnsi="Arial"/>
          <w:sz w:val="13"/>
          <w:szCs w:val="13"/>
          <w:color w:val="auto"/>
        </w:rPr>
        <w:t>Compensation and Leadership Development</w:t>
      </w:r>
      <w:r>
        <w:rPr>
          <w:rFonts w:ascii="Arial" w:cs="Arial" w:eastAsia="Arial" w:hAnsi="Arial"/>
          <w:sz w:val="15"/>
          <w:szCs w:val="15"/>
          <w:color w:val="auto"/>
        </w:rPr>
        <w:t>​</w:t>
      </w:r>
    </w:p>
    <w:p>
      <w:pPr>
        <w:spacing w:after="0" w:line="55" w:lineRule="exact"/>
        <w:rPr>
          <w:rFonts w:ascii="Arial" w:cs="Arial" w:eastAsia="Arial" w:hAnsi="Arial"/>
          <w:sz w:val="31"/>
          <w:szCs w:val="31"/>
          <w:color w:val="53C072"/>
          <w:vertAlign w:val="subscript"/>
        </w:rPr>
      </w:pPr>
    </w:p>
    <w:p>
      <w:pPr>
        <w:ind w:left="1360" w:right="180" w:hanging="262"/>
        <w:spacing w:after="0" w:line="184" w:lineRule="auto"/>
        <w:tabs>
          <w:tab w:leader="none" w:pos="1360" w:val="left"/>
        </w:tabs>
        <w:numPr>
          <w:ilvl w:val="0"/>
          <w:numId w:val="20"/>
        </w:numPr>
        <w:rPr>
          <w:rFonts w:ascii="Arial" w:cs="Arial" w:eastAsia="Arial" w:hAnsi="Arial"/>
          <w:sz w:val="30"/>
          <w:szCs w:val="30"/>
          <w:color w:val="53C072"/>
          <w:vertAlign w:val="subscript"/>
        </w:rPr>
      </w:pPr>
      <w:r>
        <w:rPr>
          <w:rFonts w:ascii="Arial" w:cs="Arial" w:eastAsia="Arial" w:hAnsi="Arial"/>
          <w:sz w:val="13"/>
          <w:szCs w:val="13"/>
          <w:color w:val="auto"/>
        </w:rPr>
        <w:t>Corporate Governance (Chair)</w:t>
      </w:r>
    </w:p>
    <w:p>
      <w:pPr>
        <w:spacing w:after="0" w:line="76" w:lineRule="exact"/>
        <w:rPr>
          <w:rFonts w:ascii="Arial" w:cs="Arial" w:eastAsia="Arial" w:hAnsi="Arial"/>
          <w:sz w:val="30"/>
          <w:szCs w:val="30"/>
          <w:color w:val="53C072"/>
          <w:vertAlign w:val="subscript"/>
        </w:rPr>
      </w:pPr>
    </w:p>
    <w:p>
      <w:pPr>
        <w:ind w:left="1360" w:hanging="262"/>
        <w:spacing w:after="0"/>
        <w:tabs>
          <w:tab w:leader="none" w:pos="1360" w:val="left"/>
        </w:tabs>
        <w:numPr>
          <w:ilvl w:val="0"/>
          <w:numId w:val="20"/>
        </w:numPr>
        <w:rPr>
          <w:rFonts w:ascii="Arial" w:cs="Arial" w:eastAsia="Arial" w:hAnsi="Arial"/>
          <w:sz w:val="18"/>
          <w:szCs w:val="18"/>
          <w:color w:val="53C072"/>
        </w:rPr>
      </w:pPr>
      <w:r>
        <w:rPr>
          <w:rFonts w:ascii="Arial" w:cs="Arial" w:eastAsia="Arial" w:hAnsi="Arial"/>
          <w:sz w:val="14"/>
          <w:szCs w:val="14"/>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tabs>
          <w:tab w:leader="none" w:pos="6320" w:val="left"/>
        </w:tabs>
        <w:rPr>
          <w:sz w:val="20"/>
          <w:szCs w:val="20"/>
          <w:color w:val="auto"/>
        </w:rPr>
      </w:pPr>
      <w:r>
        <w:rPr>
          <w:rFonts w:ascii="Arial" w:cs="Arial" w:eastAsia="Arial" w:hAnsi="Arial"/>
          <w:sz w:val="28"/>
          <w:szCs w:val="28"/>
          <w:color w:val="000000"/>
          <w:vertAlign w:val="superscript"/>
        </w:rPr>
        <w:t>​ ​</w:t>
      </w:r>
      <w:r>
        <w:rPr>
          <w:rFonts w:ascii="Arial" w:cs="Arial" w:eastAsia="Arial" w:hAnsi="Arial"/>
          <w:sz w:val="22"/>
          <w:szCs w:val="22"/>
          <w:b w:val="1"/>
          <w:bCs w:val="1"/>
          <w:color w:val="FEFEFE"/>
        </w:rPr>
        <w:t>ADALIO T. SANCHEZ</w:t>
      </w:r>
      <w:r>
        <w:rPr>
          <w:sz w:val="20"/>
          <w:szCs w:val="20"/>
          <w:color w:val="auto"/>
        </w:rPr>
        <w:tab/>
      </w:r>
      <w:r>
        <w:rPr>
          <w:rFonts w:ascii="Arial" w:cs="Arial" w:eastAsia="Arial" w:hAnsi="Arial"/>
          <w:sz w:val="29"/>
          <w:szCs w:val="29"/>
          <w:color w:val="auto"/>
          <w:vertAlign w:val="superscript"/>
        </w:rPr>
        <w:t>​</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160" w:right="239"/>
        <w:spacing w:after="0" w:line="266" w:lineRule="auto"/>
        <w:rPr>
          <w:sz w:val="20"/>
          <w:szCs w:val="20"/>
          <w:color w:val="auto"/>
        </w:rPr>
      </w:pPr>
      <w:r>
        <w:rPr>
          <w:rFonts w:ascii="Arial" w:cs="Arial" w:eastAsia="Arial" w:hAnsi="Arial"/>
          <w:sz w:val="17"/>
          <w:szCs w:val="17"/>
          <w:color w:val="auto"/>
        </w:rPr>
        <w:t>Mr. Sanchez is President of S Group Advisory LLC, a management consulting firm providing advisory services on business strategy, technology, and operational excellence. He also serves on the board of directors of ACI Worldwide Inc. (NASDAQ: ACIW), a software company serving the electronics payments market, since 2015 and has been board Chairman since 2022; and on the supervisory board of ASM International NV (NL: ASM), a Netherlands-based semiconductor wafer fabrication equipment company, since September 2021. Mr. Sanchez previously served on the board of directors of Snap One Holdings Corp (NASDAQ: SNPO), a smart home technology solutions and distribution company, from June 2021 to June 2024; and on the board of directors of Quantum Corporation (NASDAQ: QMCO), a computer storage solutions company, from May 2017 to April 2019, and served as interim CEO from November 2017 to January 2018. From 2014 to 2015,</w:t>
      </w:r>
    </w:p>
    <w:p>
      <w:pPr>
        <w:spacing w:after="0" w:line="10" w:lineRule="exact"/>
        <w:rPr>
          <w:sz w:val="20"/>
          <w:szCs w:val="20"/>
          <w:color w:val="auto"/>
        </w:rPr>
      </w:pPr>
    </w:p>
    <w:p>
      <w:pPr>
        <w:ind w:left="160" w:right="539"/>
        <w:spacing w:after="0" w:line="265" w:lineRule="auto"/>
        <w:rPr>
          <w:sz w:val="20"/>
          <w:szCs w:val="20"/>
          <w:color w:val="auto"/>
        </w:rPr>
      </w:pPr>
      <w:r>
        <w:rPr>
          <w:rFonts w:ascii="Arial" w:cs="Arial" w:eastAsia="Arial" w:hAnsi="Arial"/>
          <w:sz w:val="17"/>
          <w:szCs w:val="17"/>
          <w:color w:val="auto"/>
        </w:rPr>
        <w:t>Mr. Sanchez served as Senior Vice President of the Lenovo Group Limited (HK: 0992), an international technology company. Prior to that, he spent</w:t>
      </w:r>
    </w:p>
    <w:p>
      <w:pPr>
        <w:jc w:val="both"/>
        <w:ind w:left="160" w:right="279"/>
        <w:spacing w:after="0" w:line="265" w:lineRule="auto"/>
        <w:rPr>
          <w:sz w:val="20"/>
          <w:szCs w:val="20"/>
          <w:color w:val="auto"/>
        </w:rPr>
      </w:pPr>
      <w:r>
        <w:rPr>
          <w:rFonts w:ascii="Arial" w:cs="Arial" w:eastAsia="Arial" w:hAnsi="Arial"/>
          <w:sz w:val="17"/>
          <w:szCs w:val="17"/>
          <w:color w:val="auto"/>
        </w:rPr>
        <w:t>32 years at IBM Corporation (NYSE: IBM), a global technology and innovation company, from 1982 to 2014, where he served in various capacities including sixteen years in senior executive and global general management roles.</w:t>
      </w:r>
    </w:p>
    <w:p>
      <w:pPr>
        <w:ind w:left="160" w:right="339"/>
        <w:spacing w:after="0" w:line="254" w:lineRule="auto"/>
        <w:rPr>
          <w:sz w:val="20"/>
          <w:szCs w:val="20"/>
          <w:color w:val="auto"/>
        </w:rPr>
      </w:pPr>
      <w:r>
        <w:rPr>
          <w:rFonts w:ascii="Arial" w:cs="Arial" w:eastAsia="Arial" w:hAnsi="Arial"/>
          <w:sz w:val="18"/>
          <w:szCs w:val="18"/>
          <w:color w:val="auto"/>
        </w:rPr>
        <w:t>During his tenure at IBM, Mr. Sanchez held key critical roles that are directly pertinent to Avnet’s business. These include: head of global supply chain and distribution for IBM’s personal computer business, headed IBM’s semiconductor division, and was deeply involved in many facets of semiconductor components industry.</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04" w:lineRule="exact"/>
        <w:rPr>
          <w:sz w:val="20"/>
          <w:szCs w:val="20"/>
          <w:color w:val="auto"/>
        </w:rPr>
      </w:pPr>
    </w:p>
    <w:p>
      <w:pPr>
        <w:ind w:left="160"/>
        <w:spacing w:after="0"/>
        <w:tabs>
          <w:tab w:leader="none" w:pos="460" w:val="left"/>
          <w:tab w:leader="none" w:pos="3320" w:val="left"/>
          <w:tab w:leader="none" w:pos="364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Industry</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International Business</w:t>
      </w:r>
    </w:p>
    <w:p>
      <w:pPr>
        <w:spacing w:after="0" w:line="77" w:lineRule="exact"/>
        <w:rPr>
          <w:sz w:val="20"/>
          <w:szCs w:val="20"/>
          <w:color w:val="auto"/>
        </w:rPr>
      </w:pPr>
    </w:p>
    <w:p>
      <w:pPr>
        <w:ind w:left="160"/>
        <w:spacing w:after="0"/>
        <w:tabs>
          <w:tab w:leader="none" w:pos="460" w:val="left"/>
          <w:tab w:leader="none" w:pos="3320" w:val="left"/>
          <w:tab w:leader="none" w:pos="364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Operations</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Technology/Digital Media</w:t>
      </w:r>
    </w:p>
    <w:p>
      <w:pPr>
        <w:spacing w:after="0" w:line="77" w:lineRule="exact"/>
        <w:rPr>
          <w:sz w:val="20"/>
          <w:szCs w:val="20"/>
          <w:color w:val="auto"/>
        </w:rPr>
      </w:pPr>
    </w:p>
    <w:p>
      <w:pPr>
        <w:ind w:left="480" w:hanging="319"/>
        <w:spacing w:after="0"/>
        <w:tabs>
          <w:tab w:leader="none" w:pos="480" w:val="left"/>
        </w:tabs>
        <w:numPr>
          <w:ilvl w:val="0"/>
          <w:numId w:val="21"/>
        </w:numPr>
        <w:rPr>
          <w:rFonts w:ascii="Arial" w:cs="Arial" w:eastAsia="Arial" w:hAnsi="Arial"/>
          <w:sz w:val="18"/>
          <w:szCs w:val="18"/>
          <w:color w:val="53C072"/>
        </w:rPr>
      </w:pPr>
      <w:r>
        <w:rPr>
          <w:rFonts w:ascii="Arial" w:cs="Arial" w:eastAsia="Arial" w:hAnsi="Arial"/>
          <w:sz w:val="18"/>
          <w:szCs w:val="18"/>
          <w:color w:val="auto"/>
        </w:rPr>
        <w:t>Risk Management and Resiliency</w:t>
      </w:r>
    </w:p>
    <w:p>
      <w:pPr>
        <w:spacing w:after="0" w:line="158" w:lineRule="exact"/>
        <w:rPr>
          <w:sz w:val="20"/>
          <w:szCs w:val="20"/>
          <w:color w:val="auto"/>
        </w:rPr>
      </w:pPr>
    </w:p>
    <w:p>
      <w:pPr>
        <w:ind w:left="160" w:right="579"/>
        <w:spacing w:after="0" w:line="268" w:lineRule="auto"/>
        <w:rPr>
          <w:sz w:val="20"/>
          <w:szCs w:val="20"/>
          <w:color w:val="auto"/>
        </w:rPr>
      </w:pPr>
      <w:r>
        <w:rPr>
          <w:rFonts w:ascii="Arial" w:cs="Arial" w:eastAsia="Arial" w:hAnsi="Arial"/>
          <w:sz w:val="18"/>
          <w:szCs w:val="18"/>
          <w:color w:val="auto"/>
        </w:rPr>
        <w:t>The Board benefits from Mr. Sanchez’s significant experience in corporate leadership and management, international business, technology and innovation, and his extensive semiconductor expertise.</w:t>
      </w:r>
    </w:p>
    <w:p>
      <w:pPr>
        <w:spacing w:after="0" w:line="200" w:lineRule="exact"/>
        <w:rPr>
          <w:sz w:val="20"/>
          <w:szCs w:val="20"/>
          <w:color w:val="auto"/>
        </w:rPr>
      </w:pPr>
    </w:p>
    <w:p>
      <w:pPr>
        <w:sectPr>
          <w:pgSz w:w="11900" w:h="16838" w:orient="portrait"/>
          <w:cols w:equalWidth="0" w:num="2">
            <w:col w:w="3000" w:space="340"/>
            <w:col w:w="65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252730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04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700" w:type="dxa"/>
            <w:vAlign w:val="bottom"/>
            <w:vMerge w:val="restart"/>
          </w:tcPr>
          <w:p>
            <w:pPr>
              <w:ind w:left="2680"/>
              <w:spacing w:after="0"/>
              <w:rPr>
                <w:sz w:val="20"/>
                <w:szCs w:val="20"/>
                <w:color w:val="auto"/>
              </w:rPr>
            </w:pPr>
            <w:r>
              <w:rPr>
                <w:rFonts w:ascii="Arial" w:cs="Arial" w:eastAsia="Arial" w:hAnsi="Arial"/>
                <w:sz w:val="14"/>
                <w:szCs w:val="14"/>
                <w:color w:val="auto"/>
                <w:w w:val="99"/>
              </w:rPr>
              <w:t>Proposal 1: Election of Directors</w:t>
            </w:r>
          </w:p>
        </w:tc>
        <w:tc>
          <w:tcPr>
            <w:tcW w:w="0" w:type="dxa"/>
            <w:vAlign w:val="bottom"/>
          </w:tcPr>
          <w:p>
            <w:pPr>
              <w:spacing w:after="0"/>
              <w:rPr>
                <w:sz w:val="1"/>
                <w:szCs w:val="1"/>
                <w:color w:val="auto"/>
              </w:rPr>
            </w:pPr>
          </w:p>
        </w:tc>
      </w:tr>
      <w:tr>
        <w:trPr>
          <w:trHeight w:val="88"/>
        </w:trPr>
        <w:tc>
          <w:tcPr>
            <w:tcW w:w="50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04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These charts show the Director nominees average tenure and age, as of September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1777365</wp:posOffset>
            </wp:positionH>
            <wp:positionV relativeFrom="paragraph">
              <wp:posOffset>137795</wp:posOffset>
            </wp:positionV>
            <wp:extent cx="3257550" cy="19888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5755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16     </w:t>
      </w:r>
      <w:r>
        <w:rPr>
          <w:sz w:val="1"/>
          <w:szCs w:val="1"/>
          <w:color w:val="auto"/>
        </w:rPr>
        <w:drawing>
          <wp:inline distT="0" distB="0" distL="0" distR="0">
            <wp:extent cx="1242695" cy="24003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680"/>
        <w:spacing w:after="0"/>
        <w:rPr>
          <w:sz w:val="20"/>
          <w:szCs w:val="20"/>
          <w:color w:val="auto"/>
        </w:rPr>
      </w:pPr>
      <w:r>
        <w:rPr>
          <w:rFonts w:ascii="Arial" w:cs="Arial" w:eastAsia="Arial" w:hAnsi="Arial"/>
          <w:sz w:val="40"/>
          <w:szCs w:val="40"/>
          <w:b w:val="1"/>
          <w:bCs w:val="1"/>
          <w:color w:val="FEFEFE"/>
        </w:rPr>
        <w:t>CORPORATE GOVERNANCE</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ind w:left="1000" w:right="219"/>
        <w:spacing w:after="0" w:line="268" w:lineRule="auto"/>
        <w:rPr>
          <w:sz w:val="20"/>
          <w:szCs w:val="20"/>
          <w:color w:val="auto"/>
        </w:rPr>
      </w:pPr>
      <w:r>
        <w:rPr>
          <w:rFonts w:ascii="Arial" w:cs="Arial" w:eastAsia="Arial" w:hAnsi="Arial"/>
          <w:sz w:val="18"/>
          <w:szCs w:val="18"/>
          <w:color w:val="auto"/>
        </w:rPr>
        <w:t>The Board of Directors believes that good corporate governance practices provide an important framework that promotes long-term value, strength, and stability for shareholders. The Company’s governance highlights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94615</wp:posOffset>
            </wp:positionV>
            <wp:extent cx="5212080" cy="1945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208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CORPORATE GOVERNANCE GUIDELINES</w:t>
      </w:r>
    </w:p>
    <w:p>
      <w:pPr>
        <w:spacing w:after="0" w:line="148" w:lineRule="exact"/>
        <w:rPr>
          <w:sz w:val="20"/>
          <w:szCs w:val="20"/>
          <w:color w:val="auto"/>
        </w:rPr>
      </w:pPr>
    </w:p>
    <w:p>
      <w:pPr>
        <w:ind w:left="1000" w:right="279"/>
        <w:spacing w:after="0" w:line="256" w:lineRule="auto"/>
        <w:rPr>
          <w:sz w:val="20"/>
          <w:szCs w:val="20"/>
          <w:color w:val="auto"/>
        </w:rPr>
      </w:pPr>
      <w:r>
        <w:rPr>
          <w:rFonts w:ascii="Arial" w:cs="Arial" w:eastAsia="Arial" w:hAnsi="Arial"/>
          <w:sz w:val="18"/>
          <w:szCs w:val="18"/>
          <w:color w:val="auto"/>
        </w:rPr>
        <w:t xml:space="preserve">The Corporate Governance Guidelines (the “Guidelines”) collect in one document many of the Company’s corporate governance practices and procedures. Among other things, the Guidelines address the duties of the Board of Directors, director qualifications and selection process, director compensation, Board operations, management succession, Board committee matters, and director orientation and continuing education. The Guidelines also provide for annual self-evaluations by the Board and its committees. The Board reviews the Guidelines on an annual basis. The Guidelines are available on the Company’s website at </w:t>
      </w:r>
      <w:r>
        <w:rPr>
          <w:rFonts w:ascii="Arial" w:cs="Arial" w:eastAsia="Arial" w:hAnsi="Arial"/>
          <w:sz w:val="18"/>
          <w:szCs w:val="18"/>
          <w:u w:val="single" w:color="auto"/>
          <w:color w:val="auto"/>
        </w:rPr>
        <w:t>https://www.ir.avnet.com/corporate-governance/governance-documents</w:t>
      </w:r>
      <w:r>
        <w:rPr>
          <w:rFonts w:ascii="Arial" w:cs="Arial" w:eastAsia="Arial" w:hAnsi="Arial"/>
          <w:sz w:val="18"/>
          <w:szCs w:val="18"/>
          <w:color w:val="auto"/>
        </w:rPr>
        <w:t>.</w:t>
      </w:r>
    </w:p>
    <w:p>
      <w:pPr>
        <w:spacing w:after="0" w:line="115" w:lineRule="exact"/>
        <w:rPr>
          <w:sz w:val="20"/>
          <w:szCs w:val="20"/>
          <w:color w:val="auto"/>
        </w:rPr>
      </w:pPr>
    </w:p>
    <w:p>
      <w:pPr>
        <w:ind w:left="1000" w:right="139"/>
        <w:spacing w:after="0" w:line="259" w:lineRule="auto"/>
        <w:rPr>
          <w:sz w:val="20"/>
          <w:szCs w:val="20"/>
          <w:color w:val="auto"/>
        </w:rPr>
      </w:pPr>
      <w:r>
        <w:rPr>
          <w:rFonts w:ascii="Arial" w:cs="Arial" w:eastAsia="Arial" w:hAnsi="Arial"/>
          <w:sz w:val="18"/>
          <w:szCs w:val="18"/>
          <w:color w:val="auto"/>
        </w:rPr>
        <w:t>As a general policy, as set forth in the Guidelines, the Board recommends the following limits as to the service of Directors on other boards of public companies: (1) Directors who are actively employed on a full-time basis may serve on up to two additional public boards; (2) an independent Chair of the Board, if not actively employed on a full-time basis, may serve on up to three additional public boards; and (3) Directors who are retired from active full-time employment may serve on up to four additional public boards.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DIRECTOR INDEPENDENCE</w:t>
      </w:r>
    </w:p>
    <w:p>
      <w:pPr>
        <w:spacing w:after="0" w:line="148" w:lineRule="exact"/>
        <w:rPr>
          <w:sz w:val="20"/>
          <w:szCs w:val="20"/>
          <w:color w:val="auto"/>
        </w:rPr>
      </w:pPr>
    </w:p>
    <w:p>
      <w:pPr>
        <w:ind w:left="1000" w:right="179"/>
        <w:spacing w:after="0" w:line="257" w:lineRule="auto"/>
        <w:rPr>
          <w:sz w:val="20"/>
          <w:szCs w:val="20"/>
          <w:color w:val="auto"/>
        </w:rPr>
      </w:pPr>
      <w:r>
        <w:rPr>
          <w:rFonts w:ascii="Arial" w:cs="Arial" w:eastAsia="Arial" w:hAnsi="Arial"/>
          <w:sz w:val="18"/>
          <w:szCs w:val="18"/>
          <w:color w:val="auto"/>
        </w:rPr>
        <w:t>The Board of Directors believes that a substantial majority of its members should be independent directors. The Board has determined that nine out of the ten Director nominees are independent under the independence standards adopted by the Board (provided in Appendix A to the Guidelines), and under the independence requirements of the Nasdaq listing standards: Rodney C. Adkins, Brenda L. Freeman, Helmut Gassel, Virginia L. Henkels, Jo Ann Jenkins, Oleg Khaykin, Ernest E. Maddock, Avid Modjtabai, and Adalio T. Sanchez (collectively, the “Independent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34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400" w:type="dxa"/>
            <w:vAlign w:val="bottom"/>
            <w:vMerge w:val="restart"/>
          </w:tcPr>
          <w:p>
            <w:pPr>
              <w:ind w:left="2960"/>
              <w:spacing w:after="0"/>
              <w:rPr>
                <w:sz w:val="20"/>
                <w:szCs w:val="20"/>
                <w:color w:val="auto"/>
              </w:rPr>
            </w:pPr>
            <w:r>
              <w:rPr>
                <w:rFonts w:ascii="Arial" w:cs="Arial" w:eastAsia="Arial" w:hAnsi="Arial"/>
                <w:sz w:val="14"/>
                <w:szCs w:val="14"/>
                <w:color w:val="auto"/>
                <w:w w:val="99"/>
              </w:rPr>
              <w:t>Corporate Governance</w:t>
            </w:r>
          </w:p>
        </w:tc>
        <w:tc>
          <w:tcPr>
            <w:tcW w:w="0" w:type="dxa"/>
            <w:vAlign w:val="bottom"/>
          </w:tcPr>
          <w:p>
            <w:pPr>
              <w:spacing w:after="0"/>
              <w:rPr>
                <w:sz w:val="1"/>
                <w:szCs w:val="1"/>
                <w:color w:val="auto"/>
              </w:rPr>
            </w:pPr>
          </w:p>
        </w:tc>
      </w:tr>
      <w:tr>
        <w:trPr>
          <w:trHeight w:val="88"/>
        </w:trPr>
        <w:tc>
          <w:tcPr>
            <w:tcW w:w="53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340" w:type="dxa"/>
            <w:vAlign w:val="bottom"/>
            <w:vMerge w:val="continue"/>
          </w:tcPr>
          <w:p>
            <w:pPr>
              <w:spacing w:after="0"/>
              <w:rPr>
                <w:sz w:val="11"/>
                <w:szCs w:val="11"/>
                <w:color w:val="auto"/>
              </w:rPr>
            </w:pPr>
          </w:p>
        </w:tc>
        <w:tc>
          <w:tcPr>
            <w:tcW w:w="4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BOARD DIVERSITY MATRIX</w:t>
      </w:r>
    </w:p>
    <w:p>
      <w:pPr>
        <w:spacing w:after="0" w:line="162" w:lineRule="exact"/>
        <w:rPr>
          <w:sz w:val="20"/>
          <w:szCs w:val="20"/>
          <w:color w:val="auto"/>
        </w:rPr>
      </w:pPr>
    </w:p>
    <w:p>
      <w:pPr>
        <w:ind w:left="1000" w:right="199"/>
        <w:spacing w:after="0" w:line="268" w:lineRule="auto"/>
        <w:rPr>
          <w:sz w:val="20"/>
          <w:szCs w:val="20"/>
          <w:color w:val="auto"/>
        </w:rPr>
      </w:pPr>
      <w:r>
        <w:rPr>
          <w:rFonts w:ascii="Arial" w:cs="Arial" w:eastAsia="Arial" w:hAnsi="Arial"/>
          <w:sz w:val="18"/>
          <w:szCs w:val="18"/>
          <w:color w:val="auto"/>
        </w:rPr>
        <w:t>The matrix below provides certain demographic information regarding the Company’s Board of Directors as of September 22, 2025. The information is based on Directors’ self-identification and the definitions under Nasdaq Rule 5605(f).</w:t>
      </w:r>
    </w:p>
    <w:p>
      <w:pPr>
        <w:spacing w:after="0" w:line="129" w:lineRule="exact"/>
        <w:rPr>
          <w:sz w:val="20"/>
          <w:szCs w:val="20"/>
          <w:color w:val="auto"/>
        </w:rPr>
      </w:pPr>
    </w:p>
    <w:tbl>
      <w:tblPr>
        <w:tblLayout w:type="fixed"/>
        <w:tblInd w:w="2990" w:type="dxa"/>
        <w:tblCellMar>
          <w:top w:w="0" w:type="dxa"/>
          <w:left w:w="0" w:type="dxa"/>
          <w:bottom w:w="0" w:type="dxa"/>
          <w:right w:w="0" w:type="dxa"/>
        </w:tblCellMar>
      </w:tblPr>
      <w:tr>
        <w:trPr>
          <w:trHeight w:val="330"/>
        </w:trPr>
        <w:tc>
          <w:tcPr>
            <w:tcW w:w="180" w:type="dxa"/>
            <w:vAlign w:val="bottom"/>
            <w:tcBorders>
              <w:top w:val="single" w:sz="8" w:color="auto"/>
              <w:left w:val="single" w:sz="8" w:color="auto"/>
            </w:tcBorders>
            <w:shd w:val="clear" w:color="auto" w:fill="53C072"/>
          </w:tcPr>
          <w:p>
            <w:pPr>
              <w:ind w:left="120"/>
              <w:spacing w:after="0"/>
              <w:rPr>
                <w:sz w:val="20"/>
                <w:szCs w:val="20"/>
                <w:color w:val="auto"/>
              </w:rPr>
            </w:pPr>
            <w:r>
              <w:rPr>
                <w:rFonts w:ascii="Arial" w:cs="Arial" w:eastAsia="Arial" w:hAnsi="Arial"/>
                <w:sz w:val="16"/>
                <w:szCs w:val="16"/>
                <w:b w:val="1"/>
                <w:bCs w:val="1"/>
                <w:color w:val="FEFEFE"/>
              </w:rPr>
              <w:t>​</w:t>
            </w:r>
          </w:p>
        </w:tc>
        <w:tc>
          <w:tcPr>
            <w:tcW w:w="4340" w:type="dxa"/>
            <w:vAlign w:val="bottom"/>
            <w:tcBorders>
              <w:top w:val="single" w:sz="8" w:color="auto"/>
            </w:tcBorders>
            <w:gridSpan w:val="8"/>
            <w:shd w:val="clear" w:color="auto" w:fill="53C072"/>
          </w:tcPr>
          <w:p>
            <w:pPr>
              <w:ind w:left="300"/>
              <w:spacing w:after="0"/>
              <w:rPr>
                <w:sz w:val="20"/>
                <w:szCs w:val="20"/>
                <w:color w:val="auto"/>
              </w:rPr>
            </w:pPr>
            <w:r>
              <w:rPr>
                <w:rFonts w:ascii="Arial" w:cs="Arial" w:eastAsia="Arial" w:hAnsi="Arial"/>
                <w:sz w:val="16"/>
                <w:szCs w:val="16"/>
                <w:b w:val="1"/>
                <w:bCs w:val="1"/>
                <w:color w:val="FEFEFE"/>
              </w:rPr>
              <w:t>Board Diversity Matrix (As of September 22, 2025)</w:t>
            </w:r>
          </w:p>
        </w:tc>
        <w:tc>
          <w:tcPr>
            <w:tcW w:w="260" w:type="dxa"/>
            <w:vAlign w:val="bottom"/>
            <w:tcBorders>
              <w:top w:val="single" w:sz="8" w:color="auto"/>
              <w:right w:val="single" w:sz="8" w:color="auto"/>
            </w:tcBorders>
            <w:shd w:val="clear" w:color="auto" w:fill="53C072"/>
          </w:tcPr>
          <w:p>
            <w:pPr>
              <w:ind w:left="120"/>
              <w:spacing w:after="0"/>
              <w:rPr>
                <w:sz w:val="20"/>
                <w:szCs w:val="20"/>
                <w:color w:val="auto"/>
              </w:rPr>
            </w:pPr>
            <w:r>
              <w:rPr>
                <w:rFonts w:ascii="Arial" w:cs="Arial" w:eastAsia="Arial" w:hAnsi="Arial"/>
                <w:sz w:val="16"/>
                <w:szCs w:val="16"/>
                <w:b w:val="1"/>
                <w:bCs w:val="1"/>
                <w:color w:val="FEFEFE"/>
              </w:rPr>
              <w:t>​</w:t>
            </w:r>
          </w:p>
        </w:tc>
      </w:tr>
      <w:tr>
        <w:trPr>
          <w:trHeight w:val="102"/>
        </w:trPr>
        <w:tc>
          <w:tcPr>
            <w:tcW w:w="180" w:type="dxa"/>
            <w:vAlign w:val="bottom"/>
            <w:tcBorders>
              <w:left w:val="single" w:sz="8" w:color="auto"/>
              <w:bottom w:val="single" w:sz="8" w:color="auto"/>
            </w:tcBorders>
            <w:shd w:val="clear" w:color="auto" w:fill="53C072"/>
          </w:tcPr>
          <w:p>
            <w:pPr>
              <w:spacing w:after="0"/>
              <w:rPr>
                <w:sz w:val="8"/>
                <w:szCs w:val="8"/>
                <w:color w:val="auto"/>
              </w:rPr>
            </w:pPr>
          </w:p>
        </w:tc>
        <w:tc>
          <w:tcPr>
            <w:tcW w:w="2420" w:type="dxa"/>
            <w:vAlign w:val="bottom"/>
            <w:tcBorders>
              <w:bottom w:val="single" w:sz="8" w:color="auto"/>
            </w:tcBorders>
            <w:shd w:val="clear" w:color="auto" w:fill="53C072"/>
          </w:tcPr>
          <w:p>
            <w:pPr>
              <w:spacing w:after="0"/>
              <w:rPr>
                <w:sz w:val="8"/>
                <w:szCs w:val="8"/>
                <w:color w:val="auto"/>
              </w:rPr>
            </w:pPr>
          </w:p>
        </w:tc>
        <w:tc>
          <w:tcPr>
            <w:tcW w:w="480" w:type="dxa"/>
            <w:vAlign w:val="bottom"/>
            <w:tcBorders>
              <w:bottom w:val="single" w:sz="8" w:color="auto"/>
              <w:right w:val="single" w:sz="8" w:color="53C072"/>
            </w:tcBorders>
            <w:shd w:val="clear" w:color="auto" w:fill="53C072"/>
          </w:tcPr>
          <w:p>
            <w:pPr>
              <w:spacing w:after="0"/>
              <w:rPr>
                <w:sz w:val="8"/>
                <w:szCs w:val="8"/>
                <w:color w:val="auto"/>
              </w:rPr>
            </w:pPr>
          </w:p>
        </w:tc>
        <w:tc>
          <w:tcPr>
            <w:tcW w:w="200" w:type="dxa"/>
            <w:vAlign w:val="bottom"/>
            <w:tcBorders>
              <w:bottom w:val="single" w:sz="8" w:color="auto"/>
            </w:tcBorders>
            <w:shd w:val="clear" w:color="auto" w:fill="53C072"/>
          </w:tcPr>
          <w:p>
            <w:pPr>
              <w:spacing w:after="0"/>
              <w:rPr>
                <w:sz w:val="8"/>
                <w:szCs w:val="8"/>
                <w:color w:val="auto"/>
              </w:rPr>
            </w:pPr>
          </w:p>
        </w:tc>
        <w:tc>
          <w:tcPr>
            <w:tcW w:w="380" w:type="dxa"/>
            <w:vAlign w:val="bottom"/>
            <w:tcBorders>
              <w:bottom w:val="single" w:sz="8" w:color="auto"/>
            </w:tcBorders>
            <w:shd w:val="clear" w:color="auto" w:fill="53C072"/>
          </w:tcPr>
          <w:p>
            <w:pPr>
              <w:spacing w:after="0"/>
              <w:rPr>
                <w:sz w:val="8"/>
                <w:szCs w:val="8"/>
                <w:color w:val="auto"/>
              </w:rPr>
            </w:pPr>
          </w:p>
        </w:tc>
        <w:tc>
          <w:tcPr>
            <w:tcW w:w="260" w:type="dxa"/>
            <w:vAlign w:val="bottom"/>
            <w:tcBorders>
              <w:bottom w:val="single" w:sz="8" w:color="auto"/>
              <w:right w:val="single" w:sz="8" w:color="53C072"/>
            </w:tcBorders>
            <w:shd w:val="clear" w:color="auto" w:fill="53C072"/>
          </w:tcPr>
          <w:p>
            <w:pPr>
              <w:spacing w:after="0"/>
              <w:rPr>
                <w:sz w:val="8"/>
                <w:szCs w:val="8"/>
                <w:color w:val="auto"/>
              </w:rPr>
            </w:pPr>
          </w:p>
        </w:tc>
        <w:tc>
          <w:tcPr>
            <w:tcW w:w="40" w:type="dxa"/>
            <w:vAlign w:val="bottom"/>
            <w:tcBorders>
              <w:bottom w:val="single" w:sz="8" w:color="auto"/>
            </w:tcBorders>
            <w:shd w:val="clear" w:color="auto" w:fill="53C072"/>
          </w:tcPr>
          <w:p>
            <w:pPr>
              <w:spacing w:after="0"/>
              <w:rPr>
                <w:sz w:val="8"/>
                <w:szCs w:val="8"/>
                <w:color w:val="auto"/>
              </w:rPr>
            </w:pPr>
          </w:p>
        </w:tc>
        <w:tc>
          <w:tcPr>
            <w:tcW w:w="160" w:type="dxa"/>
            <w:vAlign w:val="bottom"/>
            <w:tcBorders>
              <w:bottom w:val="single" w:sz="8" w:color="auto"/>
            </w:tcBorders>
            <w:shd w:val="clear" w:color="auto" w:fill="53C072"/>
          </w:tcPr>
          <w:p>
            <w:pPr>
              <w:spacing w:after="0"/>
              <w:rPr>
                <w:sz w:val="8"/>
                <w:szCs w:val="8"/>
                <w:color w:val="auto"/>
              </w:rPr>
            </w:pPr>
          </w:p>
        </w:tc>
        <w:tc>
          <w:tcPr>
            <w:tcW w:w="400" w:type="dxa"/>
            <w:vAlign w:val="bottom"/>
            <w:tcBorders>
              <w:bottom w:val="single" w:sz="8" w:color="auto"/>
            </w:tcBorders>
            <w:shd w:val="clear" w:color="auto" w:fill="53C072"/>
          </w:tcPr>
          <w:p>
            <w:pPr>
              <w:spacing w:after="0"/>
              <w:rPr>
                <w:sz w:val="8"/>
                <w:szCs w:val="8"/>
                <w:color w:val="auto"/>
              </w:rPr>
            </w:pPr>
          </w:p>
        </w:tc>
        <w:tc>
          <w:tcPr>
            <w:tcW w:w="260" w:type="dxa"/>
            <w:vAlign w:val="bottom"/>
            <w:tcBorders>
              <w:bottom w:val="single" w:sz="8" w:color="auto"/>
              <w:right w:val="single" w:sz="8" w:color="auto"/>
            </w:tcBorders>
            <w:shd w:val="clear" w:color="auto" w:fill="53C072"/>
          </w:tcPr>
          <w:p>
            <w:pPr>
              <w:spacing w:after="0"/>
              <w:rPr>
                <w:sz w:val="8"/>
                <w:szCs w:val="8"/>
                <w:color w:val="auto"/>
              </w:rPr>
            </w:pPr>
          </w:p>
        </w:tc>
      </w:tr>
      <w:tr>
        <w:trPr>
          <w:trHeight w:val="283"/>
        </w:trPr>
        <w:tc>
          <w:tcPr>
            <w:tcW w:w="180" w:type="dxa"/>
            <w:vAlign w:val="bottom"/>
            <w:tcBorders>
              <w:left w:val="single" w:sz="8" w:color="auto"/>
            </w:tcBorders>
            <w:shd w:val="clear" w:color="auto" w:fill="B2B2B2"/>
          </w:tcPr>
          <w:p>
            <w:pPr>
              <w:spacing w:after="0"/>
              <w:rPr>
                <w:sz w:val="20"/>
                <w:szCs w:val="20"/>
                <w:color w:val="auto"/>
              </w:rPr>
            </w:pPr>
            <w:r>
              <w:rPr>
                <w:rFonts w:ascii="Arial" w:cs="Arial" w:eastAsia="Arial" w:hAnsi="Arial"/>
                <w:sz w:val="16"/>
                <w:szCs w:val="16"/>
                <w:b w:val="1"/>
                <w:bCs w:val="1"/>
                <w:color w:val="auto"/>
              </w:rPr>
              <w:t>​</w:t>
            </w:r>
          </w:p>
        </w:tc>
        <w:tc>
          <w:tcPr>
            <w:tcW w:w="2420" w:type="dxa"/>
            <w:vAlign w:val="bottom"/>
            <w:shd w:val="clear" w:color="auto" w:fill="B2B2B2"/>
          </w:tcPr>
          <w:p>
            <w:pPr>
              <w:ind w:left="60"/>
              <w:spacing w:after="0"/>
              <w:rPr>
                <w:sz w:val="20"/>
                <w:szCs w:val="20"/>
                <w:color w:val="auto"/>
              </w:rPr>
            </w:pPr>
            <w:r>
              <w:rPr>
                <w:rFonts w:ascii="Arial" w:cs="Arial" w:eastAsia="Arial" w:hAnsi="Arial"/>
                <w:sz w:val="16"/>
                <w:szCs w:val="16"/>
                <w:b w:val="1"/>
                <w:bCs w:val="1"/>
                <w:color w:val="auto"/>
              </w:rPr>
              <w:t>Board Size:</w:t>
            </w:r>
          </w:p>
        </w:tc>
        <w:tc>
          <w:tcPr>
            <w:tcW w:w="480" w:type="dxa"/>
            <w:vAlign w:val="bottom"/>
            <w:tcBorders>
              <w:right w:val="single" w:sz="8" w:color="B2B2B2"/>
            </w:tcBorders>
            <w:shd w:val="clear" w:color="auto" w:fill="B2B2B2"/>
          </w:tcPr>
          <w:p>
            <w:pPr>
              <w:spacing w:after="0"/>
              <w:rPr>
                <w:sz w:val="24"/>
                <w:szCs w:val="24"/>
                <w:color w:val="auto"/>
              </w:rPr>
            </w:pPr>
          </w:p>
        </w:tc>
        <w:tc>
          <w:tcPr>
            <w:tcW w:w="200" w:type="dxa"/>
            <w:vAlign w:val="bottom"/>
            <w:shd w:val="clear" w:color="auto" w:fill="B2B2B2"/>
          </w:tcPr>
          <w:p>
            <w:pPr>
              <w:spacing w:after="0"/>
              <w:rPr>
                <w:sz w:val="24"/>
                <w:szCs w:val="24"/>
                <w:color w:val="auto"/>
              </w:rPr>
            </w:pPr>
          </w:p>
        </w:tc>
        <w:tc>
          <w:tcPr>
            <w:tcW w:w="380" w:type="dxa"/>
            <w:vAlign w:val="bottom"/>
            <w:shd w:val="clear" w:color="auto" w:fill="B2B2B2"/>
          </w:tcPr>
          <w:p>
            <w:pPr>
              <w:spacing w:after="0"/>
              <w:rPr>
                <w:sz w:val="24"/>
                <w:szCs w:val="24"/>
                <w:color w:val="auto"/>
              </w:rPr>
            </w:pPr>
          </w:p>
        </w:tc>
        <w:tc>
          <w:tcPr>
            <w:tcW w:w="260" w:type="dxa"/>
            <w:vAlign w:val="bottom"/>
            <w:tcBorders>
              <w:right w:val="single" w:sz="8" w:color="B2B2B2"/>
            </w:tcBorders>
            <w:shd w:val="clear" w:color="auto" w:fill="B2B2B2"/>
          </w:tcPr>
          <w:p>
            <w:pPr>
              <w:spacing w:after="0"/>
              <w:rPr>
                <w:sz w:val="24"/>
                <w:szCs w:val="24"/>
                <w:color w:val="auto"/>
              </w:rPr>
            </w:pPr>
          </w:p>
        </w:tc>
        <w:tc>
          <w:tcPr>
            <w:tcW w:w="40" w:type="dxa"/>
            <w:vAlign w:val="bottom"/>
            <w:shd w:val="clear" w:color="auto" w:fill="B2B2B2"/>
          </w:tcPr>
          <w:p>
            <w:pPr>
              <w:spacing w:after="0"/>
              <w:rPr>
                <w:sz w:val="24"/>
                <w:szCs w:val="24"/>
                <w:color w:val="auto"/>
              </w:rPr>
            </w:pPr>
          </w:p>
        </w:tc>
        <w:tc>
          <w:tcPr>
            <w:tcW w:w="160" w:type="dxa"/>
            <w:vAlign w:val="bottom"/>
            <w:shd w:val="clear" w:color="auto" w:fill="B2B2B2"/>
          </w:tcPr>
          <w:p>
            <w:pPr>
              <w:spacing w:after="0"/>
              <w:rPr>
                <w:sz w:val="24"/>
                <w:szCs w:val="24"/>
                <w:color w:val="auto"/>
              </w:rPr>
            </w:pPr>
          </w:p>
        </w:tc>
        <w:tc>
          <w:tcPr>
            <w:tcW w:w="400" w:type="dxa"/>
            <w:vAlign w:val="bottom"/>
            <w:shd w:val="clear" w:color="auto" w:fill="B2B2B2"/>
          </w:tcPr>
          <w:p>
            <w:pPr>
              <w:spacing w:after="0"/>
              <w:rPr>
                <w:sz w:val="24"/>
                <w:szCs w:val="24"/>
                <w:color w:val="auto"/>
              </w:rPr>
            </w:pPr>
          </w:p>
        </w:tc>
        <w:tc>
          <w:tcPr>
            <w:tcW w:w="2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6"/>
                <w:szCs w:val="16"/>
                <w:b w:val="1"/>
                <w:bCs w:val="1"/>
                <w:color w:val="auto"/>
              </w:rPr>
              <w:t>​</w:t>
            </w:r>
          </w:p>
        </w:tc>
      </w:tr>
      <w:tr>
        <w:trPr>
          <w:trHeight w:val="75"/>
        </w:trPr>
        <w:tc>
          <w:tcPr>
            <w:tcW w:w="2600" w:type="dxa"/>
            <w:vAlign w:val="bottom"/>
            <w:tcBorders>
              <w:left w:val="single" w:sz="8" w:color="auto"/>
              <w:bottom w:val="single" w:sz="8" w:color="auto"/>
            </w:tcBorders>
            <w:gridSpan w:val="2"/>
            <w:shd w:val="clear" w:color="auto" w:fill="B2B2B2"/>
          </w:tcPr>
          <w:p>
            <w:pPr>
              <w:spacing w:after="0"/>
              <w:rPr>
                <w:sz w:val="6"/>
                <w:szCs w:val="6"/>
                <w:color w:val="auto"/>
              </w:rPr>
            </w:pPr>
          </w:p>
        </w:tc>
        <w:tc>
          <w:tcPr>
            <w:tcW w:w="480" w:type="dxa"/>
            <w:vAlign w:val="bottom"/>
            <w:tcBorders>
              <w:bottom w:val="single" w:sz="8" w:color="auto"/>
              <w:right w:val="single" w:sz="8" w:color="B2B2B2"/>
            </w:tcBorders>
            <w:shd w:val="clear" w:color="auto" w:fill="B2B2B2"/>
          </w:tcPr>
          <w:p>
            <w:pPr>
              <w:spacing w:after="0"/>
              <w:rPr>
                <w:sz w:val="6"/>
                <w:szCs w:val="6"/>
                <w:color w:val="auto"/>
              </w:rPr>
            </w:pPr>
          </w:p>
        </w:tc>
        <w:tc>
          <w:tcPr>
            <w:tcW w:w="200" w:type="dxa"/>
            <w:vAlign w:val="bottom"/>
            <w:tcBorders>
              <w:bottom w:val="single" w:sz="8" w:color="auto"/>
            </w:tcBorders>
            <w:shd w:val="clear" w:color="auto" w:fill="B2B2B2"/>
          </w:tcPr>
          <w:p>
            <w:pPr>
              <w:spacing w:after="0"/>
              <w:rPr>
                <w:sz w:val="6"/>
                <w:szCs w:val="6"/>
                <w:color w:val="auto"/>
              </w:rPr>
            </w:pPr>
          </w:p>
        </w:tc>
        <w:tc>
          <w:tcPr>
            <w:tcW w:w="380" w:type="dxa"/>
            <w:vAlign w:val="bottom"/>
            <w:tcBorders>
              <w:bottom w:val="single" w:sz="8" w:color="auto"/>
            </w:tcBorders>
            <w:shd w:val="clear" w:color="auto" w:fill="B2B2B2"/>
          </w:tcPr>
          <w:p>
            <w:pPr>
              <w:spacing w:after="0"/>
              <w:rPr>
                <w:sz w:val="6"/>
                <w:szCs w:val="6"/>
                <w:color w:val="auto"/>
              </w:rPr>
            </w:pPr>
          </w:p>
        </w:tc>
        <w:tc>
          <w:tcPr>
            <w:tcW w:w="260" w:type="dxa"/>
            <w:vAlign w:val="bottom"/>
            <w:tcBorders>
              <w:bottom w:val="single" w:sz="8" w:color="auto"/>
              <w:right w:val="single" w:sz="8" w:color="B2B2B2"/>
            </w:tcBorders>
            <w:shd w:val="clear" w:color="auto" w:fill="B2B2B2"/>
          </w:tcPr>
          <w:p>
            <w:pPr>
              <w:spacing w:after="0"/>
              <w:rPr>
                <w:sz w:val="6"/>
                <w:szCs w:val="6"/>
                <w:color w:val="auto"/>
              </w:rPr>
            </w:pPr>
          </w:p>
        </w:tc>
        <w:tc>
          <w:tcPr>
            <w:tcW w:w="40" w:type="dxa"/>
            <w:vAlign w:val="bottom"/>
            <w:tcBorders>
              <w:bottom w:val="single" w:sz="8" w:color="auto"/>
            </w:tcBorders>
            <w:shd w:val="clear" w:color="auto" w:fill="B2B2B2"/>
          </w:tcPr>
          <w:p>
            <w:pPr>
              <w:spacing w:after="0"/>
              <w:rPr>
                <w:sz w:val="6"/>
                <w:szCs w:val="6"/>
                <w:color w:val="auto"/>
              </w:rPr>
            </w:pPr>
          </w:p>
        </w:tc>
        <w:tc>
          <w:tcPr>
            <w:tcW w:w="160" w:type="dxa"/>
            <w:vAlign w:val="bottom"/>
            <w:tcBorders>
              <w:bottom w:val="single" w:sz="8" w:color="auto"/>
            </w:tcBorders>
            <w:shd w:val="clear" w:color="auto" w:fill="B2B2B2"/>
          </w:tcPr>
          <w:p>
            <w:pPr>
              <w:spacing w:after="0"/>
              <w:rPr>
                <w:sz w:val="6"/>
                <w:szCs w:val="6"/>
                <w:color w:val="auto"/>
              </w:rPr>
            </w:pPr>
          </w:p>
        </w:tc>
        <w:tc>
          <w:tcPr>
            <w:tcW w:w="400" w:type="dxa"/>
            <w:vAlign w:val="bottom"/>
            <w:tcBorders>
              <w:bottom w:val="single" w:sz="8" w:color="auto"/>
            </w:tcBorders>
            <w:shd w:val="clear" w:color="auto" w:fill="B2B2B2"/>
          </w:tcPr>
          <w:p>
            <w:pPr>
              <w:spacing w:after="0"/>
              <w:rPr>
                <w:sz w:val="6"/>
                <w:szCs w:val="6"/>
                <w:color w:val="auto"/>
              </w:rPr>
            </w:pPr>
          </w:p>
        </w:tc>
        <w:tc>
          <w:tcPr>
            <w:tcW w:w="260" w:type="dxa"/>
            <w:vAlign w:val="bottom"/>
            <w:tcBorders>
              <w:bottom w:val="single" w:sz="8" w:color="auto"/>
              <w:right w:val="single" w:sz="8" w:color="auto"/>
            </w:tcBorders>
            <w:shd w:val="clear" w:color="auto" w:fill="B2B2B2"/>
          </w:tcPr>
          <w:p>
            <w:pPr>
              <w:spacing w:after="0"/>
              <w:rPr>
                <w:sz w:val="6"/>
                <w:szCs w:val="6"/>
                <w:color w:val="auto"/>
              </w:rPr>
            </w:pPr>
          </w:p>
        </w:tc>
      </w:tr>
      <w:tr>
        <w:trPr>
          <w:trHeight w:val="283"/>
        </w:trPr>
        <w:tc>
          <w:tcPr>
            <w:tcW w:w="2600" w:type="dxa"/>
            <w:vAlign w:val="bottom"/>
            <w:tcBorders>
              <w:left w:val="single" w:sz="8" w:color="auto"/>
            </w:tcBorders>
            <w:gridSpan w:val="2"/>
          </w:tcPr>
          <w:p>
            <w:pPr>
              <w:spacing w:after="0"/>
              <w:rPr>
                <w:sz w:val="20"/>
                <w:szCs w:val="20"/>
                <w:color w:val="auto"/>
              </w:rPr>
            </w:pPr>
            <w:r>
              <w:rPr>
                <w:rFonts w:ascii="Arial" w:cs="Arial" w:eastAsia="Arial" w:hAnsi="Arial"/>
                <w:sz w:val="16"/>
                <w:szCs w:val="16"/>
                <w:color w:val="auto"/>
              </w:rPr>
              <w:t>​  Total Number of Directors</w:t>
            </w:r>
          </w:p>
        </w:tc>
        <w:tc>
          <w:tcPr>
            <w:tcW w:w="4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 10</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34"/>
        </w:trPr>
        <w:tc>
          <w:tcPr>
            <w:tcW w:w="180" w:type="dxa"/>
            <w:vAlign w:val="bottom"/>
            <w:tcBorders>
              <w:left w:val="single" w:sz="8" w:color="auto"/>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gridSpan w:val="3"/>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23"/>
        </w:trPr>
        <w:tc>
          <w:tcPr>
            <w:tcW w:w="180" w:type="dxa"/>
            <w:vAlign w:val="bottom"/>
            <w:tcBorders>
              <w:left w:val="single" w:sz="8" w:color="auto"/>
              <w:bottom w:val="single" w:sz="8" w:color="B2B2B2"/>
            </w:tcBorders>
            <w:shd w:val="clear" w:color="auto" w:fill="B2B2B2"/>
          </w:tcPr>
          <w:p>
            <w:pPr>
              <w:ind w:left="120"/>
              <w:spacing w:after="0"/>
              <w:rPr>
                <w:sz w:val="20"/>
                <w:szCs w:val="20"/>
                <w:color w:val="auto"/>
              </w:rPr>
            </w:pPr>
            <w:r>
              <w:rPr>
                <w:rFonts w:ascii="Arial" w:cs="Arial" w:eastAsia="Arial" w:hAnsi="Arial"/>
                <w:sz w:val="16"/>
                <w:szCs w:val="16"/>
                <w:color w:val="auto"/>
              </w:rPr>
              <w:t>​</w:t>
            </w:r>
          </w:p>
        </w:tc>
        <w:tc>
          <w:tcPr>
            <w:tcW w:w="2420" w:type="dxa"/>
            <w:vAlign w:val="bottom"/>
            <w:tcBorders>
              <w:bottom w:val="single" w:sz="8" w:color="B2B2B2"/>
            </w:tcBorders>
            <w:shd w:val="clear" w:color="auto" w:fill="B2B2B2"/>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Gender Identity:</w:t>
            </w:r>
          </w:p>
        </w:tc>
        <w:tc>
          <w:tcPr>
            <w:tcW w:w="480" w:type="dxa"/>
            <w:vAlign w:val="bottom"/>
            <w:tcBorders>
              <w:bottom w:val="single" w:sz="8" w:color="B2B2B2"/>
              <w:right w:val="single" w:sz="8" w:color="auto"/>
            </w:tcBorders>
            <w:shd w:val="clear" w:color="auto" w:fill="B2B2B2"/>
          </w:tcPr>
          <w:p>
            <w:pPr>
              <w:ind w:left="4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right w:val="single" w:sz="8" w:color="auto"/>
            </w:tcBorders>
            <w:gridSpan w:val="3"/>
            <w:shd w:val="clear" w:color="auto" w:fill="B2B2B2"/>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Female</w:t>
            </w:r>
            <w:r>
              <w:rPr>
                <w:rFonts w:ascii="Arial" w:cs="Arial" w:eastAsia="Arial" w:hAnsi="Arial"/>
                <w:sz w:val="16"/>
                <w:szCs w:val="16"/>
                <w:color w:val="auto"/>
              </w:rPr>
              <w:t xml:space="preserve"> ​</w:t>
            </w:r>
          </w:p>
        </w:tc>
        <w:tc>
          <w:tcPr>
            <w:tcW w:w="40" w:type="dxa"/>
            <w:vAlign w:val="bottom"/>
            <w:tcBorders>
              <w:bottom w:val="single" w:sz="8" w:color="B2B2B2"/>
            </w:tcBorders>
            <w:shd w:val="clear" w:color="auto" w:fill="B2B2B2"/>
          </w:tcPr>
          <w:p>
            <w:pPr>
              <w:spacing w:after="0"/>
              <w:rPr>
                <w:sz w:val="24"/>
                <w:szCs w:val="24"/>
                <w:color w:val="auto"/>
              </w:rPr>
            </w:pPr>
          </w:p>
        </w:tc>
        <w:tc>
          <w:tcPr>
            <w:tcW w:w="560" w:type="dxa"/>
            <w:vAlign w:val="bottom"/>
            <w:tcBorders>
              <w:bottom w:val="single" w:sz="8" w:color="B2B2B2"/>
            </w:tcBorders>
            <w:gridSpan w:val="2"/>
            <w:shd w:val="clear" w:color="auto" w:fill="B2B2B2"/>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Male</w:t>
            </w:r>
          </w:p>
        </w:tc>
        <w:tc>
          <w:tcPr>
            <w:tcW w:w="260" w:type="dxa"/>
            <w:vAlign w:val="bottom"/>
            <w:tcBorders>
              <w:bottom w:val="single" w:sz="8" w:color="B2B2B2"/>
              <w:right w:val="single" w:sz="8" w:color="auto"/>
            </w:tcBorders>
            <w:shd w:val="clear" w:color="auto" w:fill="B2B2B2"/>
          </w:tcPr>
          <w:p>
            <w:pPr>
              <w:ind w:left="120"/>
              <w:spacing w:after="0"/>
              <w:rPr>
                <w:sz w:val="20"/>
                <w:szCs w:val="20"/>
                <w:color w:val="auto"/>
              </w:rPr>
            </w:pPr>
            <w:r>
              <w:rPr>
                <w:rFonts w:ascii="Arial" w:cs="Arial" w:eastAsia="Arial" w:hAnsi="Arial"/>
                <w:sz w:val="16"/>
                <w:szCs w:val="16"/>
                <w:color w:val="auto"/>
              </w:rPr>
              <w:t>​</w:t>
            </w:r>
          </w:p>
        </w:tc>
      </w:tr>
      <w:tr>
        <w:trPr>
          <w:trHeight w:val="283"/>
        </w:trPr>
        <w:tc>
          <w:tcPr>
            <w:tcW w:w="2600" w:type="dxa"/>
            <w:vAlign w:val="bottom"/>
            <w:tcBorders>
              <w:top w:val="single" w:sz="8" w:color="auto"/>
              <w:left w:val="single" w:sz="8" w:color="auto"/>
            </w:tcBorders>
            <w:gridSpan w:val="2"/>
          </w:tcPr>
          <w:p>
            <w:pPr>
              <w:ind w:left="120"/>
              <w:spacing w:after="0"/>
              <w:rPr>
                <w:sz w:val="20"/>
                <w:szCs w:val="20"/>
                <w:color w:val="auto"/>
              </w:rPr>
            </w:pPr>
            <w:r>
              <w:rPr>
                <w:rFonts w:ascii="Arial" w:cs="Arial" w:eastAsia="Arial" w:hAnsi="Arial"/>
                <w:sz w:val="16"/>
                <w:szCs w:val="16"/>
                <w:color w:val="auto"/>
              </w:rPr>
              <w:t>​ Directors</w:t>
            </w:r>
          </w:p>
        </w:tc>
        <w:tc>
          <w:tcPr>
            <w:tcW w:w="48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4</w:t>
            </w:r>
          </w:p>
        </w:tc>
        <w:tc>
          <w:tcPr>
            <w:tcW w:w="2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w:t>
            </w:r>
          </w:p>
        </w:tc>
        <w:tc>
          <w:tcPr>
            <w:tcW w:w="2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w:t>
            </w:r>
          </w:p>
        </w:tc>
      </w:tr>
      <w:tr>
        <w:trPr>
          <w:trHeight w:val="34"/>
        </w:trPr>
        <w:tc>
          <w:tcPr>
            <w:tcW w:w="180" w:type="dxa"/>
            <w:vAlign w:val="bottom"/>
            <w:tcBorders>
              <w:left w:val="single" w:sz="8" w:color="auto"/>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23"/>
        </w:trPr>
        <w:tc>
          <w:tcPr>
            <w:tcW w:w="180" w:type="dxa"/>
            <w:vAlign w:val="bottom"/>
            <w:tcBorders>
              <w:left w:val="single" w:sz="8" w:color="auto"/>
              <w:bottom w:val="single" w:sz="8" w:color="B2B2B2"/>
            </w:tcBorders>
            <w:shd w:val="clear" w:color="auto" w:fill="B2B2B2"/>
          </w:tcPr>
          <w:p>
            <w:pPr>
              <w:spacing w:after="0"/>
              <w:rPr>
                <w:sz w:val="20"/>
                <w:szCs w:val="20"/>
                <w:color w:val="auto"/>
              </w:rPr>
            </w:pPr>
            <w:r>
              <w:rPr>
                <w:rFonts w:ascii="Arial" w:cs="Arial" w:eastAsia="Arial" w:hAnsi="Arial"/>
                <w:sz w:val="16"/>
                <w:szCs w:val="16"/>
                <w:b w:val="1"/>
                <w:bCs w:val="1"/>
                <w:color w:val="auto"/>
              </w:rPr>
              <w:t>​</w:t>
            </w:r>
          </w:p>
        </w:tc>
        <w:tc>
          <w:tcPr>
            <w:tcW w:w="2420" w:type="dxa"/>
            <w:vAlign w:val="bottom"/>
            <w:tcBorders>
              <w:bottom w:val="single" w:sz="8" w:color="B2B2B2"/>
            </w:tcBorders>
            <w:shd w:val="clear" w:color="auto" w:fill="B2B2B2"/>
          </w:tcPr>
          <w:p>
            <w:pPr>
              <w:ind w:left="40"/>
              <w:spacing w:after="0"/>
              <w:rPr>
                <w:sz w:val="20"/>
                <w:szCs w:val="20"/>
                <w:color w:val="auto"/>
              </w:rPr>
            </w:pPr>
            <w:r>
              <w:rPr>
                <w:rFonts w:ascii="Arial" w:cs="Arial" w:eastAsia="Arial" w:hAnsi="Arial"/>
                <w:sz w:val="16"/>
                <w:szCs w:val="16"/>
                <w:b w:val="1"/>
                <w:bCs w:val="1"/>
                <w:color w:val="auto"/>
              </w:rPr>
              <w:t>Demographic Background</w:t>
            </w:r>
          </w:p>
        </w:tc>
        <w:tc>
          <w:tcPr>
            <w:tcW w:w="480" w:type="dxa"/>
            <w:vAlign w:val="bottom"/>
            <w:tcBorders>
              <w:bottom w:val="single" w:sz="8" w:color="B2B2B2"/>
              <w:right w:val="single" w:sz="8" w:color="B2B2B2"/>
            </w:tcBorders>
            <w:shd w:val="clear" w:color="auto" w:fill="B2B2B2"/>
          </w:tcPr>
          <w:p>
            <w:pPr>
              <w:spacing w:after="0"/>
              <w:rPr>
                <w:sz w:val="24"/>
                <w:szCs w:val="24"/>
                <w:color w:val="auto"/>
              </w:rPr>
            </w:pPr>
          </w:p>
        </w:tc>
        <w:tc>
          <w:tcPr>
            <w:tcW w:w="200" w:type="dxa"/>
            <w:vAlign w:val="bottom"/>
            <w:tcBorders>
              <w:bottom w:val="single" w:sz="8" w:color="B2B2B2"/>
            </w:tcBorders>
            <w:shd w:val="clear" w:color="auto" w:fill="B2B2B2"/>
          </w:tcPr>
          <w:p>
            <w:pPr>
              <w:spacing w:after="0"/>
              <w:rPr>
                <w:sz w:val="24"/>
                <w:szCs w:val="24"/>
                <w:color w:val="auto"/>
              </w:rPr>
            </w:pPr>
          </w:p>
        </w:tc>
        <w:tc>
          <w:tcPr>
            <w:tcW w:w="380" w:type="dxa"/>
            <w:vAlign w:val="bottom"/>
            <w:tcBorders>
              <w:bottom w:val="single" w:sz="8" w:color="B2B2B2"/>
            </w:tcBorders>
            <w:shd w:val="clear" w:color="auto" w:fill="B2B2B2"/>
          </w:tcPr>
          <w:p>
            <w:pPr>
              <w:spacing w:after="0"/>
              <w:rPr>
                <w:sz w:val="24"/>
                <w:szCs w:val="24"/>
                <w:color w:val="auto"/>
              </w:rPr>
            </w:pPr>
          </w:p>
        </w:tc>
        <w:tc>
          <w:tcPr>
            <w:tcW w:w="260" w:type="dxa"/>
            <w:vAlign w:val="bottom"/>
            <w:tcBorders>
              <w:bottom w:val="single" w:sz="8" w:color="B2B2B2"/>
              <w:right w:val="single" w:sz="8" w:color="B2B2B2"/>
            </w:tcBorders>
            <w:shd w:val="clear" w:color="auto" w:fill="B2B2B2"/>
          </w:tcPr>
          <w:p>
            <w:pPr>
              <w:spacing w:after="0"/>
              <w:rPr>
                <w:sz w:val="24"/>
                <w:szCs w:val="24"/>
                <w:color w:val="auto"/>
              </w:rPr>
            </w:pPr>
          </w:p>
        </w:tc>
        <w:tc>
          <w:tcPr>
            <w:tcW w:w="40" w:type="dxa"/>
            <w:vAlign w:val="bottom"/>
            <w:tcBorders>
              <w:bottom w:val="single" w:sz="8" w:color="B2B2B2"/>
            </w:tcBorders>
            <w:shd w:val="clear" w:color="auto" w:fill="B2B2B2"/>
          </w:tcPr>
          <w:p>
            <w:pPr>
              <w:spacing w:after="0"/>
              <w:rPr>
                <w:sz w:val="24"/>
                <w:szCs w:val="24"/>
                <w:color w:val="auto"/>
              </w:rPr>
            </w:pPr>
          </w:p>
        </w:tc>
        <w:tc>
          <w:tcPr>
            <w:tcW w:w="160" w:type="dxa"/>
            <w:vAlign w:val="bottom"/>
            <w:tcBorders>
              <w:bottom w:val="single" w:sz="8" w:color="B2B2B2"/>
            </w:tcBorders>
            <w:shd w:val="clear" w:color="auto" w:fill="B2B2B2"/>
          </w:tcPr>
          <w:p>
            <w:pPr>
              <w:spacing w:after="0"/>
              <w:rPr>
                <w:sz w:val="24"/>
                <w:szCs w:val="24"/>
                <w:color w:val="auto"/>
              </w:rPr>
            </w:pPr>
          </w:p>
        </w:tc>
        <w:tc>
          <w:tcPr>
            <w:tcW w:w="400" w:type="dxa"/>
            <w:vAlign w:val="bottom"/>
            <w:tcBorders>
              <w:bottom w:val="single" w:sz="8" w:color="B2B2B2"/>
            </w:tcBorders>
            <w:shd w:val="clear" w:color="auto" w:fill="B2B2B2"/>
          </w:tcPr>
          <w:p>
            <w:pPr>
              <w:spacing w:after="0"/>
              <w:rPr>
                <w:sz w:val="24"/>
                <w:szCs w:val="24"/>
                <w:color w:val="auto"/>
              </w:rPr>
            </w:pPr>
          </w:p>
        </w:tc>
        <w:tc>
          <w:tcPr>
            <w:tcW w:w="260" w:type="dxa"/>
            <w:vAlign w:val="bottom"/>
            <w:tcBorders>
              <w:bottom w:val="single" w:sz="8" w:color="B2B2B2"/>
              <w:right w:val="single" w:sz="8" w:color="auto"/>
            </w:tcBorders>
            <w:shd w:val="clear" w:color="auto" w:fill="B2B2B2"/>
          </w:tcPr>
          <w:p>
            <w:pPr>
              <w:ind w:left="20"/>
              <w:spacing w:after="0"/>
              <w:rPr>
                <w:sz w:val="20"/>
                <w:szCs w:val="20"/>
                <w:color w:val="auto"/>
              </w:rPr>
            </w:pPr>
            <w:r>
              <w:rPr>
                <w:rFonts w:ascii="Arial" w:cs="Arial" w:eastAsia="Arial" w:hAnsi="Arial"/>
                <w:sz w:val="16"/>
                <w:szCs w:val="16"/>
                <w:b w:val="1"/>
                <w:bCs w:val="1"/>
                <w:color w:val="auto"/>
              </w:rPr>
              <w:t>​</w:t>
            </w:r>
          </w:p>
        </w:tc>
      </w:tr>
      <w:tr>
        <w:trPr>
          <w:trHeight w:val="283"/>
        </w:trPr>
        <w:tc>
          <w:tcPr>
            <w:tcW w:w="2600" w:type="dxa"/>
            <w:vAlign w:val="bottom"/>
            <w:tcBorders>
              <w:top w:val="single" w:sz="8" w:color="auto"/>
              <w:left w:val="single" w:sz="8" w:color="auto"/>
            </w:tcBorders>
            <w:gridSpan w:val="2"/>
          </w:tcPr>
          <w:p>
            <w:pPr>
              <w:ind w:left="120"/>
              <w:spacing w:after="0"/>
              <w:rPr>
                <w:sz w:val="20"/>
                <w:szCs w:val="20"/>
                <w:color w:val="auto"/>
              </w:rPr>
            </w:pPr>
            <w:r>
              <w:rPr>
                <w:rFonts w:ascii="Arial" w:cs="Arial" w:eastAsia="Arial" w:hAnsi="Arial"/>
                <w:sz w:val="16"/>
                <w:szCs w:val="16"/>
                <w:color w:val="auto"/>
              </w:rPr>
              <w:t>​   African American or Black</w:t>
            </w:r>
          </w:p>
        </w:tc>
        <w:tc>
          <w:tcPr>
            <w:tcW w:w="48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2</w:t>
            </w:r>
          </w:p>
        </w:tc>
        <w:tc>
          <w:tcPr>
            <w:tcW w:w="2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w:t>
            </w:r>
          </w:p>
        </w:tc>
        <w:tc>
          <w:tcPr>
            <w:tcW w:w="2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w:t>
            </w:r>
          </w:p>
        </w:tc>
      </w:tr>
      <w:tr>
        <w:trPr>
          <w:trHeight w:val="34"/>
        </w:trPr>
        <w:tc>
          <w:tcPr>
            <w:tcW w:w="2600" w:type="dxa"/>
            <w:vAlign w:val="bottom"/>
            <w:tcBorders>
              <w:left w:val="single" w:sz="8" w:color="auto"/>
              <w:bottom w:val="single" w:sz="8" w:color="auto"/>
            </w:tcBorders>
            <w:gridSpan w:val="2"/>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283"/>
        </w:trPr>
        <w:tc>
          <w:tcPr>
            <w:tcW w:w="2600" w:type="dxa"/>
            <w:vAlign w:val="bottom"/>
            <w:tcBorders>
              <w:left w:val="single" w:sz="8" w:color="auto"/>
            </w:tcBorders>
            <w:gridSpan w:val="2"/>
          </w:tcPr>
          <w:p>
            <w:pPr>
              <w:ind w:left="120"/>
              <w:spacing w:after="0"/>
              <w:rPr>
                <w:sz w:val="20"/>
                <w:szCs w:val="20"/>
                <w:color w:val="auto"/>
              </w:rPr>
            </w:pPr>
            <w:r>
              <w:rPr>
                <w:rFonts w:ascii="Arial" w:cs="Arial" w:eastAsia="Arial" w:hAnsi="Arial"/>
                <w:sz w:val="16"/>
                <w:szCs w:val="16"/>
                <w:color w:val="auto"/>
              </w:rPr>
              <w:t>​   Hispanic or Latinx</w:t>
            </w:r>
          </w:p>
        </w:tc>
        <w:tc>
          <w:tcPr>
            <w:tcW w:w="48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jc w:val="center"/>
              <w:spacing w:after="0"/>
              <w:rPr>
                <w:sz w:val="20"/>
                <w:szCs w:val="20"/>
                <w:color w:val="auto"/>
              </w:rPr>
            </w:pPr>
            <w:r>
              <w:rPr>
                <w:rFonts w:ascii="Arial" w:cs="Arial" w:eastAsia="Arial" w:hAnsi="Arial"/>
                <w:sz w:val="16"/>
                <w:szCs w:val="16"/>
                <w:b w:val="1"/>
                <w:bCs w:val="1"/>
                <w:color w:val="auto"/>
              </w:rPr>
              <w:t>0</w:t>
            </w:r>
          </w:p>
        </w:tc>
        <w:tc>
          <w:tcPr>
            <w:tcW w:w="2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1</w:t>
            </w:r>
          </w:p>
        </w:tc>
        <w:tc>
          <w:tcPr>
            <w:tcW w:w="2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w:t>
            </w:r>
          </w:p>
        </w:tc>
      </w:tr>
      <w:tr>
        <w:trPr>
          <w:trHeight w:val="34"/>
        </w:trPr>
        <w:tc>
          <w:tcPr>
            <w:tcW w:w="2600" w:type="dxa"/>
            <w:vAlign w:val="bottom"/>
            <w:tcBorders>
              <w:left w:val="single" w:sz="8" w:color="auto"/>
              <w:bottom w:val="single" w:sz="8" w:color="auto"/>
            </w:tcBorders>
            <w:gridSpan w:val="2"/>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283"/>
        </w:trPr>
        <w:tc>
          <w:tcPr>
            <w:tcW w:w="2600" w:type="dxa"/>
            <w:vAlign w:val="bottom"/>
            <w:tcBorders>
              <w:left w:val="single" w:sz="8" w:color="auto"/>
            </w:tcBorders>
            <w:gridSpan w:val="2"/>
          </w:tcPr>
          <w:p>
            <w:pPr>
              <w:ind w:left="120"/>
              <w:spacing w:after="0"/>
              <w:rPr>
                <w:sz w:val="20"/>
                <w:szCs w:val="20"/>
                <w:color w:val="auto"/>
              </w:rPr>
            </w:pPr>
            <w:r>
              <w:rPr>
                <w:rFonts w:ascii="Arial" w:cs="Arial" w:eastAsia="Arial" w:hAnsi="Arial"/>
                <w:sz w:val="16"/>
                <w:szCs w:val="16"/>
                <w:color w:val="auto"/>
              </w:rPr>
              <w:t>​   White</w:t>
            </w:r>
          </w:p>
        </w:tc>
        <w:tc>
          <w:tcPr>
            <w:tcW w:w="48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jc w:val="center"/>
              <w:spacing w:after="0"/>
              <w:rPr>
                <w:sz w:val="20"/>
                <w:szCs w:val="20"/>
                <w:color w:val="auto"/>
              </w:rPr>
            </w:pPr>
            <w:r>
              <w:rPr>
                <w:rFonts w:ascii="Arial" w:cs="Arial" w:eastAsia="Arial" w:hAnsi="Arial"/>
                <w:sz w:val="16"/>
                <w:szCs w:val="16"/>
                <w:b w:val="1"/>
                <w:bCs w:val="1"/>
                <w:color w:val="auto"/>
                <w:w w:val="92"/>
              </w:rPr>
              <w:t>2*</w:t>
            </w:r>
          </w:p>
        </w:tc>
        <w:tc>
          <w:tcPr>
            <w:tcW w:w="2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4</w:t>
            </w:r>
          </w:p>
        </w:tc>
        <w:tc>
          <w:tcPr>
            <w:tcW w:w="2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w:t>
            </w:r>
          </w:p>
        </w:tc>
      </w:tr>
      <w:tr>
        <w:trPr>
          <w:trHeight w:val="34"/>
        </w:trPr>
        <w:tc>
          <w:tcPr>
            <w:tcW w:w="180" w:type="dxa"/>
            <w:vAlign w:val="bottom"/>
            <w:tcBorders>
              <w:left w:val="single" w:sz="8" w:color="auto"/>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10"/>
        </w:trPr>
        <w:tc>
          <w:tcPr>
            <w:tcW w:w="180" w:type="dxa"/>
            <w:vAlign w:val="bottom"/>
            <w:tcBorders>
              <w:left w:val="single" w:sz="8" w:color="auto"/>
            </w:tcBorders>
          </w:tcPr>
          <w:p>
            <w:pPr>
              <w:spacing w:after="0"/>
              <w:rPr>
                <w:sz w:val="20"/>
                <w:szCs w:val="20"/>
                <w:color w:val="auto"/>
              </w:rPr>
            </w:pPr>
            <w:r>
              <w:rPr>
                <w:rFonts w:ascii="Arial" w:cs="Arial" w:eastAsia="Arial" w:hAnsi="Arial"/>
                <w:sz w:val="16"/>
                <w:szCs w:val="16"/>
                <w:color w:val="auto"/>
              </w:rPr>
              <w:t>​</w:t>
            </w:r>
          </w:p>
        </w:tc>
        <w:tc>
          <w:tcPr>
            <w:tcW w:w="2420" w:type="dxa"/>
            <w:vAlign w:val="bottom"/>
          </w:tcPr>
          <w:p>
            <w:pPr>
              <w:ind w:left="60"/>
              <w:spacing w:after="0"/>
              <w:rPr>
                <w:sz w:val="20"/>
                <w:szCs w:val="20"/>
                <w:color w:val="auto"/>
              </w:rPr>
            </w:pPr>
            <w:r>
              <w:rPr>
                <w:rFonts w:ascii="Arial" w:cs="Arial" w:eastAsia="Arial" w:hAnsi="Arial"/>
                <w:sz w:val="16"/>
                <w:szCs w:val="16"/>
                <w:color w:val="auto"/>
              </w:rPr>
              <w:t>  LGBTQ+</w:t>
            </w:r>
          </w:p>
        </w:tc>
        <w:tc>
          <w:tcPr>
            <w:tcW w:w="4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0"/>
              </w:rPr>
              <w:t>  1</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102"/>
        </w:trPr>
        <w:tc>
          <w:tcPr>
            <w:tcW w:w="180" w:type="dxa"/>
            <w:vAlign w:val="bottom"/>
            <w:tcBorders>
              <w:left w:val="single" w:sz="8" w:color="auto"/>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r>
    </w:tbl>
    <w:p>
      <w:pPr>
        <w:spacing w:after="0" w:line="13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One identifies as Middle Eastern</w:t>
      </w:r>
    </w:p>
    <w:p>
      <w:pPr>
        <w:spacing w:after="0" w:line="21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BOARD LEADERSHIP STRUCTURE</w:t>
      </w:r>
    </w:p>
    <w:p>
      <w:pPr>
        <w:spacing w:after="0" w:line="148" w:lineRule="exact"/>
        <w:rPr>
          <w:sz w:val="20"/>
          <w:szCs w:val="20"/>
          <w:color w:val="auto"/>
        </w:rPr>
      </w:pPr>
    </w:p>
    <w:p>
      <w:pPr>
        <w:ind w:left="1000" w:right="159"/>
        <w:spacing w:after="0" w:line="255" w:lineRule="auto"/>
        <w:rPr>
          <w:sz w:val="20"/>
          <w:szCs w:val="20"/>
          <w:color w:val="auto"/>
        </w:rPr>
      </w:pPr>
      <w:r>
        <w:rPr>
          <w:rFonts w:ascii="Arial" w:cs="Arial" w:eastAsia="Arial" w:hAnsi="Arial"/>
          <w:sz w:val="18"/>
          <w:szCs w:val="18"/>
          <w:color w:val="auto"/>
        </w:rPr>
        <w:t>Pursuant to the Guidelines, the Board has the flexibility to decide whether it is best for the Company at a given point in time for the roles of the Chief Executive Officer (“CEO”) and Chair of the Board (the “Chair”) to be separated or combined and, if separated, whether the Chair should be selected from the Independent Directors or be an employee of the Company. The Board believes that the Company and its shareholders are best served by maintaining this flexibility rather than mandating a particular leadership structure, and the Board has experience functioning effectively either way. The Board also believes its programs for overseeing risk would be effective under a variety of leadership frameworks and therefore do not materially affect how it structures its leadership. If the Chair is an employee of the Company, the Guidelines provide that the independent Directors will elect an active lead independent director.</w:t>
      </w:r>
    </w:p>
    <w:p>
      <w:pPr>
        <w:spacing w:after="0" w:line="11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Currently the roles are separated, with Mr. Adkins, an Independent Director, serving as the Chair and</w:t>
      </w:r>
    </w:p>
    <w:p>
      <w:pPr>
        <w:spacing w:after="0" w:line="27" w:lineRule="exact"/>
        <w:rPr>
          <w:sz w:val="20"/>
          <w:szCs w:val="20"/>
          <w:color w:val="auto"/>
        </w:rPr>
      </w:pPr>
    </w:p>
    <w:p>
      <w:pPr>
        <w:ind w:left="1000" w:right="159"/>
        <w:spacing w:after="0" w:line="252" w:lineRule="auto"/>
        <w:rPr>
          <w:sz w:val="20"/>
          <w:szCs w:val="20"/>
          <w:color w:val="auto"/>
        </w:rPr>
      </w:pPr>
      <w:r>
        <w:rPr>
          <w:rFonts w:ascii="Arial" w:cs="Arial" w:eastAsia="Arial" w:hAnsi="Arial"/>
          <w:sz w:val="18"/>
          <w:szCs w:val="18"/>
          <w:color w:val="auto"/>
        </w:rPr>
        <w:t>Mr. Gallagher serving as the CEO. The Board has concluded that the current leadership structure is appropriate because it allows Directors to provide independent, objective, and effective oversight of management. Under this structure, the independent Chair focuses on Board performance and facilitating information flow between the Board and CEO. The independent Chair works closely with the CEO and Chief Legal Officer to set Board meeting agendas and meeting schedules, and chairs executive sessions at Board meetings. In addition, the Board believes that Mr. Adkin’s global business experience in the technology industry, international markets, and supply chain management, as well as his strong public board experience with outside companies, enables him to provide effective leadership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18     </w:t>
      </w:r>
      <w:r>
        <w:rPr>
          <w:sz w:val="1"/>
          <w:szCs w:val="1"/>
          <w:color w:val="auto"/>
        </w:rPr>
        <w:drawing>
          <wp:inline distT="0" distB="0" distL="0" distR="0">
            <wp:extent cx="1242695" cy="24003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34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400" w:type="dxa"/>
            <w:vAlign w:val="bottom"/>
            <w:vMerge w:val="restart"/>
          </w:tcPr>
          <w:p>
            <w:pPr>
              <w:ind w:left="2960"/>
              <w:spacing w:after="0"/>
              <w:rPr>
                <w:sz w:val="20"/>
                <w:szCs w:val="20"/>
                <w:color w:val="auto"/>
              </w:rPr>
            </w:pPr>
            <w:r>
              <w:rPr>
                <w:rFonts w:ascii="Arial" w:cs="Arial" w:eastAsia="Arial" w:hAnsi="Arial"/>
                <w:sz w:val="14"/>
                <w:szCs w:val="14"/>
                <w:color w:val="auto"/>
                <w:w w:val="99"/>
              </w:rPr>
              <w:t>Corporate Governance</w:t>
            </w:r>
          </w:p>
        </w:tc>
        <w:tc>
          <w:tcPr>
            <w:tcW w:w="0" w:type="dxa"/>
            <w:vAlign w:val="bottom"/>
          </w:tcPr>
          <w:p>
            <w:pPr>
              <w:spacing w:after="0"/>
              <w:rPr>
                <w:sz w:val="1"/>
                <w:szCs w:val="1"/>
                <w:color w:val="auto"/>
              </w:rPr>
            </w:pPr>
          </w:p>
        </w:tc>
      </w:tr>
      <w:tr>
        <w:trPr>
          <w:trHeight w:val="88"/>
        </w:trPr>
        <w:tc>
          <w:tcPr>
            <w:tcW w:w="53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340" w:type="dxa"/>
            <w:vAlign w:val="bottom"/>
            <w:vMerge w:val="continue"/>
          </w:tcPr>
          <w:p>
            <w:pPr>
              <w:spacing w:after="0"/>
              <w:rPr>
                <w:sz w:val="11"/>
                <w:szCs w:val="11"/>
                <w:color w:val="auto"/>
              </w:rPr>
            </w:pPr>
          </w:p>
        </w:tc>
        <w:tc>
          <w:tcPr>
            <w:tcW w:w="4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EXECUTIVE SESSIONS</w:t>
      </w:r>
    </w:p>
    <w:p>
      <w:pPr>
        <w:spacing w:after="0" w:line="162" w:lineRule="exact"/>
        <w:rPr>
          <w:sz w:val="20"/>
          <w:szCs w:val="20"/>
          <w:color w:val="auto"/>
        </w:rPr>
      </w:pPr>
    </w:p>
    <w:p>
      <w:pPr>
        <w:ind w:left="1000" w:right="279"/>
        <w:spacing w:after="0" w:line="271" w:lineRule="auto"/>
        <w:rPr>
          <w:sz w:val="20"/>
          <w:szCs w:val="20"/>
          <w:color w:val="auto"/>
        </w:rPr>
      </w:pPr>
      <w:r>
        <w:rPr>
          <w:rFonts w:ascii="Arial" w:cs="Arial" w:eastAsia="Arial" w:hAnsi="Arial"/>
          <w:sz w:val="18"/>
          <w:szCs w:val="18"/>
          <w:color w:val="auto"/>
        </w:rPr>
        <w:t>To promote free and open discussion and communication, Independent Directors meet in executive session at regularly scheduled Board meetings with neither non-Independent Directors nor management present.</w:t>
      </w:r>
    </w:p>
    <w:p>
      <w:pPr>
        <w:spacing w:after="0" w:line="14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DIRECTOR NOMINATIONS</w:t>
      </w:r>
    </w:p>
    <w:p>
      <w:pPr>
        <w:spacing w:after="0" w:line="162" w:lineRule="exact"/>
        <w:rPr>
          <w:sz w:val="20"/>
          <w:szCs w:val="20"/>
          <w:color w:val="auto"/>
        </w:rPr>
      </w:pPr>
    </w:p>
    <w:p>
      <w:pPr>
        <w:ind w:left="1000" w:right="159"/>
        <w:spacing w:after="0" w:line="243" w:lineRule="auto"/>
        <w:rPr>
          <w:sz w:val="20"/>
          <w:szCs w:val="20"/>
          <w:color w:val="auto"/>
        </w:rPr>
      </w:pPr>
      <w:r>
        <w:rPr>
          <w:rFonts w:ascii="Arial" w:cs="Arial" w:eastAsia="Arial" w:hAnsi="Arial"/>
          <w:sz w:val="18"/>
          <w:szCs w:val="18"/>
          <w:color w:val="auto"/>
        </w:rPr>
        <w:t>The Corporate Governance Committee is responsible for identifying, screening, and recommending candidates for election to the Company’s Board of Directors. Pursuant to the Guidelines, the committee reviews a potential candidate’s business experience; education; skill set; personal character and judgment; and diversity in factors such as age, gender, race, nationality, and culture. In addition, the Committee’s charter provides that the committee will consider criteria including knowledge, experience, skills, expertise, and diversity to enhance the Board’s ability to oversee the Company’s affairs and business. Although the Corporate Governance Committee does not have a formal policy concerning diversity, the Company believes that valuing diversity makes good business sense. Consequently, the Corporate Governance Committee includes women and minority candidates in the pool from which it seeks future Directors.</w:t>
      </w:r>
    </w:p>
    <w:p>
      <w:pPr>
        <w:spacing w:after="0" w:line="112" w:lineRule="exact"/>
        <w:rPr>
          <w:sz w:val="20"/>
          <w:szCs w:val="20"/>
          <w:color w:val="auto"/>
        </w:rPr>
      </w:pPr>
    </w:p>
    <w:p>
      <w:pPr>
        <w:ind w:left="1000" w:right="339"/>
        <w:spacing w:after="0" w:line="265" w:lineRule="auto"/>
        <w:rPr>
          <w:sz w:val="20"/>
          <w:szCs w:val="20"/>
          <w:color w:val="auto"/>
        </w:rPr>
      </w:pPr>
      <w:r>
        <w:rPr>
          <w:rFonts w:ascii="Arial" w:cs="Arial" w:eastAsia="Arial" w:hAnsi="Arial"/>
          <w:sz w:val="17"/>
          <w:szCs w:val="17"/>
          <w:color w:val="auto"/>
        </w:rPr>
        <w:t>These above factors, and others considered useful by the Board, are reviewed in the context of the perceived needs of the Board at a particular point in time. 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ensure that other existing and future commitments do not materially interfere with the member’s attendance at meetings and service as a Director.</w:t>
      </w:r>
    </w:p>
    <w:p>
      <w:pPr>
        <w:spacing w:after="0" w:line="95" w:lineRule="exact"/>
        <w:rPr>
          <w:sz w:val="20"/>
          <w:szCs w:val="20"/>
          <w:color w:val="auto"/>
        </w:rPr>
      </w:pPr>
    </w:p>
    <w:p>
      <w:pPr>
        <w:ind w:left="1000" w:right="659"/>
        <w:spacing w:after="0" w:line="261" w:lineRule="auto"/>
        <w:rPr>
          <w:sz w:val="20"/>
          <w:szCs w:val="20"/>
          <w:color w:val="auto"/>
        </w:rPr>
      </w:pPr>
      <w:r>
        <w:rPr>
          <w:rFonts w:ascii="Arial" w:cs="Arial" w:eastAsia="Arial" w:hAnsi="Arial"/>
          <w:sz w:val="18"/>
          <w:szCs w:val="18"/>
          <w:color w:val="auto"/>
        </w:rPr>
        <w:t>The Corporate Governance Committee also reviews whether a potential candidate will meet the Board’s independence standards and any other Director or committee membership requirements imposed by law, regulation, or stock exchange rules.</w:t>
      </w:r>
    </w:p>
    <w:p>
      <w:pPr>
        <w:spacing w:after="0" w:line="94" w:lineRule="exact"/>
        <w:rPr>
          <w:sz w:val="20"/>
          <w:szCs w:val="20"/>
          <w:color w:val="auto"/>
        </w:rPr>
      </w:pPr>
    </w:p>
    <w:p>
      <w:pPr>
        <w:ind w:left="1000" w:right="259"/>
        <w:spacing w:after="0" w:line="262" w:lineRule="auto"/>
        <w:rPr>
          <w:sz w:val="20"/>
          <w:szCs w:val="20"/>
          <w:color w:val="auto"/>
        </w:rPr>
      </w:pPr>
      <w:r>
        <w:rPr>
          <w:rFonts w:ascii="Arial" w:cs="Arial" w:eastAsia="Arial" w:hAnsi="Arial"/>
          <w:sz w:val="17"/>
          <w:szCs w:val="17"/>
          <w:color w:val="auto"/>
        </w:rPr>
        <w:t>Director candidates recommended by the Corporate Governance Committee are subject to full Board approval and subsequent annual election by the shareholders. The Board of Directors is also responsible for electing Directors to fill vacancies on the Board occurring between the shareholders’ annual meetings, due to retirement, resignation, expansion of the Board, or other events. The committee may retain a search firm to assist in identifying and evaluating candidates. When a search firm is used, the committee provides criteria for candidates, tailored to the needs of the Board at that time, and pays the firm a fee for these services.</w:t>
      </w:r>
    </w:p>
    <w:p>
      <w:pPr>
        <w:spacing w:after="0" w:line="97" w:lineRule="exact"/>
        <w:rPr>
          <w:sz w:val="20"/>
          <w:szCs w:val="20"/>
          <w:color w:val="auto"/>
        </w:rPr>
      </w:pPr>
    </w:p>
    <w:p>
      <w:pPr>
        <w:ind w:left="1000" w:right="619"/>
        <w:spacing w:after="0" w:line="287" w:lineRule="auto"/>
        <w:rPr>
          <w:sz w:val="20"/>
          <w:szCs w:val="20"/>
          <w:color w:val="auto"/>
        </w:rPr>
      </w:pPr>
      <w:r>
        <w:rPr>
          <w:rFonts w:ascii="Arial" w:cs="Arial" w:eastAsia="Arial" w:hAnsi="Arial"/>
          <w:sz w:val="18"/>
          <w:szCs w:val="18"/>
          <w:color w:val="auto"/>
        </w:rPr>
        <w:t>Recommendations for Director candidates may also be received from Board members, management, and shareholders, and may be solicited from professional associations as well.</w:t>
      </w:r>
    </w:p>
    <w:p>
      <w:pPr>
        <w:spacing w:after="0" w:line="72" w:lineRule="exact"/>
        <w:rPr>
          <w:sz w:val="20"/>
          <w:szCs w:val="20"/>
          <w:color w:val="auto"/>
        </w:rPr>
      </w:pPr>
    </w:p>
    <w:p>
      <w:pPr>
        <w:ind w:left="1000" w:right="359"/>
        <w:spacing w:after="0" w:line="246" w:lineRule="auto"/>
        <w:rPr>
          <w:sz w:val="20"/>
          <w:szCs w:val="20"/>
          <w:color w:val="auto"/>
        </w:rPr>
      </w:pPr>
      <w:r>
        <w:rPr>
          <w:rFonts w:ascii="Arial" w:cs="Arial" w:eastAsia="Arial" w:hAnsi="Arial"/>
          <w:sz w:val="18"/>
          <w:szCs w:val="18"/>
          <w:color w:val="auto"/>
        </w:rPr>
        <w:t>The Corporate Governance Committee considers recommendations of Director candidates received from shareholders on the same basis as recommendations received from other sources. The director selection criteria discussed above is used to evaluate all recommended Director candidates. Shareholders who wish to suggest an individual for consideration for election to the Company’s Board of Directors may submit a written recommendation to the Corporate Governance Committee by sending it to: Corporate Secretary, Avnet, Inc., 2211 South 47th Street, Phoenix, Arizona 85034. Shareholder recommendations must contain the following information:</w:t>
      </w:r>
    </w:p>
    <w:p>
      <w:pPr>
        <w:spacing w:after="0" w:line="67" w:lineRule="exact"/>
        <w:rPr>
          <w:sz w:val="20"/>
          <w:szCs w:val="20"/>
          <w:color w:val="auto"/>
        </w:rPr>
      </w:pPr>
    </w:p>
    <w:p>
      <w:pPr>
        <w:ind w:left="1620" w:right="539" w:hanging="270"/>
        <w:spacing w:after="0" w:line="318" w:lineRule="auto"/>
        <w:tabs>
          <w:tab w:leader="none" w:pos="1620" w:val="left"/>
        </w:tabs>
        <w:numPr>
          <w:ilvl w:val="0"/>
          <w:numId w:val="22"/>
        </w:numPr>
        <w:rPr>
          <w:rFonts w:ascii="Arial" w:cs="Arial" w:eastAsia="Arial" w:hAnsi="Arial"/>
          <w:sz w:val="17"/>
          <w:szCs w:val="17"/>
          <w:color w:val="53C072"/>
        </w:rPr>
      </w:pPr>
      <w:r>
        <w:rPr>
          <w:rFonts w:ascii="Arial" w:cs="Arial" w:eastAsia="Arial" w:hAnsi="Arial"/>
          <w:sz w:val="17"/>
          <w:szCs w:val="17"/>
          <w:color w:val="auto"/>
        </w:rPr>
        <w:t>The shareholder’s name, address, number of shares of the Company’s Common Stock beneficially owned, and, if the shareholder is not a record shareholder, evidence of beneficial ownership;</w:t>
      </w:r>
    </w:p>
    <w:p>
      <w:pPr>
        <w:spacing w:after="0" w:line="8" w:lineRule="exact"/>
        <w:rPr>
          <w:rFonts w:ascii="Arial" w:cs="Arial" w:eastAsia="Arial" w:hAnsi="Arial"/>
          <w:sz w:val="17"/>
          <w:szCs w:val="17"/>
          <w:color w:val="53C072"/>
        </w:rPr>
      </w:pPr>
    </w:p>
    <w:p>
      <w:pPr>
        <w:ind w:left="1620" w:hanging="270"/>
        <w:spacing w:after="0"/>
        <w:tabs>
          <w:tab w:leader="none" w:pos="1620" w:val="left"/>
        </w:tabs>
        <w:numPr>
          <w:ilvl w:val="0"/>
          <w:numId w:val="22"/>
        </w:numPr>
        <w:rPr>
          <w:rFonts w:ascii="Arial" w:cs="Arial" w:eastAsia="Arial" w:hAnsi="Arial"/>
          <w:sz w:val="18"/>
          <w:szCs w:val="18"/>
          <w:color w:val="53C072"/>
        </w:rPr>
      </w:pPr>
      <w:r>
        <w:rPr>
          <w:rFonts w:ascii="Arial" w:cs="Arial" w:eastAsia="Arial" w:hAnsi="Arial"/>
          <w:sz w:val="18"/>
          <w:szCs w:val="18"/>
          <w:color w:val="auto"/>
        </w:rPr>
        <w:t>A statement in support of the candidate’s recommendation;</w:t>
      </w:r>
    </w:p>
    <w:p>
      <w:pPr>
        <w:spacing w:after="0" w:line="117" w:lineRule="exact"/>
        <w:rPr>
          <w:rFonts w:ascii="Arial" w:cs="Arial" w:eastAsia="Arial" w:hAnsi="Arial"/>
          <w:sz w:val="18"/>
          <w:szCs w:val="18"/>
          <w:color w:val="53C072"/>
        </w:rPr>
      </w:pPr>
    </w:p>
    <w:p>
      <w:pPr>
        <w:ind w:left="1620" w:right="439" w:hanging="270"/>
        <w:spacing w:after="0" w:line="318" w:lineRule="auto"/>
        <w:tabs>
          <w:tab w:leader="none" w:pos="1620" w:val="left"/>
        </w:tabs>
        <w:numPr>
          <w:ilvl w:val="0"/>
          <w:numId w:val="22"/>
        </w:numPr>
        <w:rPr>
          <w:rFonts w:ascii="Arial" w:cs="Arial" w:eastAsia="Arial" w:hAnsi="Arial"/>
          <w:sz w:val="17"/>
          <w:szCs w:val="17"/>
          <w:color w:val="53C072"/>
        </w:rPr>
      </w:pPr>
      <w:r>
        <w:rPr>
          <w:rFonts w:ascii="Arial" w:cs="Arial" w:eastAsia="Arial" w:hAnsi="Arial"/>
          <w:sz w:val="17"/>
          <w:szCs w:val="17"/>
          <w:color w:val="auto"/>
        </w:rPr>
        <w:t>The candidate’s detailed biographical information describing experience and qualifications, including current employment and a list of any other boards of directors on which the candidate serves;</w:t>
      </w:r>
    </w:p>
    <w:p>
      <w:pPr>
        <w:spacing w:after="0" w:line="21" w:lineRule="exact"/>
        <w:rPr>
          <w:rFonts w:ascii="Arial" w:cs="Arial" w:eastAsia="Arial" w:hAnsi="Arial"/>
          <w:sz w:val="17"/>
          <w:szCs w:val="17"/>
          <w:color w:val="53C072"/>
        </w:rPr>
      </w:pPr>
    </w:p>
    <w:p>
      <w:pPr>
        <w:ind w:left="1620" w:right="479" w:hanging="270"/>
        <w:spacing w:after="0" w:line="287" w:lineRule="auto"/>
        <w:tabs>
          <w:tab w:leader="none" w:pos="1620" w:val="left"/>
        </w:tabs>
        <w:numPr>
          <w:ilvl w:val="0"/>
          <w:numId w:val="22"/>
        </w:numPr>
        <w:rPr>
          <w:rFonts w:ascii="Arial" w:cs="Arial" w:eastAsia="Arial" w:hAnsi="Arial"/>
          <w:sz w:val="18"/>
          <w:szCs w:val="18"/>
          <w:color w:val="53C072"/>
        </w:rPr>
      </w:pPr>
      <w:r>
        <w:rPr>
          <w:rFonts w:ascii="Arial" w:cs="Arial" w:eastAsia="Arial" w:hAnsi="Arial"/>
          <w:sz w:val="18"/>
          <w:szCs w:val="18"/>
          <w:color w:val="auto"/>
        </w:rPr>
        <w:t>A description of all agreements, arrangements, or understandings between the shareholder and the Director candidate;</w:t>
      </w:r>
    </w:p>
    <w:p>
      <w:pPr>
        <w:spacing w:after="0" w:line="31" w:lineRule="exact"/>
        <w:rPr>
          <w:rFonts w:ascii="Arial" w:cs="Arial" w:eastAsia="Arial" w:hAnsi="Arial"/>
          <w:sz w:val="18"/>
          <w:szCs w:val="18"/>
          <w:color w:val="53C072"/>
        </w:rPr>
      </w:pPr>
    </w:p>
    <w:p>
      <w:pPr>
        <w:ind w:left="1620" w:right="279" w:hanging="270"/>
        <w:spacing w:after="0" w:line="287" w:lineRule="auto"/>
        <w:tabs>
          <w:tab w:leader="none" w:pos="1620" w:val="left"/>
        </w:tabs>
        <w:numPr>
          <w:ilvl w:val="0"/>
          <w:numId w:val="22"/>
        </w:numPr>
        <w:rPr>
          <w:rFonts w:ascii="Arial" w:cs="Arial" w:eastAsia="Arial" w:hAnsi="Arial"/>
          <w:sz w:val="18"/>
          <w:szCs w:val="18"/>
          <w:color w:val="53C072"/>
        </w:rPr>
      </w:pPr>
      <w:r>
        <w:rPr>
          <w:rFonts w:ascii="Arial" w:cs="Arial" w:eastAsia="Arial" w:hAnsi="Arial"/>
          <w:sz w:val="18"/>
          <w:szCs w:val="18"/>
          <w:color w:val="auto"/>
        </w:rPr>
        <w:t>The candidate’s consent to be contacted by a representative of the Corporate Governance Committee for interviews and his or her agreement to provide further information if needed;</w:t>
      </w:r>
    </w:p>
    <w:p>
      <w:pPr>
        <w:spacing w:after="0" w:line="107"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34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400" w:type="dxa"/>
            <w:vAlign w:val="bottom"/>
            <w:vMerge w:val="restart"/>
          </w:tcPr>
          <w:p>
            <w:pPr>
              <w:ind w:left="2960"/>
              <w:spacing w:after="0"/>
              <w:rPr>
                <w:sz w:val="20"/>
                <w:szCs w:val="20"/>
                <w:color w:val="auto"/>
              </w:rPr>
            </w:pPr>
            <w:r>
              <w:rPr>
                <w:rFonts w:ascii="Arial" w:cs="Arial" w:eastAsia="Arial" w:hAnsi="Arial"/>
                <w:sz w:val="14"/>
                <w:szCs w:val="14"/>
                <w:color w:val="auto"/>
                <w:w w:val="99"/>
              </w:rPr>
              <w:t>Corporate Governance</w:t>
            </w:r>
          </w:p>
        </w:tc>
        <w:tc>
          <w:tcPr>
            <w:tcW w:w="0" w:type="dxa"/>
            <w:vAlign w:val="bottom"/>
          </w:tcPr>
          <w:p>
            <w:pPr>
              <w:spacing w:after="0"/>
              <w:rPr>
                <w:sz w:val="1"/>
                <w:szCs w:val="1"/>
                <w:color w:val="auto"/>
              </w:rPr>
            </w:pPr>
          </w:p>
        </w:tc>
      </w:tr>
      <w:tr>
        <w:trPr>
          <w:trHeight w:val="88"/>
        </w:trPr>
        <w:tc>
          <w:tcPr>
            <w:tcW w:w="53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340" w:type="dxa"/>
            <w:vAlign w:val="bottom"/>
            <w:vMerge w:val="continue"/>
          </w:tcPr>
          <w:p>
            <w:pPr>
              <w:spacing w:after="0"/>
              <w:rPr>
                <w:sz w:val="11"/>
                <w:szCs w:val="11"/>
                <w:color w:val="auto"/>
              </w:rPr>
            </w:pPr>
          </w:p>
        </w:tc>
        <w:tc>
          <w:tcPr>
            <w:tcW w:w="4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620" w:hanging="270"/>
        <w:spacing w:after="0"/>
        <w:tabs>
          <w:tab w:leader="none" w:pos="1620" w:val="left"/>
        </w:tabs>
        <w:numPr>
          <w:ilvl w:val="0"/>
          <w:numId w:val="23"/>
        </w:numPr>
        <w:rPr>
          <w:rFonts w:ascii="Arial" w:cs="Arial" w:eastAsia="Arial" w:hAnsi="Arial"/>
          <w:sz w:val="18"/>
          <w:szCs w:val="18"/>
          <w:color w:val="53C072"/>
        </w:rPr>
      </w:pPr>
      <w:r>
        <w:rPr>
          <w:rFonts w:ascii="Arial" w:cs="Arial" w:eastAsia="Arial" w:hAnsi="Arial"/>
          <w:sz w:val="18"/>
          <w:szCs w:val="18"/>
          <w:color w:val="auto"/>
        </w:rPr>
        <w:t>The candidate’s consent for a background check; and</w:t>
      </w:r>
    </w:p>
    <w:p>
      <w:pPr>
        <w:spacing w:after="0" w:line="117" w:lineRule="exact"/>
        <w:rPr>
          <w:rFonts w:ascii="Arial" w:cs="Arial" w:eastAsia="Arial" w:hAnsi="Arial"/>
          <w:sz w:val="18"/>
          <w:szCs w:val="18"/>
          <w:color w:val="53C072"/>
        </w:rPr>
      </w:pPr>
    </w:p>
    <w:p>
      <w:pPr>
        <w:ind w:left="1620" w:hanging="270"/>
        <w:spacing w:after="0"/>
        <w:tabs>
          <w:tab w:leader="none" w:pos="1620" w:val="left"/>
        </w:tabs>
        <w:numPr>
          <w:ilvl w:val="0"/>
          <w:numId w:val="23"/>
        </w:numPr>
        <w:rPr>
          <w:rFonts w:ascii="Arial" w:cs="Arial" w:eastAsia="Arial" w:hAnsi="Arial"/>
          <w:sz w:val="18"/>
          <w:szCs w:val="18"/>
          <w:color w:val="53C072"/>
        </w:rPr>
      </w:pPr>
      <w:r>
        <w:rPr>
          <w:rFonts w:ascii="Arial" w:cs="Arial" w:eastAsia="Arial" w:hAnsi="Arial"/>
          <w:sz w:val="18"/>
          <w:szCs w:val="18"/>
          <w:color w:val="auto"/>
        </w:rPr>
        <w:t>The candidate’s consent to serve as a Director, if nominated and elected.</w:t>
      </w:r>
    </w:p>
    <w:p>
      <w:pPr>
        <w:spacing w:after="0" w:line="158" w:lineRule="exact"/>
        <w:rPr>
          <w:sz w:val="20"/>
          <w:szCs w:val="20"/>
          <w:color w:val="auto"/>
        </w:rPr>
      </w:pPr>
    </w:p>
    <w:p>
      <w:pPr>
        <w:ind w:left="1000" w:right="279"/>
        <w:spacing w:after="0" w:line="260" w:lineRule="auto"/>
        <w:rPr>
          <w:sz w:val="20"/>
          <w:szCs w:val="20"/>
          <w:color w:val="auto"/>
        </w:rPr>
      </w:pPr>
      <w:r>
        <w:rPr>
          <w:rFonts w:ascii="Arial" w:cs="Arial" w:eastAsia="Arial" w:hAnsi="Arial"/>
          <w:sz w:val="18"/>
          <w:szCs w:val="18"/>
          <w:color w:val="auto"/>
        </w:rPr>
        <w:t>Shareholders may also nominate a candidate for election at an annual meeting of shareholders and may have the candidate included on the Company’s proxy card if additional requirements under the By-laws and</w:t>
      </w:r>
    </w:p>
    <w:p>
      <w:pPr>
        <w:spacing w:after="0" w:line="2" w:lineRule="exact"/>
        <w:rPr>
          <w:sz w:val="20"/>
          <w:szCs w:val="20"/>
          <w:color w:val="auto"/>
        </w:rPr>
      </w:pPr>
    </w:p>
    <w:p>
      <w:pPr>
        <w:ind w:left="1000" w:right="319"/>
        <w:spacing w:after="0" w:line="258" w:lineRule="auto"/>
        <w:rPr>
          <w:sz w:val="20"/>
          <w:szCs w:val="20"/>
          <w:color w:val="auto"/>
        </w:rPr>
      </w:pPr>
      <w:r>
        <w:rPr>
          <w:rFonts w:ascii="Arial" w:cs="Arial" w:eastAsia="Arial" w:hAnsi="Arial"/>
          <w:sz w:val="18"/>
          <w:szCs w:val="18"/>
          <w:color w:val="auto"/>
        </w:rPr>
        <w:t>Rule 14a-19 of the Securities Exchange Act of 1934, as amended (the “Exchange Act”) are met. Details regarding these nomination procedures and the required notice and information are set forth elsewhere in this Proxy Statement under the heading “Shareholder Proposals and Nominations.”</w:t>
      </w:r>
    </w:p>
    <w:p>
      <w:pPr>
        <w:spacing w:after="0" w:line="16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BOARD AND COMMITTEE EVALUATION</w:t>
      </w:r>
    </w:p>
    <w:p>
      <w:pPr>
        <w:spacing w:after="0" w:line="148" w:lineRule="exact"/>
        <w:rPr>
          <w:sz w:val="20"/>
          <w:szCs w:val="20"/>
          <w:color w:val="auto"/>
        </w:rPr>
      </w:pPr>
    </w:p>
    <w:p>
      <w:pPr>
        <w:ind w:left="1000" w:right="159"/>
        <w:spacing w:after="0" w:line="275" w:lineRule="auto"/>
        <w:rPr>
          <w:sz w:val="20"/>
          <w:szCs w:val="20"/>
          <w:color w:val="auto"/>
        </w:rPr>
      </w:pPr>
      <w:r>
        <w:rPr>
          <w:rFonts w:ascii="Arial" w:cs="Arial" w:eastAsia="Arial" w:hAnsi="Arial"/>
          <w:sz w:val="17"/>
          <w:szCs w:val="17"/>
          <w:color w:val="auto"/>
        </w:rPr>
        <w:t>The Board recognizes that a thorough, constructive evaluation process enhances the Board’s effectiveness and is an important element of good corporate governance. The evaluations are conducted using a digital assessment tool and Director interviews. In odd numbered years, the Board Chair and Governance Committee Chair conduct individual Director interviews. In even numbered years, an outside consultant conducts Director interviews, including individual Director 360 assessments. The evaluations assess both the Board and each standing committee. Interviews are structured and solicit feedback on a range of topics, including:</w:t>
      </w:r>
    </w:p>
    <w:p>
      <w:pPr>
        <w:spacing w:after="0" w:line="60" w:lineRule="exact"/>
        <w:rPr>
          <w:sz w:val="20"/>
          <w:szCs w:val="20"/>
          <w:color w:val="auto"/>
        </w:rPr>
      </w:pPr>
    </w:p>
    <w:p>
      <w:pPr>
        <w:ind w:left="1620" w:hanging="270"/>
        <w:spacing w:after="0"/>
        <w:tabs>
          <w:tab w:leader="none" w:pos="1620" w:val="left"/>
        </w:tabs>
        <w:numPr>
          <w:ilvl w:val="0"/>
          <w:numId w:val="24"/>
        </w:numPr>
        <w:rPr>
          <w:rFonts w:ascii="Arial" w:cs="Arial" w:eastAsia="Arial" w:hAnsi="Arial"/>
          <w:sz w:val="18"/>
          <w:szCs w:val="18"/>
          <w:color w:val="53C072"/>
        </w:rPr>
      </w:pPr>
      <w:r>
        <w:rPr>
          <w:rFonts w:ascii="Arial" w:cs="Arial" w:eastAsia="Arial" w:hAnsi="Arial"/>
          <w:sz w:val="18"/>
          <w:szCs w:val="18"/>
          <w:color w:val="auto"/>
        </w:rPr>
        <w:t>Board and committee structure, effectiveness, composition, leadership, culture, and skillsets;</w:t>
      </w:r>
    </w:p>
    <w:p>
      <w:pPr>
        <w:spacing w:after="0" w:line="117" w:lineRule="exact"/>
        <w:rPr>
          <w:rFonts w:ascii="Arial" w:cs="Arial" w:eastAsia="Arial" w:hAnsi="Arial"/>
          <w:sz w:val="18"/>
          <w:szCs w:val="18"/>
          <w:color w:val="53C072"/>
        </w:rPr>
      </w:pPr>
    </w:p>
    <w:p>
      <w:pPr>
        <w:ind w:left="1620" w:hanging="270"/>
        <w:spacing w:after="0"/>
        <w:tabs>
          <w:tab w:leader="none" w:pos="1620" w:val="left"/>
        </w:tabs>
        <w:numPr>
          <w:ilvl w:val="0"/>
          <w:numId w:val="24"/>
        </w:numPr>
        <w:rPr>
          <w:rFonts w:ascii="Arial" w:cs="Arial" w:eastAsia="Arial" w:hAnsi="Arial"/>
          <w:sz w:val="18"/>
          <w:szCs w:val="18"/>
          <w:color w:val="53C072"/>
        </w:rPr>
      </w:pPr>
      <w:r>
        <w:rPr>
          <w:rFonts w:ascii="Arial" w:cs="Arial" w:eastAsia="Arial" w:hAnsi="Arial"/>
          <w:sz w:val="18"/>
          <w:szCs w:val="18"/>
          <w:color w:val="auto"/>
        </w:rPr>
        <w:t>meeting structure, dynamics, and materials;</w:t>
      </w:r>
    </w:p>
    <w:p>
      <w:pPr>
        <w:spacing w:after="0" w:line="117" w:lineRule="exact"/>
        <w:rPr>
          <w:rFonts w:ascii="Arial" w:cs="Arial" w:eastAsia="Arial" w:hAnsi="Arial"/>
          <w:sz w:val="18"/>
          <w:szCs w:val="18"/>
          <w:color w:val="53C072"/>
        </w:rPr>
      </w:pPr>
    </w:p>
    <w:p>
      <w:pPr>
        <w:ind w:left="1620" w:right="519" w:hanging="270"/>
        <w:spacing w:after="0" w:line="318" w:lineRule="auto"/>
        <w:tabs>
          <w:tab w:leader="none" w:pos="1620" w:val="left"/>
        </w:tabs>
        <w:numPr>
          <w:ilvl w:val="0"/>
          <w:numId w:val="24"/>
        </w:numPr>
        <w:rPr>
          <w:rFonts w:ascii="Arial" w:cs="Arial" w:eastAsia="Arial" w:hAnsi="Arial"/>
          <w:sz w:val="17"/>
          <w:szCs w:val="17"/>
          <w:color w:val="53C072"/>
        </w:rPr>
      </w:pPr>
      <w:r>
        <w:rPr>
          <w:rFonts w:ascii="Arial" w:cs="Arial" w:eastAsia="Arial" w:hAnsi="Arial"/>
          <w:sz w:val="17"/>
          <w:szCs w:val="17"/>
          <w:color w:val="auto"/>
        </w:rPr>
        <w:t>execution of key responsibilities, including oversight of corporate strategy, finance, CEO and senior leadership succession, enterprise risk management and resiliency, technology, and cybersecurity;</w:t>
      </w:r>
    </w:p>
    <w:p>
      <w:pPr>
        <w:spacing w:after="0" w:line="21" w:lineRule="exact"/>
        <w:rPr>
          <w:rFonts w:ascii="Arial" w:cs="Arial" w:eastAsia="Arial" w:hAnsi="Arial"/>
          <w:sz w:val="17"/>
          <w:szCs w:val="17"/>
          <w:color w:val="53C072"/>
        </w:rPr>
      </w:pPr>
    </w:p>
    <w:p>
      <w:pPr>
        <w:ind w:left="1620" w:hanging="270"/>
        <w:spacing w:after="0"/>
        <w:tabs>
          <w:tab w:leader="none" w:pos="1620" w:val="left"/>
        </w:tabs>
        <w:numPr>
          <w:ilvl w:val="0"/>
          <w:numId w:val="24"/>
        </w:numPr>
        <w:rPr>
          <w:rFonts w:ascii="Arial" w:cs="Arial" w:eastAsia="Arial" w:hAnsi="Arial"/>
          <w:sz w:val="18"/>
          <w:szCs w:val="18"/>
          <w:color w:val="53C072"/>
        </w:rPr>
      </w:pPr>
      <w:r>
        <w:rPr>
          <w:rFonts w:ascii="Arial" w:cs="Arial" w:eastAsia="Arial" w:hAnsi="Arial"/>
          <w:sz w:val="18"/>
          <w:szCs w:val="18"/>
          <w:color w:val="auto"/>
        </w:rPr>
        <w:t>interaction with management;</w:t>
      </w:r>
    </w:p>
    <w:p>
      <w:pPr>
        <w:spacing w:after="0" w:line="117" w:lineRule="exact"/>
        <w:rPr>
          <w:rFonts w:ascii="Arial" w:cs="Arial" w:eastAsia="Arial" w:hAnsi="Arial"/>
          <w:sz w:val="18"/>
          <w:szCs w:val="18"/>
          <w:color w:val="53C072"/>
        </w:rPr>
      </w:pPr>
    </w:p>
    <w:p>
      <w:pPr>
        <w:ind w:left="1620" w:hanging="270"/>
        <w:spacing w:after="0"/>
        <w:tabs>
          <w:tab w:leader="none" w:pos="1620" w:val="left"/>
        </w:tabs>
        <w:numPr>
          <w:ilvl w:val="0"/>
          <w:numId w:val="24"/>
        </w:numPr>
        <w:rPr>
          <w:rFonts w:ascii="Arial" w:cs="Arial" w:eastAsia="Arial" w:hAnsi="Arial"/>
          <w:sz w:val="18"/>
          <w:szCs w:val="18"/>
          <w:color w:val="53C072"/>
        </w:rPr>
      </w:pPr>
      <w:r>
        <w:rPr>
          <w:rFonts w:ascii="Arial" w:cs="Arial" w:eastAsia="Arial" w:hAnsi="Arial"/>
          <w:sz w:val="18"/>
          <w:szCs w:val="18"/>
          <w:color w:val="auto"/>
        </w:rPr>
        <w:t>information and resources made available; and</w:t>
      </w:r>
    </w:p>
    <w:p>
      <w:pPr>
        <w:spacing w:after="0" w:line="117" w:lineRule="exact"/>
        <w:rPr>
          <w:rFonts w:ascii="Arial" w:cs="Arial" w:eastAsia="Arial" w:hAnsi="Arial"/>
          <w:sz w:val="18"/>
          <w:szCs w:val="18"/>
          <w:color w:val="53C072"/>
        </w:rPr>
      </w:pPr>
    </w:p>
    <w:p>
      <w:pPr>
        <w:ind w:left="1620" w:hanging="270"/>
        <w:spacing w:after="0"/>
        <w:tabs>
          <w:tab w:leader="none" w:pos="1620" w:val="left"/>
        </w:tabs>
        <w:numPr>
          <w:ilvl w:val="0"/>
          <w:numId w:val="24"/>
        </w:numPr>
        <w:rPr>
          <w:rFonts w:ascii="Arial" w:cs="Arial" w:eastAsia="Arial" w:hAnsi="Arial"/>
          <w:sz w:val="18"/>
          <w:szCs w:val="18"/>
          <w:color w:val="53C072"/>
        </w:rPr>
      </w:pPr>
      <w:r>
        <w:rPr>
          <w:rFonts w:ascii="Arial" w:cs="Arial" w:eastAsia="Arial" w:hAnsi="Arial"/>
          <w:sz w:val="18"/>
          <w:szCs w:val="18"/>
          <w:color w:val="auto"/>
        </w:rPr>
        <w:t>for newer Directors, onboarding practices.</w:t>
      </w:r>
    </w:p>
    <w:p>
      <w:pPr>
        <w:spacing w:after="0" w:line="215"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2025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132080</wp:posOffset>
            </wp:positionV>
            <wp:extent cx="5391785" cy="30518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9178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20     </w:t>
      </w:r>
      <w:r>
        <w:rPr>
          <w:sz w:val="1"/>
          <w:szCs w:val="1"/>
          <w:color w:val="auto"/>
        </w:rPr>
        <w:drawing>
          <wp:inline distT="0" distB="0" distL="0" distR="0">
            <wp:extent cx="1242695" cy="24003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34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400" w:type="dxa"/>
            <w:vAlign w:val="bottom"/>
            <w:vMerge w:val="restart"/>
          </w:tcPr>
          <w:p>
            <w:pPr>
              <w:ind w:left="2960"/>
              <w:spacing w:after="0"/>
              <w:rPr>
                <w:sz w:val="20"/>
                <w:szCs w:val="20"/>
                <w:color w:val="auto"/>
              </w:rPr>
            </w:pPr>
            <w:r>
              <w:rPr>
                <w:rFonts w:ascii="Arial" w:cs="Arial" w:eastAsia="Arial" w:hAnsi="Arial"/>
                <w:sz w:val="14"/>
                <w:szCs w:val="14"/>
                <w:color w:val="auto"/>
                <w:w w:val="99"/>
              </w:rPr>
              <w:t>Corporate Governance</w:t>
            </w:r>
          </w:p>
        </w:tc>
        <w:tc>
          <w:tcPr>
            <w:tcW w:w="0" w:type="dxa"/>
            <w:vAlign w:val="bottom"/>
          </w:tcPr>
          <w:p>
            <w:pPr>
              <w:spacing w:after="0"/>
              <w:rPr>
                <w:sz w:val="1"/>
                <w:szCs w:val="1"/>
                <w:color w:val="auto"/>
              </w:rPr>
            </w:pPr>
          </w:p>
        </w:tc>
      </w:tr>
      <w:tr>
        <w:trPr>
          <w:trHeight w:val="88"/>
        </w:trPr>
        <w:tc>
          <w:tcPr>
            <w:tcW w:w="53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340" w:type="dxa"/>
            <w:vAlign w:val="bottom"/>
            <w:vMerge w:val="continue"/>
          </w:tcPr>
          <w:p>
            <w:pPr>
              <w:spacing w:after="0"/>
              <w:rPr>
                <w:sz w:val="11"/>
                <w:szCs w:val="11"/>
                <w:color w:val="auto"/>
              </w:rPr>
            </w:pPr>
          </w:p>
        </w:tc>
        <w:tc>
          <w:tcPr>
            <w:tcW w:w="4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THE BOARD’S ROLE IN MANAGEMENT SUCCESSION</w:t>
      </w:r>
    </w:p>
    <w:p>
      <w:pPr>
        <w:spacing w:after="0" w:line="162" w:lineRule="exact"/>
        <w:rPr>
          <w:sz w:val="20"/>
          <w:szCs w:val="20"/>
          <w:color w:val="auto"/>
        </w:rPr>
      </w:pPr>
    </w:p>
    <w:p>
      <w:pPr>
        <w:ind w:left="1000" w:right="159"/>
        <w:spacing w:after="0" w:line="245" w:lineRule="auto"/>
        <w:rPr>
          <w:sz w:val="20"/>
          <w:szCs w:val="20"/>
          <w:color w:val="auto"/>
        </w:rPr>
      </w:pPr>
      <w:r>
        <w:rPr>
          <w:rFonts w:ascii="Arial" w:cs="Arial" w:eastAsia="Arial" w:hAnsi="Arial"/>
          <w:sz w:val="18"/>
          <w:szCs w:val="18"/>
          <w:color w:val="auto"/>
        </w:rPr>
        <w:t>The Board of Directors is actively engaged in talent management, with support from the Corporate Governance Committee and the Compensation and Leadership Development Committee. The committees regularly review and discuss management succession plans to provide for continuity in and development of senior management, which includes emergency CEO succession, CEO succession in the ordinary course of business, and succession for other members of senior management. The Board receives updates on the succession plan from the Company’s CEO and chief human resources officer at least semi-annually.</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THE BOARD’S ROLE IN RISK OVERSIGHT</w:t>
      </w:r>
    </w:p>
    <w:p>
      <w:pPr>
        <w:spacing w:after="0" w:line="148" w:lineRule="exact"/>
        <w:rPr>
          <w:sz w:val="20"/>
          <w:szCs w:val="20"/>
          <w:color w:val="auto"/>
        </w:rPr>
      </w:pPr>
    </w:p>
    <w:p>
      <w:pPr>
        <w:ind w:left="1000" w:right="159"/>
        <w:spacing w:after="0" w:line="244" w:lineRule="auto"/>
        <w:rPr>
          <w:sz w:val="20"/>
          <w:szCs w:val="20"/>
          <w:color w:val="auto"/>
        </w:rPr>
      </w:pPr>
      <w:r>
        <w:rPr>
          <w:rFonts w:ascii="Arial" w:cs="Arial" w:eastAsia="Arial" w:hAnsi="Arial"/>
          <w:sz w:val="18"/>
          <w:szCs w:val="18"/>
          <w:color w:val="auto"/>
        </w:rPr>
        <w:t>The Board oversees the Company’s enterprise risk management and resiliency program, whereby management identifies the top individual risks they believe the Company faces with respect to its business, operations, strategy, and other factors, based on input from key business and functional leaders in the Company. Management evaluates the key risks, current mitigation activity, and potential new or enhanced mitigation activity to manage such risks. At least annually, management discusses the identified risks and risk mitigation efforts with the Board. The Board allocates responsibility to examine a particular risk in detail to the committee that is in the best position to review and assess the risk. For example, the Audit Committee oversees risks related to accounting/financial reporting; the Technology and Risk Committee oversees risks related to cybersecurity and ethics and compliance programs; and the Compensation and Leadership Development Committee oversees risks related to compensation programs.</w:t>
      </w:r>
    </w:p>
    <w:p>
      <w:pPr>
        <w:spacing w:after="0" w:line="168"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SUSTAINABILITY</w:t>
      </w:r>
    </w:p>
    <w:p>
      <w:pPr>
        <w:spacing w:after="0" w:line="162" w:lineRule="exact"/>
        <w:rPr>
          <w:sz w:val="20"/>
          <w:szCs w:val="20"/>
          <w:color w:val="auto"/>
        </w:rPr>
      </w:pPr>
    </w:p>
    <w:p>
      <w:pPr>
        <w:ind w:left="1000" w:right="499"/>
        <w:spacing w:after="0" w:line="252" w:lineRule="auto"/>
        <w:rPr>
          <w:sz w:val="20"/>
          <w:szCs w:val="20"/>
          <w:color w:val="auto"/>
        </w:rPr>
      </w:pPr>
      <w:r>
        <w:rPr>
          <w:rFonts w:ascii="Arial" w:cs="Arial" w:eastAsia="Arial" w:hAnsi="Arial"/>
          <w:sz w:val="18"/>
          <w:szCs w:val="18"/>
          <w:color w:val="auto"/>
        </w:rPr>
        <w:t>The Company is committed to sustainability by creating sustainable operations and enabling technology solutions that improve lives. The Company strives to do the right thing and remain accountable to its key stakeholders by protecting the environment, embracing sustainability and inclusiveness, and ensuring good corporate governance.</w:t>
      </w:r>
    </w:p>
    <w:p>
      <w:pPr>
        <w:spacing w:after="0" w:line="103" w:lineRule="exact"/>
        <w:rPr>
          <w:sz w:val="20"/>
          <w:szCs w:val="20"/>
          <w:color w:val="auto"/>
        </w:rPr>
      </w:pPr>
    </w:p>
    <w:p>
      <w:pPr>
        <w:jc w:val="both"/>
        <w:ind w:left="1000" w:right="459"/>
        <w:spacing w:after="0" w:line="275" w:lineRule="auto"/>
        <w:rPr>
          <w:sz w:val="20"/>
          <w:szCs w:val="20"/>
          <w:color w:val="auto"/>
        </w:rPr>
      </w:pPr>
      <w:r>
        <w:rPr>
          <w:rFonts w:ascii="Arial" w:cs="Arial" w:eastAsia="Arial" w:hAnsi="Arial"/>
          <w:sz w:val="17"/>
          <w:szCs w:val="17"/>
          <w:color w:val="auto"/>
        </w:rPr>
        <w:t>The Company uses the Sustainability Accounting Standards Board (SASB) standards, the Global Reporting Initiative (GRI) standards, the Task Force on Climate-related Disclosures (TCFD) framework, and the United Nation’s Sustainable Development Goals to assist in forming the basis for its ESG reporting.</w:t>
      </w:r>
    </w:p>
    <w:p>
      <w:pPr>
        <w:spacing w:after="0" w:line="84" w:lineRule="exact"/>
        <w:rPr>
          <w:sz w:val="20"/>
          <w:szCs w:val="20"/>
          <w:color w:val="auto"/>
        </w:rPr>
      </w:pPr>
    </w:p>
    <w:p>
      <w:pPr>
        <w:ind w:left="1000" w:right="159"/>
        <w:spacing w:after="0" w:line="246" w:lineRule="auto"/>
        <w:rPr>
          <w:sz w:val="20"/>
          <w:szCs w:val="20"/>
          <w:color w:val="auto"/>
        </w:rPr>
      </w:pPr>
      <w:r>
        <w:rPr>
          <w:rFonts w:ascii="Arial" w:cs="Arial" w:eastAsia="Arial" w:hAnsi="Arial"/>
          <w:sz w:val="18"/>
          <w:szCs w:val="18"/>
          <w:color w:val="auto"/>
        </w:rPr>
        <w:t xml:space="preserve">The Company’s annual sustainability reports and additional information about the Company’s sustainability strategy, initiatives, and goals (including its commitment to human rights, philanthropy and community engagement, talent management, supply chain management, and data security and privacy, as well as progress on initiatives and goals) and relevant policies, are located at: </w:t>
      </w:r>
      <w:r>
        <w:rPr>
          <w:rFonts w:ascii="Arial" w:cs="Arial" w:eastAsia="Arial" w:hAnsi="Arial"/>
          <w:sz w:val="18"/>
          <w:szCs w:val="18"/>
          <w:u w:val="single" w:color="auto"/>
          <w:color w:val="auto"/>
        </w:rPr>
        <w:t>https://www.avnet.com/wps/portal/us/</w:t>
      </w:r>
      <w:r>
        <w:rPr>
          <w:rFonts w:ascii="Arial" w:cs="Arial" w:eastAsia="Arial" w:hAnsi="Arial"/>
          <w:sz w:val="18"/>
          <w:szCs w:val="18"/>
          <w:color w:val="auto"/>
        </w:rPr>
        <w:t xml:space="preserve">​ </w:t>
      </w:r>
      <w:r>
        <w:rPr>
          <w:rFonts w:ascii="Arial" w:cs="Arial" w:eastAsia="Arial" w:hAnsi="Arial"/>
          <w:sz w:val="18"/>
          <w:szCs w:val="18"/>
          <w:u w:val="single" w:color="auto"/>
          <w:color w:val="auto"/>
        </w:rPr>
        <w:t>about-avnet/ corporate-social-responsibility/</w:t>
      </w:r>
      <w:r>
        <w:rPr>
          <w:rFonts w:ascii="Arial" w:cs="Arial" w:eastAsia="Arial" w:hAnsi="Arial"/>
          <w:sz w:val="18"/>
          <w:szCs w:val="18"/>
          <w:color w:val="auto"/>
        </w:rPr>
        <w:t>​. The content of the sustainability reports and the Company’s website are not incorporated by reference in this Proxy Statement or otherwise filed with the U.S. Securities and Exchange Commission (the “SEC”).</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SUSTAINABILITY GOVERNANCE AND BOARD OVERSIGHT</w:t>
      </w:r>
    </w:p>
    <w:p>
      <w:pPr>
        <w:spacing w:after="0" w:line="148" w:lineRule="exact"/>
        <w:rPr>
          <w:sz w:val="20"/>
          <w:szCs w:val="20"/>
          <w:color w:val="auto"/>
        </w:rPr>
      </w:pPr>
    </w:p>
    <w:p>
      <w:pPr>
        <w:ind w:left="1000" w:right="299"/>
        <w:spacing w:after="0" w:line="261" w:lineRule="auto"/>
        <w:rPr>
          <w:sz w:val="20"/>
          <w:szCs w:val="20"/>
          <w:color w:val="auto"/>
        </w:rPr>
      </w:pPr>
      <w:r>
        <w:rPr>
          <w:rFonts w:ascii="Arial" w:cs="Arial" w:eastAsia="Arial" w:hAnsi="Arial"/>
          <w:sz w:val="18"/>
          <w:szCs w:val="18"/>
          <w:color w:val="auto"/>
        </w:rPr>
        <w:t>The Board of Directors oversees the Company’s sustainability strategies and initiatives and conducts a review annually. The Board further allocates oversight of certain sustainability-related issues to appropriate Board committees.</w:t>
      </w:r>
    </w:p>
    <w:p>
      <w:pPr>
        <w:spacing w:after="0" w:line="94" w:lineRule="exact"/>
        <w:rPr>
          <w:sz w:val="20"/>
          <w:szCs w:val="20"/>
          <w:color w:val="auto"/>
        </w:rPr>
      </w:pPr>
    </w:p>
    <w:p>
      <w:pPr>
        <w:ind w:left="1000" w:right="199"/>
        <w:spacing w:after="0" w:line="243" w:lineRule="auto"/>
        <w:rPr>
          <w:sz w:val="20"/>
          <w:szCs w:val="20"/>
          <w:color w:val="auto"/>
        </w:rPr>
      </w:pPr>
      <w:r>
        <w:rPr>
          <w:rFonts w:ascii="Arial" w:cs="Arial" w:eastAsia="Arial" w:hAnsi="Arial"/>
          <w:sz w:val="18"/>
          <w:szCs w:val="18"/>
          <w:color w:val="auto"/>
        </w:rPr>
        <w:t>The Board’s Corporate Governance Committee provides primary oversight of the Company’s sustainability initiatives and reporting, and it receives management reports at least bi-annually. With guidance from the Board and the Corporate Governance Committee, the Avnet Leadership Team (“ALT”), which is made up of Avnet’s executive officers, provides resources to support the Company’s sustainability strategies and goals. The Sustainability Council, which is made up of Avnet executive leaders, meets quarterly and recommends sustainability strategies and policies to the ALT and oversees the implementation of approved initiatives. The Sustainability Working Team is made up of global representatives from different levels of management and generally meets monthly. It implements approved measures and integrates sustainability into the business strategy across the Company.</w:t>
      </w:r>
    </w:p>
    <w:p>
      <w:pPr>
        <w:spacing w:after="0" w:line="133"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34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400" w:type="dxa"/>
            <w:vAlign w:val="bottom"/>
            <w:vMerge w:val="restart"/>
          </w:tcPr>
          <w:p>
            <w:pPr>
              <w:ind w:left="2960"/>
              <w:spacing w:after="0"/>
              <w:rPr>
                <w:sz w:val="20"/>
                <w:szCs w:val="20"/>
                <w:color w:val="auto"/>
              </w:rPr>
            </w:pPr>
            <w:r>
              <w:rPr>
                <w:rFonts w:ascii="Arial" w:cs="Arial" w:eastAsia="Arial" w:hAnsi="Arial"/>
                <w:sz w:val="14"/>
                <w:szCs w:val="14"/>
                <w:color w:val="auto"/>
                <w:w w:val="99"/>
              </w:rPr>
              <w:t>Corporate Governance</w:t>
            </w:r>
          </w:p>
        </w:tc>
        <w:tc>
          <w:tcPr>
            <w:tcW w:w="0" w:type="dxa"/>
            <w:vAlign w:val="bottom"/>
          </w:tcPr>
          <w:p>
            <w:pPr>
              <w:spacing w:after="0"/>
              <w:rPr>
                <w:sz w:val="1"/>
                <w:szCs w:val="1"/>
                <w:color w:val="auto"/>
              </w:rPr>
            </w:pPr>
          </w:p>
        </w:tc>
      </w:tr>
      <w:tr>
        <w:trPr>
          <w:trHeight w:val="88"/>
        </w:trPr>
        <w:tc>
          <w:tcPr>
            <w:tcW w:w="53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340" w:type="dxa"/>
            <w:vAlign w:val="bottom"/>
            <w:vMerge w:val="continue"/>
          </w:tcPr>
          <w:p>
            <w:pPr>
              <w:spacing w:after="0"/>
              <w:rPr>
                <w:sz w:val="11"/>
                <w:szCs w:val="11"/>
                <w:color w:val="auto"/>
              </w:rPr>
            </w:pPr>
          </w:p>
        </w:tc>
        <w:tc>
          <w:tcPr>
            <w:tcW w:w="4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1000" w:right="579"/>
        <w:spacing w:after="0" w:line="259" w:lineRule="auto"/>
        <w:rPr>
          <w:sz w:val="20"/>
          <w:szCs w:val="20"/>
          <w:color w:val="auto"/>
        </w:rPr>
      </w:pPr>
      <w:r>
        <w:rPr>
          <w:rFonts w:ascii="Arial" w:cs="Arial" w:eastAsia="Arial" w:hAnsi="Arial"/>
          <w:sz w:val="17"/>
          <w:szCs w:val="17"/>
          <w:color w:val="auto"/>
        </w:rPr>
        <w:t>The Board’s Technology and Risk Committee provides oversight of the Company’s ethics and compliance program. Management reports on the program, including any allegations and related investigations, during</w:t>
      </w:r>
    </w:p>
    <w:p>
      <w:pPr>
        <w:spacing w:after="0" w:line="1" w:lineRule="exact"/>
        <w:rPr>
          <w:sz w:val="20"/>
          <w:szCs w:val="20"/>
          <w:color w:val="auto"/>
        </w:rPr>
      </w:pPr>
    </w:p>
    <w:p>
      <w:pPr>
        <w:ind w:left="1000" w:right="199"/>
        <w:spacing w:after="0"/>
        <w:rPr>
          <w:sz w:val="20"/>
          <w:szCs w:val="20"/>
          <w:color w:val="auto"/>
        </w:rPr>
      </w:pPr>
      <w:r>
        <w:rPr>
          <w:rFonts w:ascii="Arial" w:cs="Arial" w:eastAsia="Arial" w:hAnsi="Arial"/>
          <w:sz w:val="17"/>
          <w:szCs w:val="17"/>
          <w:color w:val="auto"/>
        </w:rPr>
        <w:t>quarterly committee meetings. The Corporate Ethics and Compliance Committee, which is made up of Avnet executive officers and leaders, provides oversight and guidance to the program at the corporate level. Regional</w:t>
      </w:r>
    </w:p>
    <w:p>
      <w:pPr>
        <w:ind w:left="1000"/>
        <w:spacing w:after="0" w:line="235" w:lineRule="auto"/>
        <w:rPr>
          <w:sz w:val="20"/>
          <w:szCs w:val="20"/>
          <w:color w:val="auto"/>
        </w:rPr>
      </w:pPr>
      <w:r>
        <w:rPr>
          <w:rFonts w:ascii="Arial" w:cs="Arial" w:eastAsia="Arial" w:hAnsi="Arial"/>
          <w:sz w:val="18"/>
          <w:szCs w:val="18"/>
          <w:color w:val="auto"/>
        </w:rPr>
        <w:t>Ethics and Compliance Committees provide oversight at regional levels. The Ethics and Compliance Office</w:t>
      </w:r>
    </w:p>
    <w:p>
      <w:pPr>
        <w:ind w:left="1000" w:right="199"/>
        <w:spacing w:after="0" w:line="237" w:lineRule="auto"/>
        <w:rPr>
          <w:sz w:val="20"/>
          <w:szCs w:val="20"/>
          <w:color w:val="auto"/>
        </w:rPr>
      </w:pPr>
      <w:r>
        <w:rPr>
          <w:rFonts w:ascii="Arial" w:cs="Arial" w:eastAsia="Arial" w:hAnsi="Arial"/>
          <w:sz w:val="18"/>
          <w:szCs w:val="18"/>
          <w:color w:val="auto"/>
        </w:rPr>
        <w:t>(“ECO”), led by the Vice President, Compliance and Operations, manages the day-to-day program with support from representations in each region.</w:t>
      </w:r>
    </w:p>
    <w:p>
      <w:pPr>
        <w:spacing w:after="0" w:line="113" w:lineRule="exact"/>
        <w:rPr>
          <w:sz w:val="20"/>
          <w:szCs w:val="20"/>
          <w:color w:val="auto"/>
        </w:rPr>
      </w:pPr>
    </w:p>
    <w:p>
      <w:pPr>
        <w:ind w:left="1000" w:right="659"/>
        <w:spacing w:after="0" w:line="251" w:lineRule="auto"/>
        <w:rPr>
          <w:sz w:val="20"/>
          <w:szCs w:val="20"/>
          <w:color w:val="auto"/>
        </w:rPr>
      </w:pPr>
      <w:r>
        <w:rPr>
          <w:rFonts w:ascii="Arial" w:cs="Arial" w:eastAsia="Arial" w:hAnsi="Arial"/>
          <w:sz w:val="17"/>
          <w:szCs w:val="17"/>
          <w:color w:val="auto"/>
        </w:rPr>
        <w:t>The Board’s Technology and Risk Committee also provides oversight of the Company’s data security and privacy program. Management reports on the program and cybersecurity incidents during each quarterly</w:t>
      </w:r>
    </w:p>
    <w:p>
      <w:pPr>
        <w:ind w:left="1000"/>
        <w:spacing w:after="0" w:line="235" w:lineRule="auto"/>
        <w:rPr>
          <w:sz w:val="20"/>
          <w:szCs w:val="20"/>
          <w:color w:val="auto"/>
        </w:rPr>
      </w:pPr>
      <w:r>
        <w:rPr>
          <w:rFonts w:ascii="Arial" w:cs="Arial" w:eastAsia="Arial" w:hAnsi="Arial"/>
          <w:sz w:val="18"/>
          <w:szCs w:val="18"/>
          <w:color w:val="auto"/>
        </w:rPr>
        <w:t>committee meeting. The program is managed by the Chief Information Officer. Measures taken to protect and</w:t>
      </w:r>
    </w:p>
    <w:p>
      <w:pPr>
        <w:ind w:left="1000" w:right="659"/>
        <w:spacing w:after="0"/>
        <w:rPr>
          <w:sz w:val="20"/>
          <w:szCs w:val="20"/>
          <w:color w:val="auto"/>
        </w:rPr>
      </w:pPr>
      <w:r>
        <w:rPr>
          <w:rFonts w:ascii="Arial" w:cs="Arial" w:eastAsia="Arial" w:hAnsi="Arial"/>
          <w:sz w:val="17"/>
          <w:szCs w:val="17"/>
          <w:color w:val="auto"/>
        </w:rPr>
        <w:t>secure the Company’s systems and information include implementing and enhancing information security controls, such as enterprise- wide firewalls, intrusion detection, email security, disaster recovery, and</w:t>
      </w:r>
    </w:p>
    <w:p>
      <w:pPr>
        <w:spacing w:after="0" w:line="1" w:lineRule="exact"/>
        <w:rPr>
          <w:sz w:val="20"/>
          <w:szCs w:val="20"/>
          <w:color w:val="auto"/>
        </w:rPr>
      </w:pPr>
    </w:p>
    <w:p>
      <w:pPr>
        <w:ind w:left="1000" w:right="439"/>
        <w:spacing w:after="0" w:line="250" w:lineRule="auto"/>
        <w:rPr>
          <w:sz w:val="20"/>
          <w:szCs w:val="20"/>
          <w:color w:val="auto"/>
        </w:rPr>
      </w:pPr>
      <w:r>
        <w:rPr>
          <w:rFonts w:ascii="Arial" w:cs="Arial" w:eastAsia="Arial" w:hAnsi="Arial"/>
          <w:sz w:val="18"/>
          <w:szCs w:val="18"/>
          <w:color w:val="auto"/>
        </w:rPr>
        <w:t>vulnerability management, as well as cybersecurity training for employees to enhance awareness of general security best practices, financial fraud, and phishing.</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COMPENSATION COMMITTEE INTERLOCKS AND INSIDER PARTICIPATION</w:t>
      </w:r>
    </w:p>
    <w:p>
      <w:pPr>
        <w:spacing w:after="0" w:line="148" w:lineRule="exact"/>
        <w:rPr>
          <w:sz w:val="20"/>
          <w:szCs w:val="20"/>
          <w:color w:val="auto"/>
        </w:rPr>
      </w:pPr>
    </w:p>
    <w:p>
      <w:pPr>
        <w:ind w:left="1000" w:right="539"/>
        <w:spacing w:after="0" w:line="251" w:lineRule="auto"/>
        <w:rPr>
          <w:sz w:val="20"/>
          <w:szCs w:val="20"/>
          <w:color w:val="auto"/>
        </w:rPr>
      </w:pPr>
      <w:r>
        <w:rPr>
          <w:rFonts w:ascii="Arial" w:cs="Arial" w:eastAsia="Arial" w:hAnsi="Arial"/>
          <w:sz w:val="17"/>
          <w:szCs w:val="17"/>
          <w:color w:val="auto"/>
        </w:rPr>
        <w:t>No member of the Compensation and Leadership Development Committee is a present or former officer or employee of the Company. During fiscal year 2025, no executive officer of the Company served on the</w:t>
      </w:r>
    </w:p>
    <w:p>
      <w:pPr>
        <w:spacing w:after="0" w:line="1" w:lineRule="exact"/>
        <w:rPr>
          <w:sz w:val="20"/>
          <w:szCs w:val="20"/>
          <w:color w:val="auto"/>
        </w:rPr>
      </w:pPr>
    </w:p>
    <w:p>
      <w:pPr>
        <w:ind w:left="1000" w:right="179"/>
        <w:spacing w:after="0" w:line="279" w:lineRule="auto"/>
        <w:rPr>
          <w:sz w:val="20"/>
          <w:szCs w:val="20"/>
          <w:color w:val="auto"/>
        </w:rPr>
      </w:pPr>
      <w:r>
        <w:rPr>
          <w:rFonts w:ascii="Arial" w:cs="Arial" w:eastAsia="Arial" w:hAnsi="Arial"/>
          <w:sz w:val="17"/>
          <w:szCs w:val="17"/>
          <w:color w:val="auto"/>
        </w:rPr>
        <w:t>compensation committee or any similar committee of any other entity or served as a director for any other entity whose executive officers served on the Company’s Compensation and Leadership Development Committee.</w:t>
      </w:r>
    </w:p>
    <w:p>
      <w:pPr>
        <w:spacing w:after="0" w:line="13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CODE OF CONDUCT</w:t>
      </w:r>
    </w:p>
    <w:p>
      <w:pPr>
        <w:spacing w:after="0" w:line="148" w:lineRule="exact"/>
        <w:rPr>
          <w:sz w:val="20"/>
          <w:szCs w:val="20"/>
          <w:color w:val="auto"/>
        </w:rPr>
      </w:pPr>
    </w:p>
    <w:p>
      <w:pPr>
        <w:ind w:left="1000" w:right="659"/>
        <w:spacing w:after="0" w:line="237" w:lineRule="auto"/>
        <w:rPr>
          <w:sz w:val="20"/>
          <w:szCs w:val="20"/>
          <w:color w:val="auto"/>
        </w:rPr>
      </w:pPr>
      <w:r>
        <w:rPr>
          <w:rFonts w:ascii="Arial" w:cs="Arial" w:eastAsia="Arial" w:hAnsi="Arial"/>
          <w:sz w:val="18"/>
          <w:szCs w:val="18"/>
          <w:color w:val="auto"/>
        </w:rPr>
        <w:t>The Company’s Code of Conduct applies to Directors, officers, and employees, including the CEO and all financial and accounting personnel. The Code of Conduct can be reviewed at</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7"/>
          <w:szCs w:val="17"/>
          <w:u w:val="single" w:color="auto"/>
          <w:color w:val="auto"/>
        </w:rPr>
        <w:t>https://www.ir.avnet.com/corporate-governance/governance-documents</w:t>
      </w:r>
      <w:r>
        <w:rPr>
          <w:rFonts w:ascii="Arial" w:cs="Arial" w:eastAsia="Arial" w:hAnsi="Arial"/>
          <w:sz w:val="17"/>
          <w:szCs w:val="17"/>
          <w:color w:val="auto"/>
        </w:rPr>
        <w:t>. Any future amendments to, or waivers</w:t>
      </w:r>
    </w:p>
    <w:p>
      <w:pPr>
        <w:spacing w:after="0" w:line="7" w:lineRule="exact"/>
        <w:rPr>
          <w:sz w:val="20"/>
          <w:szCs w:val="20"/>
          <w:color w:val="auto"/>
        </w:rPr>
      </w:pPr>
    </w:p>
    <w:p>
      <w:pPr>
        <w:ind w:left="1000" w:right="759"/>
        <w:spacing w:after="0" w:line="237" w:lineRule="auto"/>
        <w:rPr>
          <w:sz w:val="20"/>
          <w:szCs w:val="20"/>
          <w:color w:val="auto"/>
        </w:rPr>
      </w:pPr>
      <w:r>
        <w:rPr>
          <w:rFonts w:ascii="Arial" w:cs="Arial" w:eastAsia="Arial" w:hAnsi="Arial"/>
          <w:sz w:val="18"/>
          <w:szCs w:val="18"/>
          <w:color w:val="auto"/>
        </w:rPr>
        <w:t>for executive officers and Directors from certain provisions of, the Code of Conduct will be posted on the Company’s website.</w:t>
      </w:r>
    </w:p>
    <w:p>
      <w:pPr>
        <w:spacing w:after="0" w:line="185" w:lineRule="exact"/>
        <w:rPr>
          <w:sz w:val="20"/>
          <w:szCs w:val="20"/>
          <w:color w:val="auto"/>
        </w:rPr>
      </w:pPr>
    </w:p>
    <w:p>
      <w:pPr>
        <w:ind w:left="1000" w:right="779"/>
        <w:spacing w:after="0" w:line="259" w:lineRule="auto"/>
        <w:rPr>
          <w:sz w:val="20"/>
          <w:szCs w:val="20"/>
          <w:color w:val="auto"/>
        </w:rPr>
      </w:pPr>
      <w:r>
        <w:rPr>
          <w:rFonts w:ascii="Arial" w:cs="Arial" w:eastAsia="Arial" w:hAnsi="Arial"/>
          <w:sz w:val="22"/>
          <w:szCs w:val="22"/>
          <w:b w:val="1"/>
          <w:bCs w:val="1"/>
          <w:color w:val="53C072"/>
        </w:rPr>
        <w:t>POLICY AGAINST PLEDGING AND HEDGING ECONOMIC RISK OF OWNING THE COMPANY’S SECURITIES</w:t>
      </w:r>
    </w:p>
    <w:p>
      <w:pPr>
        <w:spacing w:after="0" w:line="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Company’s Insider Trading Policy expressly prohibits Directors, executive officers, and other employees</w:t>
      </w:r>
    </w:p>
    <w:p>
      <w:pPr>
        <w:spacing w:after="0" w:line="14" w:lineRule="exact"/>
        <w:rPr>
          <w:sz w:val="20"/>
          <w:szCs w:val="20"/>
          <w:color w:val="auto"/>
        </w:rPr>
      </w:pPr>
    </w:p>
    <w:p>
      <w:pPr>
        <w:ind w:left="1000" w:right="279"/>
        <w:spacing w:after="0"/>
        <w:rPr>
          <w:sz w:val="20"/>
          <w:szCs w:val="20"/>
          <w:color w:val="auto"/>
        </w:rPr>
      </w:pPr>
      <w:r>
        <w:rPr>
          <w:rFonts w:ascii="Arial" w:cs="Arial" w:eastAsia="Arial" w:hAnsi="Arial"/>
          <w:sz w:val="17"/>
          <w:szCs w:val="17"/>
          <w:color w:val="auto"/>
        </w:rPr>
        <w:t>determined by the Company as “Insiders” ​(including their family members, persons living in their household, and entities over which they exercise control) from entering into any financial transactions that are designed to</w:t>
      </w:r>
    </w:p>
    <w:p>
      <w:pPr>
        <w:ind w:left="1000"/>
        <w:spacing w:after="0" w:line="235" w:lineRule="auto"/>
        <w:rPr>
          <w:sz w:val="20"/>
          <w:szCs w:val="20"/>
          <w:color w:val="auto"/>
        </w:rPr>
      </w:pPr>
      <w:r>
        <w:rPr>
          <w:rFonts w:ascii="Arial" w:cs="Arial" w:eastAsia="Arial" w:hAnsi="Arial"/>
          <w:sz w:val="18"/>
          <w:szCs w:val="18"/>
          <w:color w:val="auto"/>
        </w:rPr>
        <w:t>hedge or offset any decrease in market value of the Company’s equity securities, including hedging or</w:t>
      </w:r>
    </w:p>
    <w:p>
      <w:pPr>
        <w:ind w:left="1000" w:right="219"/>
        <w:spacing w:after="0"/>
        <w:rPr>
          <w:sz w:val="20"/>
          <w:szCs w:val="20"/>
          <w:color w:val="auto"/>
        </w:rPr>
      </w:pPr>
      <w:r>
        <w:rPr>
          <w:rFonts w:ascii="Arial" w:cs="Arial" w:eastAsia="Arial" w:hAnsi="Arial"/>
          <w:sz w:val="17"/>
          <w:szCs w:val="17"/>
          <w:color w:val="auto"/>
        </w:rPr>
        <w:t>monetization transactions. Exceptions to the anti-hedging policy are not permitted. The policy similarly prohibits Insiders from holding the Company’s securities in a margin account and pledging the Company’s securities as</w:t>
      </w:r>
    </w:p>
    <w:p>
      <w:pPr>
        <w:ind w:left="1000"/>
        <w:spacing w:after="0" w:line="235" w:lineRule="auto"/>
        <w:rPr>
          <w:sz w:val="20"/>
          <w:szCs w:val="20"/>
          <w:color w:val="auto"/>
        </w:rPr>
      </w:pPr>
      <w:r>
        <w:rPr>
          <w:rFonts w:ascii="Arial" w:cs="Arial" w:eastAsia="Arial" w:hAnsi="Arial"/>
          <w:sz w:val="18"/>
          <w:szCs w:val="18"/>
          <w:color w:val="auto"/>
        </w:rPr>
        <w:t>collateral for loans without advance approval. The policy applies to all Company’s securities, including options</w:t>
      </w:r>
    </w:p>
    <w:p>
      <w:pPr>
        <w:ind w:left="1000" w:right="159"/>
        <w:spacing w:after="0" w:line="237" w:lineRule="auto"/>
        <w:rPr>
          <w:sz w:val="20"/>
          <w:szCs w:val="20"/>
          <w:color w:val="auto"/>
        </w:rPr>
      </w:pPr>
      <w:r>
        <w:rPr>
          <w:rFonts w:ascii="Arial" w:cs="Arial" w:eastAsia="Arial" w:hAnsi="Arial"/>
          <w:sz w:val="18"/>
          <w:szCs w:val="18"/>
          <w:color w:val="auto"/>
        </w:rPr>
        <w:t>and any other derivative securities, as well as securities granted by the Company as compensation. There were no exceptions approved during the last fiscal year.</w:t>
      </w:r>
    </w:p>
    <w:p>
      <w:pPr>
        <w:spacing w:after="0" w:line="113" w:lineRule="exact"/>
        <w:rPr>
          <w:sz w:val="20"/>
          <w:szCs w:val="20"/>
          <w:color w:val="auto"/>
        </w:rPr>
      </w:pPr>
    </w:p>
    <w:p>
      <w:pPr>
        <w:ind w:left="1000" w:right="139"/>
        <w:spacing w:after="0" w:line="251" w:lineRule="auto"/>
        <w:rPr>
          <w:sz w:val="20"/>
          <w:szCs w:val="20"/>
          <w:color w:val="auto"/>
        </w:rPr>
      </w:pPr>
      <w:r>
        <w:rPr>
          <w:rFonts w:ascii="Arial" w:cs="Arial" w:eastAsia="Arial" w:hAnsi="Arial"/>
          <w:sz w:val="17"/>
          <w:szCs w:val="17"/>
          <w:color w:val="auto"/>
        </w:rPr>
        <w:t>The Company has focused its anti-hedging and anti-pledging policy primarily on Directors and executive officers because, as stewards and leaders of the Company, their interests should remain aligned with shareholder</w:t>
      </w:r>
    </w:p>
    <w:p>
      <w:pPr>
        <w:ind w:left="1000"/>
        <w:spacing w:after="0" w:line="235" w:lineRule="auto"/>
        <w:rPr>
          <w:sz w:val="20"/>
          <w:szCs w:val="20"/>
          <w:color w:val="auto"/>
        </w:rPr>
      </w:pPr>
      <w:r>
        <w:rPr>
          <w:rFonts w:ascii="Arial" w:cs="Arial" w:eastAsia="Arial" w:hAnsi="Arial"/>
          <w:sz w:val="18"/>
          <w:szCs w:val="18"/>
          <w:color w:val="auto"/>
        </w:rPr>
        <w:t>interests. The Company believes that Directors and executive officers should bear the same economic risks</w:t>
      </w:r>
    </w:p>
    <w:p>
      <w:pPr>
        <w:ind w:left="1000" w:right="239"/>
        <w:spacing w:after="0" w:line="237" w:lineRule="auto"/>
        <w:rPr>
          <w:sz w:val="20"/>
          <w:szCs w:val="20"/>
          <w:color w:val="auto"/>
        </w:rPr>
      </w:pPr>
      <w:r>
        <w:rPr>
          <w:rFonts w:ascii="Arial" w:cs="Arial" w:eastAsia="Arial" w:hAnsi="Arial"/>
          <w:sz w:val="18"/>
          <w:szCs w:val="18"/>
          <w:color w:val="auto"/>
        </w:rPr>
        <w:t>associated with holding the Company’s securities as do its shareholders and believes its policy helps to ensure this alignment.</w:t>
      </w:r>
    </w:p>
    <w:p>
      <w:pPr>
        <w:spacing w:after="0" w:line="18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REPORTING ETHICAL CONCERNS</w:t>
      </w:r>
    </w:p>
    <w:p>
      <w:pPr>
        <w:spacing w:after="0" w:line="148" w:lineRule="exact"/>
        <w:rPr>
          <w:sz w:val="20"/>
          <w:szCs w:val="20"/>
          <w:color w:val="auto"/>
        </w:rPr>
      </w:pPr>
    </w:p>
    <w:p>
      <w:pPr>
        <w:ind w:left="1000" w:right="439"/>
        <w:spacing w:after="0" w:line="252" w:lineRule="auto"/>
        <w:rPr>
          <w:sz w:val="20"/>
          <w:szCs w:val="20"/>
          <w:color w:val="auto"/>
        </w:rPr>
      </w:pPr>
      <w:r>
        <w:rPr>
          <w:rFonts w:ascii="Arial" w:cs="Arial" w:eastAsia="Arial" w:hAnsi="Arial"/>
          <w:sz w:val="18"/>
          <w:szCs w:val="18"/>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22     </w:t>
      </w:r>
      <w:r>
        <w:rPr>
          <w:sz w:val="1"/>
          <w:szCs w:val="1"/>
          <w:color w:val="auto"/>
        </w:rPr>
        <w:drawing>
          <wp:inline distT="0" distB="0" distL="0" distR="0">
            <wp:extent cx="1242695" cy="24003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34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400" w:type="dxa"/>
            <w:vAlign w:val="bottom"/>
            <w:vMerge w:val="restart"/>
          </w:tcPr>
          <w:p>
            <w:pPr>
              <w:ind w:left="2960"/>
              <w:spacing w:after="0"/>
              <w:rPr>
                <w:sz w:val="20"/>
                <w:szCs w:val="20"/>
                <w:color w:val="auto"/>
              </w:rPr>
            </w:pPr>
            <w:r>
              <w:rPr>
                <w:rFonts w:ascii="Arial" w:cs="Arial" w:eastAsia="Arial" w:hAnsi="Arial"/>
                <w:sz w:val="14"/>
                <w:szCs w:val="14"/>
                <w:color w:val="auto"/>
                <w:w w:val="99"/>
              </w:rPr>
              <w:t>Corporate Governance</w:t>
            </w:r>
          </w:p>
        </w:tc>
        <w:tc>
          <w:tcPr>
            <w:tcW w:w="0" w:type="dxa"/>
            <w:vAlign w:val="bottom"/>
          </w:tcPr>
          <w:p>
            <w:pPr>
              <w:spacing w:after="0"/>
              <w:rPr>
                <w:sz w:val="1"/>
                <w:szCs w:val="1"/>
                <w:color w:val="auto"/>
              </w:rPr>
            </w:pPr>
          </w:p>
        </w:tc>
      </w:tr>
      <w:tr>
        <w:trPr>
          <w:trHeight w:val="88"/>
        </w:trPr>
        <w:tc>
          <w:tcPr>
            <w:tcW w:w="53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340" w:type="dxa"/>
            <w:vAlign w:val="bottom"/>
            <w:vMerge w:val="continue"/>
          </w:tcPr>
          <w:p>
            <w:pPr>
              <w:spacing w:after="0"/>
              <w:rPr>
                <w:sz w:val="11"/>
                <w:szCs w:val="11"/>
                <w:color w:val="auto"/>
              </w:rPr>
            </w:pPr>
          </w:p>
        </w:tc>
        <w:tc>
          <w:tcPr>
            <w:tcW w:w="4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340" w:right="179"/>
        <w:spacing w:after="0" w:line="287" w:lineRule="auto"/>
        <w:rPr>
          <w:sz w:val="20"/>
          <w:szCs w:val="20"/>
          <w:color w:val="auto"/>
        </w:rPr>
      </w:pPr>
      <w:r>
        <w:rPr>
          <w:rFonts w:ascii="Arial" w:cs="Arial" w:eastAsia="Arial" w:hAnsi="Arial"/>
          <w:sz w:val="18"/>
          <w:szCs w:val="18"/>
          <w:color w:val="auto"/>
        </w:rPr>
        <w:t>Employees of the Company are encouraged to contact their manager, a Human Resources representative, or a Code of Conduct Advisor to discuss matters of concern.</w:t>
      </w:r>
    </w:p>
    <w:p>
      <w:pPr>
        <w:spacing w:after="0" w:line="7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All persons, including employees, may contact:</w:t>
      </w:r>
    </w:p>
    <w:p>
      <w:pPr>
        <w:spacing w:after="0" w:line="104" w:lineRule="exact"/>
        <w:rPr>
          <w:sz w:val="20"/>
          <w:szCs w:val="20"/>
          <w:color w:val="auto"/>
        </w:rPr>
      </w:pPr>
    </w:p>
    <w:p>
      <w:pPr>
        <w:ind w:left="1980" w:hanging="270"/>
        <w:spacing w:after="0"/>
        <w:tabs>
          <w:tab w:leader="none" w:pos="1980" w:val="left"/>
        </w:tabs>
        <w:numPr>
          <w:ilvl w:val="0"/>
          <w:numId w:val="25"/>
        </w:numPr>
        <w:rPr>
          <w:rFonts w:ascii="Arial" w:cs="Arial" w:eastAsia="Arial" w:hAnsi="Arial"/>
          <w:sz w:val="18"/>
          <w:szCs w:val="18"/>
          <w:color w:val="53C072"/>
        </w:rPr>
      </w:pPr>
      <w:r>
        <w:rPr>
          <w:rFonts w:ascii="Arial" w:cs="Arial" w:eastAsia="Arial" w:hAnsi="Arial"/>
          <w:sz w:val="18"/>
          <w:szCs w:val="18"/>
          <w:color w:val="auto"/>
        </w:rPr>
        <w:t>The Legal Department by mail at 2211 South 47th Street, Phoenix, Arizona 85034; or</w:t>
      </w:r>
    </w:p>
    <w:p>
      <w:pPr>
        <w:spacing w:after="0" w:line="103" w:lineRule="exact"/>
        <w:rPr>
          <w:rFonts w:ascii="Arial" w:cs="Arial" w:eastAsia="Arial" w:hAnsi="Arial"/>
          <w:sz w:val="18"/>
          <w:szCs w:val="18"/>
          <w:color w:val="53C072"/>
        </w:rPr>
      </w:pPr>
    </w:p>
    <w:p>
      <w:pPr>
        <w:ind w:left="1980" w:right="219" w:hanging="270"/>
        <w:spacing w:after="0" w:line="268" w:lineRule="auto"/>
        <w:tabs>
          <w:tab w:leader="none" w:pos="1980" w:val="left"/>
        </w:tabs>
        <w:numPr>
          <w:ilvl w:val="0"/>
          <w:numId w:val="25"/>
        </w:numPr>
        <w:rPr>
          <w:rFonts w:ascii="Arial" w:cs="Arial" w:eastAsia="Arial" w:hAnsi="Arial"/>
          <w:sz w:val="18"/>
          <w:szCs w:val="18"/>
          <w:color w:val="53C072"/>
        </w:rPr>
      </w:pPr>
      <w:r>
        <w:rPr>
          <w:rFonts w:ascii="Arial" w:cs="Arial" w:eastAsia="Arial" w:hAnsi="Arial"/>
          <w:sz w:val="18"/>
          <w:szCs w:val="18"/>
          <w:color w:val="auto"/>
        </w:rPr>
        <w:t xml:space="preserve">The Ethics Alertline at 1-800-861-2899 (within the United States and Canada) or via the Internet at </w:t>
      </w:r>
      <w:r>
        <w:rPr>
          <w:rFonts w:ascii="Arial" w:cs="Arial" w:eastAsia="Arial" w:hAnsi="Arial"/>
          <w:sz w:val="18"/>
          <w:szCs w:val="18"/>
          <w:u w:val="single" w:color="auto"/>
          <w:color w:val="auto"/>
        </w:rPr>
        <w:t>avnet.alertline.com</w:t>
      </w:r>
      <w:r>
        <w:rPr>
          <w:rFonts w:ascii="Arial" w:cs="Arial" w:eastAsia="Arial" w:hAnsi="Arial"/>
          <w:sz w:val="18"/>
          <w:szCs w:val="18"/>
          <w:color w:val="auto"/>
        </w:rPr>
        <w:t>. Reports via the Ethics Alertline will be treated with appropriate confidentially and may be made on an anonymous basis where permitted by law.</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STOCK OWNERSHIP GUIDELINES</w:t>
      </w:r>
    </w:p>
    <w:p>
      <w:pPr>
        <w:spacing w:after="0" w:line="14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Board has adopted the following stock ownership guidelines for both the Directors and executive officers.</w:t>
      </w:r>
    </w:p>
    <w:p>
      <w:pPr>
        <w:spacing w:after="0" w:line="158" w:lineRule="exact"/>
        <w:rPr>
          <w:sz w:val="20"/>
          <w:szCs w:val="20"/>
          <w:color w:val="auto"/>
        </w:rPr>
      </w:pPr>
    </w:p>
    <w:p>
      <w:pPr>
        <w:ind w:left="1000" w:right="139"/>
        <w:spacing w:after="0" w:line="248" w:lineRule="auto"/>
        <w:rPr>
          <w:sz w:val="20"/>
          <w:szCs w:val="20"/>
          <w:color w:val="auto"/>
        </w:rPr>
      </w:pPr>
      <w:r>
        <w:rPr>
          <w:rFonts w:ascii="Arial" w:cs="Arial" w:eastAsia="Arial" w:hAnsi="Arial"/>
          <w:sz w:val="18"/>
          <w:szCs w:val="18"/>
          <w:color w:val="auto"/>
        </w:rPr>
        <w:t>Directors should own, within five years of joining the Board, shares of the Company’s Common Stock worth at least five times the Director’s annual cash retainer. Shares that are awarded to Directors as part of director compensation, as well as phantom stock units acquired by Directors under a deferred compensation plan, count towards the guideline. The Board will evaluate whether exceptions should be made in the case of any Director who, due to his or her unique financial circumstances, would incur a hardship by complying with this requirement. Each Director nominee is following these guidelines.</w:t>
      </w:r>
    </w:p>
    <w:p>
      <w:pPr>
        <w:spacing w:after="0" w:line="107" w:lineRule="exact"/>
        <w:rPr>
          <w:sz w:val="20"/>
          <w:szCs w:val="20"/>
          <w:color w:val="auto"/>
        </w:rPr>
      </w:pPr>
    </w:p>
    <w:p>
      <w:pPr>
        <w:ind w:left="1000" w:right="239"/>
        <w:spacing w:after="0" w:line="271" w:lineRule="auto"/>
        <w:rPr>
          <w:sz w:val="20"/>
          <w:szCs w:val="20"/>
          <w:color w:val="auto"/>
        </w:rPr>
      </w:pPr>
      <w:r>
        <w:rPr>
          <w:rFonts w:ascii="Arial" w:cs="Arial" w:eastAsia="Arial" w:hAnsi="Arial"/>
          <w:sz w:val="18"/>
          <w:szCs w:val="18"/>
          <w:color w:val="auto"/>
        </w:rPr>
        <w:t>Executive officers should own shares of the Company’s Common Stock with a market value equal to a multiple of their base salary:</w:t>
      </w:r>
    </w:p>
    <w:p>
      <w:pPr>
        <w:spacing w:after="0" w:line="32" w:lineRule="exact"/>
        <w:rPr>
          <w:sz w:val="20"/>
          <w:szCs w:val="20"/>
          <w:color w:val="auto"/>
        </w:rPr>
      </w:pPr>
    </w:p>
    <w:p>
      <w:pPr>
        <w:ind w:left="1620" w:hanging="270"/>
        <w:spacing w:after="0"/>
        <w:tabs>
          <w:tab w:leader="none" w:pos="1620" w:val="left"/>
        </w:tabs>
        <w:numPr>
          <w:ilvl w:val="0"/>
          <w:numId w:val="26"/>
        </w:numPr>
        <w:rPr>
          <w:rFonts w:ascii="Arial" w:cs="Arial" w:eastAsia="Arial" w:hAnsi="Arial"/>
          <w:sz w:val="18"/>
          <w:szCs w:val="18"/>
          <w:color w:val="53C072"/>
        </w:rPr>
      </w:pPr>
      <w:r>
        <w:rPr>
          <w:rFonts w:ascii="Arial" w:cs="Arial" w:eastAsia="Arial" w:hAnsi="Arial"/>
          <w:sz w:val="18"/>
          <w:szCs w:val="18"/>
          <w:b w:val="1"/>
          <w:bCs w:val="1"/>
          <w:color w:val="53C072"/>
        </w:rPr>
        <w:t xml:space="preserve">5x </w:t>
      </w:r>
      <w:r>
        <w:rPr>
          <w:rFonts w:ascii="Arial" w:cs="Arial" w:eastAsia="Arial" w:hAnsi="Arial"/>
          <w:sz w:val="18"/>
          <w:szCs w:val="18"/>
          <w:color w:val="000000"/>
        </w:rPr>
        <w:t>for the Chief Executive Officer;</w:t>
      </w:r>
    </w:p>
    <w:p>
      <w:pPr>
        <w:spacing w:after="0" w:line="117" w:lineRule="exact"/>
        <w:rPr>
          <w:rFonts w:ascii="Arial" w:cs="Arial" w:eastAsia="Arial" w:hAnsi="Arial"/>
          <w:sz w:val="18"/>
          <w:szCs w:val="18"/>
          <w:color w:val="53C072"/>
        </w:rPr>
      </w:pPr>
    </w:p>
    <w:p>
      <w:pPr>
        <w:ind w:left="1620" w:hanging="270"/>
        <w:spacing w:after="0"/>
        <w:tabs>
          <w:tab w:leader="none" w:pos="1620" w:val="left"/>
        </w:tabs>
        <w:numPr>
          <w:ilvl w:val="0"/>
          <w:numId w:val="26"/>
        </w:numPr>
        <w:rPr>
          <w:rFonts w:ascii="Arial" w:cs="Arial" w:eastAsia="Arial" w:hAnsi="Arial"/>
          <w:sz w:val="18"/>
          <w:szCs w:val="18"/>
          <w:color w:val="53C072"/>
        </w:rPr>
      </w:pPr>
      <w:r>
        <w:rPr>
          <w:rFonts w:ascii="Arial" w:cs="Arial" w:eastAsia="Arial" w:hAnsi="Arial"/>
          <w:sz w:val="18"/>
          <w:szCs w:val="18"/>
          <w:b w:val="1"/>
          <w:bCs w:val="1"/>
          <w:color w:val="53C072"/>
        </w:rPr>
        <w:t xml:space="preserve">3x </w:t>
      </w:r>
      <w:r>
        <w:rPr>
          <w:rFonts w:ascii="Arial" w:cs="Arial" w:eastAsia="Arial" w:hAnsi="Arial"/>
          <w:sz w:val="18"/>
          <w:szCs w:val="18"/>
          <w:color w:val="000000"/>
        </w:rPr>
        <w:t>for the Chief Financial Officer and General Counsel; and</w:t>
      </w:r>
    </w:p>
    <w:p>
      <w:pPr>
        <w:spacing w:after="0" w:line="103" w:lineRule="exact"/>
        <w:rPr>
          <w:rFonts w:ascii="Arial" w:cs="Arial" w:eastAsia="Arial" w:hAnsi="Arial"/>
          <w:sz w:val="18"/>
          <w:szCs w:val="18"/>
          <w:color w:val="53C072"/>
        </w:rPr>
      </w:pPr>
    </w:p>
    <w:p>
      <w:pPr>
        <w:ind w:left="1620" w:hanging="270"/>
        <w:spacing w:after="0"/>
        <w:tabs>
          <w:tab w:leader="none" w:pos="1620" w:val="left"/>
        </w:tabs>
        <w:numPr>
          <w:ilvl w:val="0"/>
          <w:numId w:val="26"/>
        </w:numPr>
        <w:rPr>
          <w:rFonts w:ascii="Arial" w:cs="Arial" w:eastAsia="Arial" w:hAnsi="Arial"/>
          <w:sz w:val="18"/>
          <w:szCs w:val="18"/>
          <w:color w:val="53C072"/>
        </w:rPr>
      </w:pPr>
      <w:r>
        <w:rPr>
          <w:rFonts w:ascii="Arial" w:cs="Arial" w:eastAsia="Arial" w:hAnsi="Arial"/>
          <w:sz w:val="18"/>
          <w:szCs w:val="18"/>
          <w:b w:val="1"/>
          <w:bCs w:val="1"/>
          <w:color w:val="53C072"/>
        </w:rPr>
        <w:t xml:space="preserve">1x </w:t>
      </w:r>
      <w:r>
        <w:rPr>
          <w:rFonts w:ascii="Arial" w:cs="Arial" w:eastAsia="Arial" w:hAnsi="Arial"/>
          <w:sz w:val="18"/>
          <w:szCs w:val="18"/>
          <w:color w:val="000000"/>
        </w:rPr>
        <w:t>for other Executive Officers.</w:t>
      </w:r>
    </w:p>
    <w:p>
      <w:pPr>
        <w:spacing w:after="0" w:line="144" w:lineRule="exact"/>
        <w:rPr>
          <w:sz w:val="20"/>
          <w:szCs w:val="20"/>
          <w:color w:val="auto"/>
        </w:rPr>
      </w:pPr>
    </w:p>
    <w:p>
      <w:pPr>
        <w:ind w:left="1000" w:right="159"/>
        <w:spacing w:after="0" w:line="251" w:lineRule="auto"/>
        <w:rPr>
          <w:sz w:val="20"/>
          <w:szCs w:val="20"/>
          <w:color w:val="auto"/>
        </w:rPr>
      </w:pPr>
      <w:r>
        <w:rPr>
          <w:rFonts w:ascii="Arial" w:cs="Arial" w:eastAsia="Arial" w:hAnsi="Arial"/>
          <w:sz w:val="18"/>
          <w:szCs w:val="18"/>
          <w:color w:val="auto"/>
        </w:rPr>
        <w:t>Restricted stock units, vested performance share units, and shares acquired from the exercise of stock options count towards the guideline. Until the ownership level is met, executive officers must hold at least 50% of any net shares he or she receives upon the exercise of options or upon the delivery of any restricted stock units or performance share unit awards. As of June 28, 2025, executive officers subject to these guidelines satisfy these requirements.</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THE COMPANY’S WEBSITE</w:t>
      </w:r>
    </w:p>
    <w:p>
      <w:pPr>
        <w:spacing w:after="0" w:line="148" w:lineRule="exact"/>
        <w:rPr>
          <w:sz w:val="20"/>
          <w:szCs w:val="20"/>
          <w:color w:val="auto"/>
        </w:rPr>
      </w:pPr>
    </w:p>
    <w:p>
      <w:pPr>
        <w:ind w:left="1000" w:right="239"/>
        <w:spacing w:after="0" w:line="243" w:lineRule="auto"/>
        <w:rPr>
          <w:sz w:val="20"/>
          <w:szCs w:val="20"/>
          <w:color w:val="auto"/>
        </w:rPr>
      </w:pPr>
      <w:r>
        <w:rPr>
          <w:rFonts w:ascii="Arial" w:cs="Arial" w:eastAsia="Arial" w:hAnsi="Arial"/>
          <w:sz w:val="18"/>
          <w:szCs w:val="18"/>
          <w:color w:val="auto"/>
        </w:rPr>
        <w:t xml:space="preserve">In addition to the information about the Company and its subsidiaries contained in this Proxy Statement, extensive information about the Company can be found on its website located at </w:t>
      </w:r>
      <w:r>
        <w:rPr>
          <w:rFonts w:ascii="Arial" w:cs="Arial" w:eastAsia="Arial" w:hAnsi="Arial"/>
          <w:sz w:val="18"/>
          <w:szCs w:val="18"/>
          <w:u w:val="single" w:color="auto"/>
          <w:color w:val="auto"/>
        </w:rPr>
        <w:t>www.avnet.com</w:t>
      </w:r>
      <w:r>
        <w:rPr>
          <w:rFonts w:ascii="Arial" w:cs="Arial" w:eastAsia="Arial" w:hAnsi="Arial"/>
          <w:sz w:val="18"/>
          <w:szCs w:val="18"/>
          <w:color w:val="auto"/>
        </w:rPr>
        <w:t xml:space="preserve">, including information about the Company’s management team, products and services, and its corporate governance practices. The corporate governance information on the Company’s website, located at </w:t>
      </w:r>
      <w:r>
        <w:rPr>
          <w:rFonts w:ascii="Arial" w:cs="Arial" w:eastAsia="Arial" w:hAnsi="Arial"/>
          <w:sz w:val="18"/>
          <w:szCs w:val="18"/>
          <w:u w:val="single" w:color="auto"/>
          <w:color w:val="auto"/>
        </w:rPr>
        <w:t>www.ir.avnet.com/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corporate-governance</w:t>
      </w:r>
      <w:r>
        <w:rPr>
          <w:rFonts w:ascii="Arial" w:cs="Arial" w:eastAsia="Arial" w:hAnsi="Arial"/>
          <w:sz w:val="18"/>
          <w:szCs w:val="18"/>
          <w:color w:val="auto"/>
        </w:rPr>
        <w:t>, includes the Guidelines, the Code of Conduct, the charters for each of the standing committees of the Board of Directors, and how a shareholder and other interested parties can communicate with the Board of Directors. In addition, amendments to the Code of Conduct and waivers granted to the Company’s Directors and executive officers under the Code of Conduct, if any, will be posted in this area of the website. Printed versions of the Guidelines, the Code of Conduct and the charters for the Board committees can be obtained, free of charge, by writing to the Company, Attention: Corporate Secretary, Avnet, Inc., 2211 South 47th Street, Phoenix, AZ 85034.</w:t>
      </w:r>
    </w:p>
    <w:p>
      <w:pPr>
        <w:spacing w:after="0" w:line="111" w:lineRule="exact"/>
        <w:rPr>
          <w:sz w:val="20"/>
          <w:szCs w:val="20"/>
          <w:color w:val="auto"/>
        </w:rPr>
      </w:pPr>
    </w:p>
    <w:p>
      <w:pPr>
        <w:ind w:left="1000" w:right="219"/>
        <w:spacing w:after="0" w:line="248" w:lineRule="auto"/>
        <w:rPr>
          <w:sz w:val="20"/>
          <w:szCs w:val="20"/>
          <w:color w:val="auto"/>
        </w:rPr>
      </w:pPr>
      <w:r>
        <w:rPr>
          <w:rFonts w:ascii="Arial" w:cs="Arial" w:eastAsia="Arial" w:hAnsi="Arial"/>
          <w:sz w:val="18"/>
          <w:szCs w:val="18"/>
          <w:color w:val="auto"/>
        </w:rPr>
        <w:t xml:space="preserve">In addition, the Company’s filings with the SEC under the Exchange Act or the Securities Act of 1933, as amended, are available on the Company’s website located at </w:t>
      </w:r>
      <w:r>
        <w:rPr>
          <w:rFonts w:ascii="Arial" w:cs="Arial" w:eastAsia="Arial" w:hAnsi="Arial"/>
          <w:sz w:val="18"/>
          <w:szCs w:val="18"/>
          <w:u w:val="single" w:color="auto"/>
          <w:color w:val="auto"/>
        </w:rPr>
        <w:t>www.ir.avnet.com/financial-information/sec-filings</w:t>
      </w:r>
      <w:r>
        <w:rPr>
          <w:rFonts w:ascii="Arial" w:cs="Arial" w:eastAsia="Arial" w:hAnsi="Arial"/>
          <w:sz w:val="18"/>
          <w:szCs w:val="18"/>
          <w:color w:val="auto"/>
        </w:rPr>
        <w:t xml:space="preserve"> as soon as reasonably practicable after the report or form is electronically filed with, or furnished to, the SEC. Such filings include Annual Reports on Form 10-K, Quarterly Reports on Form 10-Q, Current Reports on Form 8-K, Proxy Statements, registration statements, and Section 16 filings made by the Company’s executive officers and Directors with respect to the Company’s securities.</w:t>
      </w:r>
    </w:p>
    <w:p>
      <w:pPr>
        <w:spacing w:after="0" w:line="107" w:lineRule="exact"/>
        <w:rPr>
          <w:sz w:val="20"/>
          <w:szCs w:val="20"/>
          <w:color w:val="auto"/>
        </w:rPr>
      </w:pPr>
    </w:p>
    <w:p>
      <w:pPr>
        <w:ind w:left="1000" w:right="679"/>
        <w:spacing w:after="0" w:line="271" w:lineRule="auto"/>
        <w:rPr>
          <w:sz w:val="20"/>
          <w:szCs w:val="20"/>
          <w:color w:val="auto"/>
        </w:rPr>
      </w:pPr>
      <w:r>
        <w:rPr>
          <w:rFonts w:ascii="Arial" w:cs="Arial" w:eastAsia="Arial" w:hAnsi="Arial"/>
          <w:sz w:val="18"/>
          <w:szCs w:val="18"/>
          <w:color w:val="auto"/>
        </w:rPr>
        <w:t>Further, information about the Company’s Environmental, Social and Governance programs, policies and reports can be found on its website.</w:t>
      </w:r>
    </w:p>
    <w:p>
      <w:pPr>
        <w:sectPr>
          <w:pgSz w:w="11900" w:h="16838" w:orient="portrait"/>
          <w:cols w:equalWidth="0" w:num="1">
            <w:col w:w="9879"/>
          </w:cols>
          <w:pgMar w:left="580" w:top="97" w:right="1440" w:bottom="1440" w:gutter="0" w:footer="0" w:header="0"/>
        </w:sectPr>
      </w:pPr>
    </w:p>
    <w:p>
      <w:pPr>
        <w:spacing w:after="0" w:line="120"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34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400" w:type="dxa"/>
            <w:vAlign w:val="bottom"/>
            <w:vMerge w:val="restart"/>
          </w:tcPr>
          <w:p>
            <w:pPr>
              <w:ind w:left="2960"/>
              <w:spacing w:after="0"/>
              <w:rPr>
                <w:sz w:val="20"/>
                <w:szCs w:val="20"/>
                <w:color w:val="auto"/>
              </w:rPr>
            </w:pPr>
            <w:r>
              <w:rPr>
                <w:rFonts w:ascii="Arial" w:cs="Arial" w:eastAsia="Arial" w:hAnsi="Arial"/>
                <w:sz w:val="14"/>
                <w:szCs w:val="14"/>
                <w:color w:val="auto"/>
                <w:w w:val="99"/>
              </w:rPr>
              <w:t>Corporate Governance</w:t>
            </w:r>
          </w:p>
        </w:tc>
        <w:tc>
          <w:tcPr>
            <w:tcW w:w="0" w:type="dxa"/>
            <w:vAlign w:val="bottom"/>
          </w:tcPr>
          <w:p>
            <w:pPr>
              <w:spacing w:after="0"/>
              <w:rPr>
                <w:sz w:val="1"/>
                <w:szCs w:val="1"/>
                <w:color w:val="auto"/>
              </w:rPr>
            </w:pPr>
          </w:p>
        </w:tc>
      </w:tr>
      <w:tr>
        <w:trPr>
          <w:trHeight w:val="88"/>
        </w:trPr>
        <w:tc>
          <w:tcPr>
            <w:tcW w:w="53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340" w:type="dxa"/>
            <w:vAlign w:val="bottom"/>
            <w:vMerge w:val="continue"/>
          </w:tcPr>
          <w:p>
            <w:pPr>
              <w:spacing w:after="0"/>
              <w:rPr>
                <w:sz w:val="11"/>
                <w:szCs w:val="11"/>
                <w:color w:val="auto"/>
              </w:rPr>
            </w:pPr>
          </w:p>
        </w:tc>
        <w:tc>
          <w:tcPr>
            <w:tcW w:w="4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199"/>
        <w:spacing w:after="0" w:line="268" w:lineRule="auto"/>
        <w:rPr>
          <w:sz w:val="20"/>
          <w:szCs w:val="20"/>
          <w:color w:val="auto"/>
        </w:rPr>
      </w:pPr>
      <w:r>
        <w:rPr>
          <w:rFonts w:ascii="Arial" w:cs="Arial" w:eastAsia="Arial" w:hAnsi="Arial"/>
          <w:sz w:val="18"/>
          <w:szCs w:val="18"/>
          <w:color w:val="auto"/>
        </w:rPr>
        <w:t>This information about the Company’s website and its content, together with other references to the website made in this Proxy Statement, is for information only. The content of the Company’s website is not incorporated by reference in this Proxy Statement or otherwise filed with the SEC.</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DIRECTOR COMMUNICATIONS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Shareholders and other interested parties may contact the Company’s Board of Directors by writing to the</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Board of Directors, Attention: Corporate Secretary, Avnet, Inc., 2211 South 47th Street, Phoenix,</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Arizona 85034. They may also submit an email to the Board by filling out the email form on the Company’s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website at </w:t>
      </w:r>
      <w:r>
        <w:rPr>
          <w:rFonts w:ascii="Arial" w:cs="Arial" w:eastAsia="Arial" w:hAnsi="Arial"/>
          <w:sz w:val="18"/>
          <w:szCs w:val="18"/>
          <w:u w:val="single" w:color="auto"/>
          <w:color w:val="auto"/>
        </w:rPr>
        <w:t>www.ir.avnet.com/corporate-governance/contact-the-board</w:t>
      </w:r>
      <w:r>
        <w:rPr>
          <w:rFonts w:ascii="Arial" w:cs="Arial" w:eastAsia="Arial" w:hAnsi="Arial"/>
          <w:sz w:val="18"/>
          <w:szCs w:val="18"/>
          <w:color w:val="auto"/>
        </w:rPr>
        <w:t>.</w:t>
      </w:r>
    </w:p>
    <w:p>
      <w:pPr>
        <w:spacing w:after="0" w:line="99" w:lineRule="exact"/>
        <w:rPr>
          <w:sz w:val="20"/>
          <w:szCs w:val="20"/>
          <w:color w:val="auto"/>
        </w:rPr>
      </w:pPr>
    </w:p>
    <w:p>
      <w:pPr>
        <w:ind w:left="1000" w:right="139"/>
        <w:spacing w:after="0" w:line="255" w:lineRule="auto"/>
        <w:rPr>
          <w:sz w:val="20"/>
          <w:szCs w:val="20"/>
          <w:color w:val="auto"/>
        </w:rPr>
      </w:pPr>
      <w:r>
        <w:rPr>
          <w:rFonts w:ascii="Arial" w:cs="Arial" w:eastAsia="Arial" w:hAnsi="Arial"/>
          <w:sz w:val="18"/>
          <w:szCs w:val="18"/>
          <w:color w:val="auto"/>
        </w:rPr>
        <w:t>Communications received are distributed to the Board, or to any individual Director or group of Directors as appropriate, depending on the facts and circumstances outlined in the communication. The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24     </w:t>
      </w:r>
      <w:r>
        <w:rPr>
          <w:sz w:val="1"/>
          <w:szCs w:val="1"/>
          <w:color w:val="auto"/>
        </w:rPr>
        <w:drawing>
          <wp:inline distT="0" distB="0" distL="0" distR="0">
            <wp:extent cx="1242695" cy="24003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685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860"/>
        <w:spacing w:after="0"/>
        <w:rPr>
          <w:sz w:val="20"/>
          <w:szCs w:val="20"/>
          <w:color w:val="auto"/>
        </w:rPr>
      </w:pPr>
      <w:r>
        <w:rPr>
          <w:rFonts w:ascii="Arial" w:cs="Arial" w:eastAsia="Arial" w:hAnsi="Arial"/>
          <w:sz w:val="40"/>
          <w:szCs w:val="40"/>
          <w:b w:val="1"/>
          <w:bCs w:val="1"/>
          <w:color w:val="FEFEFE"/>
        </w:rPr>
        <w:t>THE BOARD OF DIRECTORS AND ITS</w:t>
      </w:r>
    </w:p>
    <w:p>
      <w:pPr>
        <w:spacing w:after="0" w:line="53" w:lineRule="exact"/>
        <w:rPr>
          <w:sz w:val="20"/>
          <w:szCs w:val="20"/>
          <w:color w:val="auto"/>
        </w:rPr>
      </w:pPr>
    </w:p>
    <w:p>
      <w:pPr>
        <w:jc w:val="center"/>
        <w:ind w:right="-900"/>
        <w:spacing w:after="0"/>
        <w:rPr>
          <w:sz w:val="20"/>
          <w:szCs w:val="20"/>
          <w:color w:val="auto"/>
        </w:rPr>
      </w:pPr>
      <w:r>
        <w:rPr>
          <w:rFonts w:ascii="Arial" w:cs="Arial" w:eastAsia="Arial" w:hAnsi="Arial"/>
          <w:sz w:val="40"/>
          <w:szCs w:val="40"/>
          <w:b w:val="1"/>
          <w:bCs w:val="1"/>
          <w:color w:val="FEFEFE"/>
        </w:rPr>
        <w:t>COMMITTEES</w:t>
      </w:r>
      <w:r>
        <w:rPr>
          <w:rFonts w:ascii="Times New Roman" w:cs="Times New Roman" w:eastAsia="Times New Roman" w:hAnsi="Times New Roman"/>
          <w:sz w:val="17"/>
          <w:szCs w:val="17"/>
          <w:color w:val="FEFEFE"/>
        </w:rPr>
        <w:t>​</w:t>
      </w:r>
    </w:p>
    <w:p>
      <w:pPr>
        <w:spacing w:after="0" w:line="379" w:lineRule="exact"/>
        <w:rPr>
          <w:sz w:val="20"/>
          <w:szCs w:val="20"/>
          <w:color w:val="auto"/>
        </w:rPr>
      </w:pPr>
    </w:p>
    <w:p>
      <w:pPr>
        <w:jc w:val="both"/>
        <w:ind w:left="1000" w:right="219"/>
        <w:spacing w:after="0" w:line="268" w:lineRule="auto"/>
        <w:rPr>
          <w:sz w:val="20"/>
          <w:szCs w:val="20"/>
          <w:color w:val="auto"/>
        </w:rPr>
      </w:pPr>
      <w:r>
        <w:rPr>
          <w:rFonts w:ascii="Arial" w:cs="Arial" w:eastAsia="Arial" w:hAnsi="Arial"/>
          <w:sz w:val="18"/>
          <w:szCs w:val="18"/>
          <w:color w:val="auto"/>
        </w:rPr>
        <w:t>The Board of Directors held four regular quarterly meetings during the fiscal year ended June 28, 2025 (“fiscal 2025”). During each of these regular quarterly meetings, the Independent Directors met separately in executive session, presided over by the Chair of the Board.</w:t>
      </w:r>
    </w:p>
    <w:p>
      <w:pPr>
        <w:spacing w:after="0" w:line="103" w:lineRule="exact"/>
        <w:rPr>
          <w:sz w:val="20"/>
          <w:szCs w:val="20"/>
          <w:color w:val="auto"/>
        </w:rPr>
      </w:pPr>
    </w:p>
    <w:p>
      <w:pPr>
        <w:ind w:left="1000" w:right="179"/>
        <w:spacing w:after="0" w:line="287" w:lineRule="auto"/>
        <w:rPr>
          <w:sz w:val="20"/>
          <w:szCs w:val="20"/>
          <w:color w:val="auto"/>
        </w:rPr>
      </w:pPr>
      <w:r>
        <w:rPr>
          <w:rFonts w:ascii="Arial" w:cs="Arial" w:eastAsia="Arial" w:hAnsi="Arial"/>
          <w:sz w:val="18"/>
          <w:szCs w:val="18"/>
          <w:color w:val="auto"/>
        </w:rPr>
        <w:t>During fiscal 2025, each Director standing for reelection attended at least 92% of Board meetings and assigned committee meetings.</w:t>
      </w:r>
    </w:p>
    <w:p>
      <w:pPr>
        <w:spacing w:after="0" w:line="72" w:lineRule="exact"/>
        <w:rPr>
          <w:sz w:val="20"/>
          <w:szCs w:val="20"/>
          <w:color w:val="auto"/>
        </w:rPr>
      </w:pPr>
    </w:p>
    <w:p>
      <w:pPr>
        <w:ind w:left="1000" w:right="479"/>
        <w:spacing w:after="0" w:line="291" w:lineRule="auto"/>
        <w:rPr>
          <w:sz w:val="20"/>
          <w:szCs w:val="20"/>
          <w:color w:val="auto"/>
        </w:rPr>
      </w:pPr>
      <w:r>
        <w:rPr>
          <w:rFonts w:ascii="Arial" w:cs="Arial" w:eastAsia="Arial" w:hAnsi="Arial"/>
          <w:sz w:val="17"/>
          <w:szCs w:val="17"/>
          <w:color w:val="auto"/>
        </w:rPr>
        <w:t>Directors are expected to attend the annual meeting of shareholders unless unusual circumstances prevent such attendance. Board and committee meetings are scheduled in conjunction with the annual meeting of shareholders. All Directors attended the 2024 Annual Meeting of Shareholders held on November 22, 2024.</w:t>
      </w:r>
    </w:p>
    <w:p>
      <w:pPr>
        <w:spacing w:after="0" w:line="85" w:lineRule="exact"/>
        <w:rPr>
          <w:sz w:val="20"/>
          <w:szCs w:val="20"/>
          <w:color w:val="auto"/>
        </w:rPr>
      </w:pPr>
    </w:p>
    <w:p>
      <w:pPr>
        <w:ind w:left="1000" w:right="239"/>
        <w:spacing w:after="0" w:line="256" w:lineRule="auto"/>
        <w:rPr>
          <w:sz w:val="20"/>
          <w:szCs w:val="20"/>
          <w:color w:val="auto"/>
        </w:rPr>
      </w:pPr>
      <w:r>
        <w:rPr>
          <w:rFonts w:ascii="Arial" w:cs="Arial" w:eastAsia="Arial" w:hAnsi="Arial"/>
          <w:sz w:val="18"/>
          <w:szCs w:val="18"/>
          <w:color w:val="auto"/>
        </w:rPr>
        <w:t xml:space="preserve">The Board currently has, and appoints the members of, a standing Audit Committee, Compensation and Leadership Development Committee, Corporate Governance Committee, and Finance Committee. Each of these committees is comprised solely of non-employee Directors, reports regularly to the full Board, and annually evaluates its performance. Each committee operates under a written charter that outlines the committee’s purpose, member qualifications, authority, and responsibilities. Each committee reviews its charter and conducts an evaluation of its own effectiveness annually. The charters are available at </w:t>
      </w:r>
      <w:r>
        <w:rPr>
          <w:rFonts w:ascii="Arial" w:cs="Arial" w:eastAsia="Arial" w:hAnsi="Arial"/>
          <w:sz w:val="18"/>
          <w:szCs w:val="18"/>
          <w:u w:val="single" w:color="auto"/>
          <w:color w:val="auto"/>
        </w:rPr>
        <w:t>https://www.ir.avnet.com/corporate-governance/governance- documents</w:t>
      </w:r>
      <w:r>
        <w:rPr>
          <w:rFonts w:ascii="Arial" w:cs="Arial" w:eastAsia="Arial" w:hAnsi="Arial"/>
          <w:sz w:val="18"/>
          <w:szCs w:val="18"/>
          <w:color w:val="auto"/>
        </w:rPr>
        <w:t>.</w:t>
      </w:r>
    </w:p>
    <w:p>
      <w:pPr>
        <w:spacing w:after="0" w:line="115" w:lineRule="exact"/>
        <w:rPr>
          <w:sz w:val="20"/>
          <w:szCs w:val="20"/>
          <w:color w:val="auto"/>
        </w:rPr>
      </w:pPr>
    </w:p>
    <w:p>
      <w:pPr>
        <w:jc w:val="both"/>
        <w:ind w:left="1000" w:right="239"/>
        <w:spacing w:after="0" w:line="268" w:lineRule="auto"/>
        <w:rPr>
          <w:sz w:val="20"/>
          <w:szCs w:val="20"/>
          <w:color w:val="auto"/>
        </w:rPr>
      </w:pPr>
      <w:r>
        <w:rPr>
          <w:rFonts w:ascii="Arial" w:cs="Arial" w:eastAsia="Arial" w:hAnsi="Arial"/>
          <w:sz w:val="18"/>
          <w:szCs w:val="18"/>
          <w:color w:val="auto"/>
        </w:rPr>
        <w:t>In addition, the Board has established the Executive Committee to exercise certain powers and authority of the Board between Board meetings. The Board appoints the members of the Executive Committee, which consist of the Chair of the Board and the Chairs of each committee.</w:t>
      </w:r>
    </w:p>
    <w:p>
      <w:pPr>
        <w:spacing w:after="0" w:line="90" w:lineRule="exact"/>
        <w:rPr>
          <w:sz w:val="20"/>
          <w:szCs w:val="20"/>
          <w:color w:val="auto"/>
        </w:rPr>
      </w:pPr>
    </w:p>
    <w:p>
      <w:pPr>
        <w:ind w:left="1000" w:right="299"/>
        <w:spacing w:after="0" w:line="287" w:lineRule="auto"/>
        <w:rPr>
          <w:sz w:val="20"/>
          <w:szCs w:val="20"/>
          <w:color w:val="auto"/>
        </w:rPr>
      </w:pPr>
      <w:r>
        <w:rPr>
          <w:rFonts w:ascii="Arial" w:cs="Arial" w:eastAsia="Arial" w:hAnsi="Arial"/>
          <w:sz w:val="18"/>
          <w:szCs w:val="18"/>
          <w:color w:val="auto"/>
        </w:rPr>
        <w:t>The members of the committees as of the date of this Proxy Statement are identified in the following table and committee summaries.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92075</wp:posOffset>
            </wp:positionV>
            <wp:extent cx="4637405" cy="291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637405" cy="291465"/>
                    </a:xfrm>
                    <a:prstGeom prst="rect">
                      <a:avLst/>
                    </a:prstGeom>
                    <a:noFill/>
                  </pic:spPr>
                </pic:pic>
              </a:graphicData>
            </a:graphic>
          </wp:anchor>
        </w:drawing>
      </w:r>
    </w:p>
    <w:p>
      <w:pPr>
        <w:spacing w:after="0" w:line="125"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2780" w:type="dxa"/>
            <w:vAlign w:val="bottom"/>
          </w:tcPr>
          <w:p>
            <w:pPr>
              <w:ind w:left="40"/>
              <w:spacing w:after="0"/>
              <w:rPr>
                <w:sz w:val="20"/>
                <w:szCs w:val="20"/>
                <w:color w:val="auto"/>
              </w:rPr>
            </w:pPr>
            <w:r>
              <w:rPr>
                <w:rFonts w:ascii="Arial" w:cs="Arial" w:eastAsia="Arial" w:hAnsi="Arial"/>
                <w:sz w:val="16"/>
                <w:szCs w:val="16"/>
                <w:b w:val="1"/>
                <w:bCs w:val="1"/>
                <w:color w:val="FEFEFE"/>
              </w:rPr>
              <w:t>​​</w:t>
            </w:r>
          </w:p>
        </w:tc>
        <w:tc>
          <w:tcPr>
            <w:tcW w:w="280" w:type="dxa"/>
            <w:vAlign w:val="bottom"/>
            <w:gridSpan w:val="3"/>
          </w:tcPr>
          <w:p>
            <w:pPr>
              <w:jc w:val="right"/>
              <w:ind w:right="54"/>
              <w:spacing w:after="0"/>
              <w:rPr>
                <w:sz w:val="20"/>
                <w:szCs w:val="20"/>
                <w:color w:val="auto"/>
              </w:rPr>
            </w:pPr>
            <w:r>
              <w:rPr>
                <w:rFonts w:ascii="Arial" w:cs="Arial" w:eastAsia="Arial" w:hAnsi="Arial"/>
                <w:sz w:val="16"/>
                <w:szCs w:val="16"/>
                <w:b w:val="1"/>
                <w:bCs w:val="1"/>
                <w:color w:val="FEFEFE"/>
              </w:rPr>
              <w:t>​ ​</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7"/>
          </w:tcPr>
          <w:p>
            <w:pPr>
              <w:jc w:val="center"/>
              <w:spacing w:after="0"/>
              <w:rPr>
                <w:sz w:val="20"/>
                <w:szCs w:val="20"/>
                <w:color w:val="auto"/>
              </w:rPr>
            </w:pPr>
            <w:r>
              <w:rPr>
                <w:rFonts w:ascii="Arial" w:cs="Arial" w:eastAsia="Arial" w:hAnsi="Arial"/>
                <w:sz w:val="16"/>
                <w:szCs w:val="16"/>
                <w:b w:val="1"/>
                <w:bCs w:val="1"/>
                <w:color w:val="FEFEFE"/>
              </w:rPr>
              <w:t>Committees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gridSpan w:val="3"/>
          </w:tcPr>
          <w:p>
            <w:pPr>
              <w:ind w:left="40"/>
              <w:spacing w:after="0"/>
              <w:rPr>
                <w:sz w:val="20"/>
                <w:szCs w:val="20"/>
                <w:color w:val="auto"/>
              </w:rPr>
            </w:pPr>
            <w:r>
              <w:rPr>
                <w:rFonts w:ascii="Arial" w:cs="Arial" w:eastAsia="Arial" w:hAnsi="Arial"/>
                <w:sz w:val="16"/>
                <w:szCs w:val="16"/>
                <w:b w:val="1"/>
                <w:bCs w:val="1"/>
                <w:color w:val="FEFEFE"/>
              </w:rPr>
              <w:t>​ ​</w:t>
            </w:r>
          </w:p>
        </w:tc>
        <w:tc>
          <w:tcPr>
            <w:tcW w:w="760" w:type="dxa"/>
            <w:vAlign w:val="bottom"/>
          </w:tcPr>
          <w:p>
            <w:pPr>
              <w:ind w:left="220"/>
              <w:spacing w:after="0"/>
              <w:rPr>
                <w:sz w:val="20"/>
                <w:szCs w:val="20"/>
                <w:color w:val="auto"/>
              </w:rPr>
            </w:pPr>
            <w:r>
              <w:rPr>
                <w:rFonts w:ascii="Arial" w:cs="Arial" w:eastAsia="Arial" w:hAnsi="Arial"/>
                <w:sz w:val="16"/>
                <w:szCs w:val="16"/>
                <w:b w:val="1"/>
                <w:bCs w:val="1"/>
                <w:color w:val="FEFEFE"/>
              </w:rPr>
              <w:t>​</w:t>
            </w:r>
          </w:p>
        </w:tc>
        <w:tc>
          <w:tcPr>
            <w:tcW w:w="440" w:type="dxa"/>
            <w:vAlign w:val="bottom"/>
          </w:tcPr>
          <w:p>
            <w:pPr>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0"/>
        </w:trPr>
        <w:tc>
          <w:tcPr>
            <w:tcW w:w="2780" w:type="dxa"/>
            <w:vAlign w:val="bottom"/>
            <w:vMerge w:val="restart"/>
          </w:tcPr>
          <w:p>
            <w:pPr>
              <w:ind w:left="40"/>
              <w:spacing w:after="0"/>
              <w:rPr>
                <w:sz w:val="20"/>
                <w:szCs w:val="20"/>
                <w:color w:val="auto"/>
              </w:rPr>
            </w:pPr>
            <w:r>
              <w:rPr>
                <w:rFonts w:ascii="Arial" w:cs="Arial" w:eastAsia="Arial" w:hAnsi="Arial"/>
                <w:sz w:val="16"/>
                <w:szCs w:val="16"/>
                <w:b w:val="1"/>
                <w:bCs w:val="1"/>
                <w:color w:val="FEFEFE"/>
              </w:rPr>
              <w:t>​​</w:t>
            </w:r>
          </w:p>
        </w:tc>
        <w:tc>
          <w:tcPr>
            <w:tcW w:w="80" w:type="dxa"/>
            <w:vAlign w:val="bottom"/>
            <w:shd w:val="clear" w:color="auto" w:fill="53C07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120" w:type="dxa"/>
            <w:vAlign w:val="bottom"/>
            <w:tcBorders>
              <w:right w:val="single" w:sz="8" w:color="53C072"/>
            </w:tcBorders>
            <w:gridSpan w:val="2"/>
            <w:shd w:val="clear" w:color="auto" w:fill="53C07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vMerge w:val="continue"/>
          </w:tcPr>
          <w:p>
            <w:pPr>
              <w:spacing w:after="0"/>
              <w:rPr>
                <w:sz w:val="18"/>
                <w:szCs w:val="18"/>
                <w:color w:val="auto"/>
              </w:rPr>
            </w:pPr>
          </w:p>
        </w:tc>
        <w:tc>
          <w:tcPr>
            <w:tcW w:w="280" w:type="dxa"/>
            <w:vAlign w:val="bottom"/>
            <w:gridSpan w:val="3"/>
          </w:tcPr>
          <w:p>
            <w:pPr>
              <w:jc w:val="right"/>
              <w:ind w:right="54"/>
              <w:spacing w:after="0"/>
              <w:rPr>
                <w:sz w:val="20"/>
                <w:szCs w:val="20"/>
                <w:color w:val="auto"/>
              </w:rPr>
            </w:pPr>
            <w:r>
              <w:rPr>
                <w:rFonts w:ascii="Arial" w:cs="Arial" w:eastAsia="Arial" w:hAnsi="Arial"/>
                <w:sz w:val="16"/>
                <w:szCs w:val="16"/>
                <w:b w:val="1"/>
                <w:bCs w:val="1"/>
                <w:color w:val="FEFEFE"/>
              </w:rPr>
              <w:t>​ ​</w:t>
            </w:r>
          </w:p>
        </w:tc>
        <w:tc>
          <w:tcPr>
            <w:tcW w:w="340" w:type="dxa"/>
            <w:vAlign w:val="bottom"/>
          </w:tcPr>
          <w:p>
            <w:pPr>
              <w:jc w:val="center"/>
              <w:ind w:right="15"/>
              <w:spacing w:after="0"/>
              <w:rPr>
                <w:sz w:val="20"/>
                <w:szCs w:val="20"/>
                <w:color w:val="auto"/>
              </w:rPr>
            </w:pPr>
            <w:r>
              <w:rPr>
                <w:rFonts w:ascii="Arial" w:cs="Arial" w:eastAsia="Arial" w:hAnsi="Arial"/>
                <w:sz w:val="16"/>
                <w:szCs w:val="16"/>
                <w:b w:val="1"/>
                <w:bCs w:val="1"/>
                <w:color w:val="FEFEFE"/>
              </w:rPr>
              <w:t>A</w:t>
            </w:r>
          </w:p>
        </w:tc>
        <w:tc>
          <w:tcPr>
            <w:tcW w:w="300" w:type="dxa"/>
            <w:vAlign w:val="bottom"/>
            <w:gridSpan w:val="3"/>
          </w:tcPr>
          <w:p>
            <w:pPr>
              <w:ind w:left="60"/>
              <w:spacing w:after="0"/>
              <w:rPr>
                <w:sz w:val="20"/>
                <w:szCs w:val="20"/>
                <w:color w:val="auto"/>
              </w:rPr>
            </w:pPr>
            <w:r>
              <w:rPr>
                <w:rFonts w:ascii="Arial" w:cs="Arial" w:eastAsia="Arial" w:hAnsi="Arial"/>
                <w:sz w:val="16"/>
                <w:szCs w:val="16"/>
                <w:b w:val="1"/>
                <w:bCs w:val="1"/>
                <w:color w:val="FEFEFE"/>
              </w:rPr>
              <w:t>​ ​</w:t>
            </w:r>
          </w:p>
        </w:tc>
        <w:tc>
          <w:tcPr>
            <w:tcW w:w="280" w:type="dxa"/>
            <w:vAlign w:val="bottom"/>
          </w:tcPr>
          <w:p>
            <w:pPr>
              <w:ind w:left="80"/>
              <w:spacing w:after="0"/>
              <w:rPr>
                <w:sz w:val="20"/>
                <w:szCs w:val="20"/>
                <w:color w:val="auto"/>
              </w:rPr>
            </w:pPr>
            <w:r>
              <w:rPr>
                <w:rFonts w:ascii="Arial" w:cs="Arial" w:eastAsia="Arial" w:hAnsi="Arial"/>
                <w:sz w:val="16"/>
                <w:szCs w:val="16"/>
                <w:b w:val="1"/>
                <w:bCs w:val="1"/>
                <w:color w:val="FEFEFE"/>
              </w:rPr>
              <w:t>C</w:t>
            </w:r>
          </w:p>
        </w:tc>
        <w:tc>
          <w:tcPr>
            <w:tcW w:w="360" w:type="dxa"/>
            <w:vAlign w:val="bottom"/>
            <w:gridSpan w:val="3"/>
          </w:tcPr>
          <w:p>
            <w:pPr>
              <w:ind w:left="140"/>
              <w:spacing w:after="0"/>
              <w:rPr>
                <w:sz w:val="20"/>
                <w:szCs w:val="20"/>
                <w:color w:val="auto"/>
              </w:rPr>
            </w:pPr>
            <w:r>
              <w:rPr>
                <w:rFonts w:ascii="Arial" w:cs="Arial" w:eastAsia="Arial" w:hAnsi="Arial"/>
                <w:sz w:val="16"/>
                <w:szCs w:val="16"/>
                <w:b w:val="1"/>
                <w:bCs w:val="1"/>
                <w:color w:val="FEFEFE"/>
              </w:rPr>
              <w:t>​ ​</w:t>
            </w:r>
          </w:p>
        </w:tc>
        <w:tc>
          <w:tcPr>
            <w:tcW w:w="400" w:type="dxa"/>
            <w:vAlign w:val="bottom"/>
          </w:tcPr>
          <w:p>
            <w:pPr>
              <w:jc w:val="center"/>
              <w:ind w:right="10"/>
              <w:spacing w:after="0"/>
              <w:rPr>
                <w:sz w:val="20"/>
                <w:szCs w:val="20"/>
                <w:color w:val="auto"/>
              </w:rPr>
            </w:pPr>
            <w:r>
              <w:rPr>
                <w:rFonts w:ascii="Arial" w:cs="Arial" w:eastAsia="Arial" w:hAnsi="Arial"/>
                <w:sz w:val="16"/>
                <w:szCs w:val="16"/>
                <w:b w:val="1"/>
                <w:bCs w:val="1"/>
                <w:color w:val="FEFEFE"/>
                <w:w w:val="99"/>
              </w:rPr>
              <w:t>CG</w:t>
            </w:r>
          </w:p>
        </w:tc>
        <w:tc>
          <w:tcPr>
            <w:tcW w:w="280" w:type="dxa"/>
            <w:vAlign w:val="bottom"/>
            <w:gridSpan w:val="3"/>
          </w:tcPr>
          <w:p>
            <w:pPr>
              <w:ind w:left="40"/>
              <w:spacing w:after="0"/>
              <w:rPr>
                <w:sz w:val="20"/>
                <w:szCs w:val="20"/>
                <w:color w:val="auto"/>
              </w:rPr>
            </w:pPr>
            <w:r>
              <w:rPr>
                <w:rFonts w:ascii="Arial" w:cs="Arial" w:eastAsia="Arial" w:hAnsi="Arial"/>
                <w:sz w:val="16"/>
                <w:szCs w:val="16"/>
                <w:b w:val="1"/>
                <w:bCs w:val="1"/>
                <w:color w:val="FEFEFE"/>
              </w:rPr>
              <w:t>​ ​</w:t>
            </w:r>
          </w:p>
        </w:tc>
        <w:tc>
          <w:tcPr>
            <w:tcW w:w="240" w:type="dxa"/>
            <w:vAlign w:val="bottom"/>
          </w:tcPr>
          <w:p>
            <w:pPr>
              <w:jc w:val="center"/>
              <w:spacing w:after="0"/>
              <w:rPr>
                <w:sz w:val="20"/>
                <w:szCs w:val="20"/>
                <w:color w:val="auto"/>
              </w:rPr>
            </w:pPr>
            <w:r>
              <w:rPr>
                <w:rFonts w:ascii="Arial" w:cs="Arial" w:eastAsia="Arial" w:hAnsi="Arial"/>
                <w:sz w:val="16"/>
                <w:szCs w:val="16"/>
                <w:b w:val="1"/>
                <w:bCs w:val="1"/>
                <w:color w:val="FEFEFE"/>
                <w:w w:val="93"/>
              </w:rPr>
              <w:t>TR</w:t>
            </w:r>
          </w:p>
        </w:tc>
        <w:tc>
          <w:tcPr>
            <w:tcW w:w="440" w:type="dxa"/>
            <w:vAlign w:val="bottom"/>
            <w:gridSpan w:val="3"/>
          </w:tcPr>
          <w:p>
            <w:pPr>
              <w:ind w:left="180"/>
              <w:spacing w:after="0"/>
              <w:rPr>
                <w:sz w:val="20"/>
                <w:szCs w:val="20"/>
                <w:color w:val="auto"/>
              </w:rPr>
            </w:pPr>
            <w:r>
              <w:rPr>
                <w:rFonts w:ascii="Arial" w:cs="Arial" w:eastAsia="Arial" w:hAnsi="Arial"/>
                <w:sz w:val="16"/>
                <w:szCs w:val="16"/>
                <w:b w:val="1"/>
                <w:bCs w:val="1"/>
                <w:color w:val="FEFEFE"/>
              </w:rPr>
              <w:t>​ ​</w:t>
            </w:r>
          </w:p>
        </w:tc>
        <w:tc>
          <w:tcPr>
            <w:tcW w:w="360" w:type="dxa"/>
            <w:vAlign w:val="bottom"/>
          </w:tcPr>
          <w:p>
            <w:pPr>
              <w:ind w:left="60"/>
              <w:spacing w:after="0"/>
              <w:rPr>
                <w:sz w:val="20"/>
                <w:szCs w:val="20"/>
                <w:color w:val="auto"/>
              </w:rPr>
            </w:pPr>
            <w:r>
              <w:rPr>
                <w:rFonts w:ascii="Arial" w:cs="Arial" w:eastAsia="Arial" w:hAnsi="Arial"/>
                <w:sz w:val="16"/>
                <w:szCs w:val="16"/>
                <w:b w:val="1"/>
                <w:bCs w:val="1"/>
                <w:color w:val="FEFEFE"/>
              </w:rPr>
              <w:t>E</w:t>
            </w:r>
          </w:p>
        </w:tc>
        <w:tc>
          <w:tcPr>
            <w:tcW w:w="120" w:type="dxa"/>
            <w:vAlign w:val="bottom"/>
            <w:gridSpan w:val="2"/>
          </w:tcPr>
          <w:p>
            <w:pPr>
              <w:ind w:left="40"/>
              <w:spacing w:after="0"/>
              <w:rPr>
                <w:sz w:val="20"/>
                <w:szCs w:val="20"/>
                <w:color w:val="auto"/>
              </w:rPr>
            </w:pPr>
            <w:r>
              <w:rPr>
                <w:rFonts w:ascii="Arial" w:cs="Arial" w:eastAsia="Arial" w:hAnsi="Arial"/>
                <w:sz w:val="16"/>
                <w:szCs w:val="16"/>
                <w:b w:val="1"/>
                <w:bCs w:val="1"/>
                <w:color w:val="FEFEFE"/>
              </w:rPr>
              <w:t>​</w:t>
            </w: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FEFEFE"/>
              </w:rPr>
              <w:t>​Independent ​</w:t>
            </w:r>
          </w:p>
        </w:tc>
        <w:tc>
          <w:tcPr>
            <w:tcW w:w="0" w:type="dxa"/>
            <w:vAlign w:val="bottom"/>
          </w:tcPr>
          <w:p>
            <w:pPr>
              <w:spacing w:after="0"/>
              <w:rPr>
                <w:sz w:val="1"/>
                <w:szCs w:val="1"/>
                <w:color w:val="auto"/>
              </w:rPr>
            </w:pPr>
          </w:p>
        </w:tc>
      </w:tr>
      <w:tr>
        <w:trPr>
          <w:trHeight w:val="324"/>
        </w:trPr>
        <w:tc>
          <w:tcPr>
            <w:tcW w:w="2780" w:type="dxa"/>
            <w:vAlign w:val="bottom"/>
          </w:tcPr>
          <w:p>
            <w:pPr>
              <w:ind w:left="40"/>
              <w:spacing w:after="0"/>
              <w:rPr>
                <w:sz w:val="20"/>
                <w:szCs w:val="20"/>
                <w:color w:val="auto"/>
              </w:rPr>
            </w:pPr>
            <w:r>
              <w:rPr>
                <w:rFonts w:ascii="Arial" w:cs="Arial" w:eastAsia="Arial" w:hAnsi="Arial"/>
                <w:sz w:val="25"/>
                <w:szCs w:val="25"/>
                <w:color w:val="auto"/>
              </w:rPr>
              <w:t>​</w:t>
            </w:r>
            <w:r>
              <w:rPr>
                <w:rFonts w:ascii="Arial" w:cs="Arial" w:eastAsia="Arial" w:hAnsi="Arial"/>
                <w:sz w:val="16"/>
                <w:szCs w:val="16"/>
                <w:b w:val="1"/>
                <w:bCs w:val="1"/>
                <w:color w:val="auto"/>
              </w:rPr>
              <w:t>Rodney C. Adkins (Board Chair)</w:t>
            </w:r>
          </w:p>
        </w:tc>
        <w:tc>
          <w:tcPr>
            <w:tcW w:w="80" w:type="dxa"/>
            <w:vAlign w:val="bottom"/>
          </w:tcPr>
          <w:p>
            <w:pPr>
              <w:spacing w:after="0"/>
              <w:rPr>
                <w:sz w:val="24"/>
                <w:szCs w:val="24"/>
                <w:color w:val="auto"/>
              </w:rPr>
            </w:pPr>
          </w:p>
        </w:tc>
        <w:tc>
          <w:tcPr>
            <w:tcW w:w="80" w:type="dxa"/>
            <w:vAlign w:val="bottom"/>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12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25"/>
                <w:szCs w:val="25"/>
                <w:color w:val="auto"/>
                <w:highlight w:val="darkGray"/>
              </w:rPr>
              <w:t>​</w:t>
            </w:r>
          </w:p>
        </w:tc>
        <w:tc>
          <w:tcPr>
            <w:tcW w:w="120" w:type="dxa"/>
            <w:vAlign w:val="bottom"/>
            <w:gridSpan w:val="2"/>
          </w:tcPr>
          <w:p>
            <w:pPr>
              <w:ind w:left="60"/>
              <w:spacing w:after="0"/>
              <w:rPr>
                <w:sz w:val="20"/>
                <w:szCs w:val="20"/>
                <w:color w:val="auto"/>
              </w:rPr>
            </w:pPr>
            <w:r>
              <w:rPr>
                <w:rFonts w:ascii="Arial" w:cs="Arial" w:eastAsia="Arial" w:hAnsi="Arial"/>
                <w:sz w:val="25"/>
                <w:szCs w:val="25"/>
                <w:color w:val="auto"/>
                <w:highlight w:val="darkGray"/>
              </w:rPr>
              <w:t>​</w:t>
            </w:r>
          </w:p>
        </w:tc>
        <w:tc>
          <w:tcPr>
            <w:tcW w:w="180" w:type="dxa"/>
            <w:vAlign w:val="bottom"/>
          </w:tcPr>
          <w:p>
            <w:pPr>
              <w:ind w:left="40"/>
              <w:spacing w:after="0"/>
              <w:rPr>
                <w:sz w:val="20"/>
                <w:szCs w:val="20"/>
                <w:color w:val="auto"/>
              </w:rPr>
            </w:pPr>
            <w:r>
              <w:rPr>
                <w:rFonts w:ascii="Arial" w:cs="Arial" w:eastAsia="Arial" w:hAnsi="Arial"/>
                <w:sz w:val="25"/>
                <w:szCs w:val="25"/>
                <w:color w:val="auto"/>
              </w:rPr>
              <w:t>​</w:t>
            </w:r>
          </w:p>
        </w:tc>
        <w:tc>
          <w:tcPr>
            <w:tcW w:w="280" w:type="dxa"/>
            <w:vAlign w:val="bottom"/>
          </w:tcPr>
          <w:p>
            <w:pPr>
              <w:jc w:val="center"/>
              <w:spacing w:after="0"/>
              <w:rPr>
                <w:sz w:val="20"/>
                <w:szCs w:val="20"/>
                <w:color w:val="auto"/>
              </w:rPr>
            </w:pPr>
            <w:r>
              <w:rPr>
                <w:rFonts w:ascii="Arial" w:cs="Arial" w:eastAsia="Arial" w:hAnsi="Arial"/>
                <w:sz w:val="25"/>
                <w:szCs w:val="25"/>
                <w:color w:val="auto"/>
              </w:rPr>
              <w:t>​</w:t>
            </w:r>
          </w:p>
        </w:tc>
        <w:tc>
          <w:tcPr>
            <w:tcW w:w="200" w:type="dxa"/>
            <w:vAlign w:val="bottom"/>
            <w:gridSpan w:val="2"/>
          </w:tcPr>
          <w:p>
            <w:pPr>
              <w:ind w:left="140"/>
              <w:spacing w:after="0"/>
              <w:rPr>
                <w:sz w:val="20"/>
                <w:szCs w:val="20"/>
                <w:color w:val="auto"/>
              </w:rPr>
            </w:pPr>
            <w:r>
              <w:rPr>
                <w:rFonts w:ascii="Arial" w:cs="Arial" w:eastAsia="Arial" w:hAnsi="Arial"/>
                <w:sz w:val="25"/>
                <w:szCs w:val="25"/>
                <w:color w:val="auto"/>
              </w:rPr>
              <w:t>​</w:t>
            </w:r>
          </w:p>
        </w:tc>
        <w:tc>
          <w:tcPr>
            <w:tcW w:w="160" w:type="dxa"/>
            <w:vAlign w:val="bottom"/>
          </w:tcPr>
          <w:p>
            <w:pPr>
              <w:ind w:left="40"/>
              <w:spacing w:after="0"/>
              <w:rPr>
                <w:sz w:val="20"/>
                <w:szCs w:val="20"/>
                <w:color w:val="auto"/>
              </w:rPr>
            </w:pPr>
            <w:r>
              <w:rPr>
                <w:rFonts w:ascii="Arial" w:cs="Arial" w:eastAsia="Arial" w:hAnsi="Arial"/>
                <w:sz w:val="25"/>
                <w:szCs w:val="25"/>
                <w:color w:val="auto"/>
              </w:rPr>
              <w:t>​</w:t>
            </w:r>
          </w:p>
        </w:tc>
        <w:tc>
          <w:tcPr>
            <w:tcW w:w="400" w:type="dxa"/>
            <w:vAlign w:val="bottom"/>
          </w:tcPr>
          <w:p>
            <w:pPr>
              <w:jc w:val="center"/>
              <w:ind w:right="10"/>
              <w:spacing w:after="0"/>
              <w:rPr>
                <w:sz w:val="20"/>
                <w:szCs w:val="20"/>
                <w:color w:val="auto"/>
              </w:rPr>
            </w:pPr>
            <w:r>
              <w:rPr>
                <w:rFonts w:ascii="Arial" w:cs="Arial" w:eastAsia="Arial" w:hAnsi="Arial"/>
                <w:sz w:val="25"/>
                <w:szCs w:val="25"/>
                <w:color w:val="auto"/>
                <w:w w:val="90"/>
              </w:rPr>
              <w:t>•</w:t>
            </w:r>
          </w:p>
        </w:tc>
        <w:tc>
          <w:tcPr>
            <w:tcW w:w="100" w:type="dxa"/>
            <w:vAlign w:val="bottom"/>
            <w:gridSpan w:val="2"/>
          </w:tcPr>
          <w:p>
            <w:pPr>
              <w:jc w:val="right"/>
              <w:spacing w:after="0"/>
              <w:rPr>
                <w:sz w:val="20"/>
                <w:szCs w:val="20"/>
                <w:color w:val="auto"/>
              </w:rPr>
            </w:pPr>
            <w:r>
              <w:rPr>
                <w:rFonts w:ascii="Arial" w:cs="Arial" w:eastAsia="Arial" w:hAnsi="Arial"/>
                <w:sz w:val="25"/>
                <w:szCs w:val="25"/>
                <w:color w:val="auto"/>
              </w:rPr>
              <w:t>​</w:t>
            </w:r>
          </w:p>
        </w:tc>
        <w:tc>
          <w:tcPr>
            <w:tcW w:w="180" w:type="dxa"/>
            <w:vAlign w:val="bottom"/>
          </w:tcPr>
          <w:p>
            <w:pPr>
              <w:ind w:left="40"/>
              <w:spacing w:after="0"/>
              <w:rPr>
                <w:sz w:val="20"/>
                <w:szCs w:val="20"/>
                <w:color w:val="auto"/>
              </w:rPr>
            </w:pPr>
            <w:r>
              <w:rPr>
                <w:rFonts w:ascii="Arial" w:cs="Arial" w:eastAsia="Arial" w:hAnsi="Arial"/>
                <w:sz w:val="25"/>
                <w:szCs w:val="25"/>
                <w:color w:val="auto"/>
              </w:rPr>
              <w:t>​</w:t>
            </w:r>
          </w:p>
        </w:tc>
        <w:tc>
          <w:tcPr>
            <w:tcW w:w="240" w:type="dxa"/>
            <w:vAlign w:val="bottom"/>
          </w:tcPr>
          <w:p>
            <w:pPr>
              <w:jc w:val="center"/>
              <w:ind w:left="35"/>
              <w:spacing w:after="0"/>
              <w:rPr>
                <w:sz w:val="20"/>
                <w:szCs w:val="20"/>
                <w:color w:val="auto"/>
              </w:rPr>
            </w:pPr>
            <w:r>
              <w:rPr>
                <w:rFonts w:ascii="Arial" w:cs="Arial" w:eastAsia="Arial" w:hAnsi="Arial"/>
                <w:sz w:val="25"/>
                <w:szCs w:val="25"/>
                <w:color w:val="auto"/>
              </w:rPr>
              <w:t>​</w:t>
            </w:r>
          </w:p>
        </w:tc>
        <w:tc>
          <w:tcPr>
            <w:tcW w:w="240" w:type="dxa"/>
            <w:vAlign w:val="bottom"/>
            <w:gridSpan w:val="2"/>
          </w:tcPr>
          <w:p>
            <w:pPr>
              <w:ind w:left="180"/>
              <w:spacing w:after="0"/>
              <w:rPr>
                <w:sz w:val="20"/>
                <w:szCs w:val="20"/>
                <w:color w:val="auto"/>
              </w:rPr>
            </w:pPr>
            <w:r>
              <w:rPr>
                <w:rFonts w:ascii="Arial" w:cs="Arial" w:eastAsia="Arial" w:hAnsi="Arial"/>
                <w:sz w:val="25"/>
                <w:szCs w:val="25"/>
                <w:color w:val="auto"/>
              </w:rPr>
              <w:t>​</w:t>
            </w:r>
          </w:p>
        </w:tc>
        <w:tc>
          <w:tcPr>
            <w:tcW w:w="680" w:type="dxa"/>
            <w:vAlign w:val="bottom"/>
            <w:gridSpan w:val="4"/>
          </w:tcPr>
          <w:p>
            <w:pPr>
              <w:ind w:left="40"/>
              <w:spacing w:after="0"/>
              <w:rPr>
                <w:sz w:val="20"/>
                <w:szCs w:val="20"/>
                <w:color w:val="auto"/>
              </w:rPr>
            </w:pPr>
            <w:r>
              <w:rPr>
                <w:rFonts w:ascii="Arial" w:cs="Arial" w:eastAsia="Arial" w:hAnsi="Arial"/>
                <w:sz w:val="25"/>
                <w:szCs w:val="25"/>
                <w:color w:val="auto"/>
              </w:rPr>
              <w:t>​</w:t>
            </w:r>
            <w:r>
              <w:rPr>
                <w:rFonts w:ascii="Arial" w:cs="Arial" w:eastAsia="Arial" w:hAnsi="Arial"/>
                <w:sz w:val="17"/>
                <w:szCs w:val="17"/>
                <w:color w:val="auto"/>
              </w:rPr>
              <w:t>Chair</w:t>
            </w:r>
            <w:r>
              <w:rPr>
                <w:rFonts w:ascii="Arial" w:cs="Arial" w:eastAsia="Arial" w:hAnsi="Arial"/>
                <w:sz w:val="25"/>
                <w:szCs w:val="25"/>
                <w:color w:val="auto"/>
              </w:rPr>
              <w:t>​​</w:t>
            </w:r>
          </w:p>
        </w:tc>
        <w:tc>
          <w:tcPr>
            <w:tcW w:w="360" w:type="dxa"/>
            <w:vAlign w:val="bottom"/>
          </w:tcPr>
          <w:p>
            <w:pPr>
              <w:ind w:left="40"/>
              <w:spacing w:after="0"/>
              <w:rPr>
                <w:sz w:val="20"/>
                <w:szCs w:val="20"/>
                <w:color w:val="auto"/>
              </w:rPr>
            </w:pPr>
            <w:r>
              <w:rPr>
                <w:rFonts w:ascii="Arial" w:cs="Arial" w:eastAsia="Arial" w:hAnsi="Arial"/>
                <w:sz w:val="25"/>
                <w:szCs w:val="25"/>
                <w:color w:val="auto"/>
              </w:rPr>
              <w:t>​</w:t>
            </w:r>
          </w:p>
        </w:tc>
        <w:tc>
          <w:tcPr>
            <w:tcW w:w="7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78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80" w:type="dxa"/>
            <w:vAlign w:val="bottom"/>
            <w:shd w:val="clear" w:color="auto" w:fill="B2B2B2"/>
          </w:tcPr>
          <w:p>
            <w:pPr>
              <w:jc w:val="right"/>
              <w:spacing w:after="0" w:line="77"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B2B2B2"/>
          </w:tcPr>
          <w:p>
            <w:pPr>
              <w:ind w:left="240"/>
              <w:spacing w:after="0" w:line="77" w:lineRule="exact"/>
              <w:rPr>
                <w:sz w:val="20"/>
                <w:szCs w:val="20"/>
                <w:color w:val="auto"/>
              </w:rPr>
            </w:pPr>
            <w:r>
              <w:rPr>
                <w:rFonts w:ascii="Arial" w:cs="Arial" w:eastAsia="Arial" w:hAnsi="Arial"/>
                <w:sz w:val="8"/>
                <w:szCs w:val="8"/>
                <w:color w:val="auto"/>
              </w:rPr>
              <w:t>​</w:t>
            </w:r>
          </w:p>
        </w:tc>
        <w:tc>
          <w:tcPr>
            <w:tcW w:w="120" w:type="dxa"/>
            <w:vAlign w:val="bottom"/>
            <w:gridSpan w:val="2"/>
          </w:tcPr>
          <w:p>
            <w:pPr>
              <w:ind w:left="60"/>
              <w:spacing w:after="0" w:line="77" w:lineRule="exact"/>
              <w:rPr>
                <w:sz w:val="20"/>
                <w:szCs w:val="20"/>
                <w:color w:val="auto"/>
              </w:rPr>
            </w:pPr>
            <w:r>
              <w:rPr>
                <w:rFonts w:ascii="Arial" w:cs="Arial" w:eastAsia="Arial" w:hAnsi="Arial"/>
                <w:sz w:val="8"/>
                <w:szCs w:val="8"/>
                <w:color w:val="auto"/>
              </w:rPr>
              <w:t>​</w:t>
            </w:r>
          </w:p>
        </w:tc>
        <w:tc>
          <w:tcPr>
            <w:tcW w:w="460" w:type="dxa"/>
            <w:vAlign w:val="bottom"/>
            <w:gridSpan w:val="2"/>
          </w:tcPr>
          <w:p>
            <w:pPr>
              <w:ind w:left="40"/>
              <w:spacing w:after="0" w:line="77" w:lineRule="exact"/>
              <w:rPr>
                <w:sz w:val="20"/>
                <w:szCs w:val="20"/>
                <w:color w:val="auto"/>
              </w:rPr>
            </w:pPr>
            <w:r>
              <w:rPr>
                <w:rFonts w:ascii="Arial" w:cs="Arial" w:eastAsia="Arial" w:hAnsi="Arial"/>
                <w:sz w:val="8"/>
                <w:szCs w:val="8"/>
                <w:color w:val="auto"/>
              </w:rPr>
              <w:t>​ •</w:t>
            </w:r>
          </w:p>
        </w:tc>
        <w:tc>
          <w:tcPr>
            <w:tcW w:w="200" w:type="dxa"/>
            <w:vAlign w:val="bottom"/>
            <w:gridSpan w:val="2"/>
          </w:tcPr>
          <w:p>
            <w:pPr>
              <w:ind w:left="140"/>
              <w:spacing w:after="0" w:line="77" w:lineRule="exact"/>
              <w:rPr>
                <w:sz w:val="20"/>
                <w:szCs w:val="20"/>
                <w:color w:val="auto"/>
              </w:rPr>
            </w:pPr>
            <w:r>
              <w:rPr>
                <w:rFonts w:ascii="Arial" w:cs="Arial" w:eastAsia="Arial" w:hAnsi="Arial"/>
                <w:sz w:val="8"/>
                <w:szCs w:val="8"/>
                <w:color w:val="auto"/>
              </w:rPr>
              <w:t>​</w:t>
            </w:r>
          </w:p>
        </w:tc>
        <w:tc>
          <w:tcPr>
            <w:tcW w:w="560" w:type="dxa"/>
            <w:vAlign w:val="bottom"/>
            <w:gridSpan w:val="2"/>
          </w:tcPr>
          <w:p>
            <w:pPr>
              <w:ind w:left="40"/>
              <w:spacing w:after="0" w:line="77" w:lineRule="exact"/>
              <w:rPr>
                <w:sz w:val="20"/>
                <w:szCs w:val="20"/>
                <w:color w:val="auto"/>
              </w:rPr>
            </w:pPr>
            <w:r>
              <w:rPr>
                <w:rFonts w:ascii="Arial" w:cs="Arial" w:eastAsia="Arial" w:hAnsi="Arial"/>
                <w:sz w:val="8"/>
                <w:szCs w:val="8"/>
                <w:color w:val="auto"/>
              </w:rPr>
              <w:t>​ •</w:t>
            </w:r>
          </w:p>
        </w:tc>
        <w:tc>
          <w:tcPr>
            <w:tcW w:w="100" w:type="dxa"/>
            <w:vAlign w:val="bottom"/>
            <w:gridSpan w:val="2"/>
          </w:tcPr>
          <w:p>
            <w:pPr>
              <w:jc w:val="right"/>
              <w:spacing w:after="0" w:line="77"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40"/>
              <w:spacing w:after="0" w:line="77" w:lineRule="exact"/>
              <w:rPr>
                <w:sz w:val="20"/>
                <w:szCs w:val="20"/>
                <w:color w:val="auto"/>
              </w:rPr>
            </w:pPr>
            <w:r>
              <w:rPr>
                <w:rFonts w:ascii="Arial" w:cs="Arial" w:eastAsia="Arial" w:hAnsi="Arial"/>
                <w:sz w:val="8"/>
                <w:szCs w:val="8"/>
                <w:color w:val="auto"/>
              </w:rPr>
              <w:t>​  ​</w:t>
            </w:r>
          </w:p>
        </w:tc>
        <w:tc>
          <w:tcPr>
            <w:tcW w:w="240" w:type="dxa"/>
            <w:vAlign w:val="bottom"/>
            <w:gridSpan w:val="2"/>
          </w:tcPr>
          <w:p>
            <w:pPr>
              <w:ind w:left="180"/>
              <w:spacing w:after="0" w:line="77" w:lineRule="exact"/>
              <w:rPr>
                <w:sz w:val="20"/>
                <w:szCs w:val="20"/>
                <w:color w:val="auto"/>
              </w:rPr>
            </w:pPr>
            <w:r>
              <w:rPr>
                <w:rFonts w:ascii="Arial" w:cs="Arial" w:eastAsia="Arial" w:hAnsi="Arial"/>
                <w:sz w:val="8"/>
                <w:szCs w:val="8"/>
                <w:color w:val="auto"/>
              </w:rPr>
              <w:t>​</w:t>
            </w:r>
          </w:p>
        </w:tc>
        <w:tc>
          <w:tcPr>
            <w:tcW w:w="560" w:type="dxa"/>
            <w:vAlign w:val="bottom"/>
            <w:gridSpan w:val="2"/>
          </w:tcPr>
          <w:p>
            <w:pPr>
              <w:ind w:left="40"/>
              <w:spacing w:after="0" w:line="77" w:lineRule="exact"/>
              <w:rPr>
                <w:sz w:val="20"/>
                <w:szCs w:val="20"/>
                <w:color w:val="auto"/>
              </w:rPr>
            </w:pPr>
            <w:r>
              <w:rPr>
                <w:rFonts w:ascii="Arial" w:cs="Arial" w:eastAsia="Arial" w:hAnsi="Arial"/>
                <w:sz w:val="8"/>
                <w:szCs w:val="8"/>
                <w:color w:val="auto"/>
              </w:rPr>
              <w:t>​  ​</w:t>
            </w:r>
          </w:p>
        </w:tc>
        <w:tc>
          <w:tcPr>
            <w:tcW w:w="12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36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760" w:type="dxa"/>
            <w:vAlign w:val="bottom"/>
          </w:tcPr>
          <w:p>
            <w:pPr>
              <w:spacing w:after="0"/>
              <w:rPr>
                <w:sz w:val="6"/>
                <w:szCs w:val="6"/>
                <w:color w:val="auto"/>
              </w:rPr>
            </w:pPr>
          </w:p>
        </w:tc>
        <w:tc>
          <w:tcPr>
            <w:tcW w:w="440" w:type="dxa"/>
            <w:vAlign w:val="bottom"/>
          </w:tcPr>
          <w:p>
            <w:pPr>
              <w:spacing w:after="0" w:line="77"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Brenda L. Freeman</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20" w:type="dxa"/>
            <w:vAlign w:val="bottom"/>
            <w:tcBorders>
              <w:bottom w:val="single" w:sz="8" w:color="auto"/>
            </w:tcBorders>
            <w:shd w:val="clear" w:color="auto" w:fill="B2B2B2"/>
          </w:tcPr>
          <w:p>
            <w:pPr>
              <w:spacing w:after="0"/>
              <w:rPr>
                <w:sz w:val="20"/>
                <w:szCs w:val="20"/>
                <w:color w:val="auto"/>
              </w:rPr>
            </w:pPr>
          </w:p>
        </w:tc>
        <w:tc>
          <w:tcPr>
            <w:tcW w:w="34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78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shd w:val="clear" w:color="auto" w:fill="B2B2B2"/>
          </w:tcPr>
          <w:p>
            <w:pPr>
              <w:jc w:val="right"/>
              <w:spacing w:after="0" w:line="83"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B2B2B2"/>
          </w:tcPr>
          <w:p>
            <w:pPr>
              <w:jc w:val="center"/>
              <w:spacing w:after="0" w:line="83" w:lineRule="exact"/>
              <w:rPr>
                <w:sz w:val="20"/>
                <w:szCs w:val="20"/>
                <w:color w:val="auto"/>
              </w:rPr>
            </w:pPr>
            <w:r>
              <w:rPr>
                <w:rFonts w:ascii="Arial" w:cs="Arial" w:eastAsia="Arial" w:hAnsi="Arial"/>
                <w:sz w:val="9"/>
                <w:szCs w:val="9"/>
                <w:color w:val="auto"/>
              </w:rPr>
              <w:t>•</w:t>
            </w:r>
          </w:p>
        </w:tc>
        <w:tc>
          <w:tcPr>
            <w:tcW w:w="120" w:type="dxa"/>
            <w:vAlign w:val="bottom"/>
            <w:gridSpan w:val="2"/>
          </w:tcPr>
          <w:p>
            <w:pPr>
              <w:ind w:left="60"/>
              <w:spacing w:after="0" w:line="83"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200" w:type="dxa"/>
            <w:vAlign w:val="bottom"/>
            <w:gridSpan w:val="2"/>
          </w:tcPr>
          <w:p>
            <w:pPr>
              <w:ind w:left="140"/>
              <w:spacing w:after="0" w:line="83" w:lineRule="exact"/>
              <w:rPr>
                <w:sz w:val="20"/>
                <w:szCs w:val="20"/>
                <w:color w:val="auto"/>
              </w:rPr>
            </w:pPr>
            <w:r>
              <w:rPr>
                <w:rFonts w:ascii="Arial" w:cs="Arial" w:eastAsia="Arial" w:hAnsi="Arial"/>
                <w:sz w:val="9"/>
                <w:szCs w:val="9"/>
                <w:color w:val="auto"/>
              </w:rPr>
              <w:t>​</w:t>
            </w:r>
          </w:p>
        </w:tc>
        <w:tc>
          <w:tcPr>
            <w:tcW w:w="56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100" w:type="dxa"/>
            <w:vAlign w:val="bottom"/>
            <w:gridSpan w:val="2"/>
          </w:tcPr>
          <w:p>
            <w:pPr>
              <w:jc w:val="right"/>
              <w:spacing w:after="0" w:line="83" w:lineRule="exact"/>
              <w:rPr>
                <w:sz w:val="20"/>
                <w:szCs w:val="20"/>
                <w:color w:val="auto"/>
              </w:rPr>
            </w:pPr>
            <w:r>
              <w:rPr>
                <w:rFonts w:ascii="Arial" w:cs="Arial" w:eastAsia="Arial" w:hAnsi="Arial"/>
                <w:sz w:val="9"/>
                <w:szCs w:val="9"/>
                <w:color w:val="auto"/>
              </w:rPr>
              <w:t>​</w:t>
            </w:r>
          </w:p>
        </w:tc>
        <w:tc>
          <w:tcPr>
            <w:tcW w:w="42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240" w:type="dxa"/>
            <w:vAlign w:val="bottom"/>
            <w:gridSpan w:val="2"/>
          </w:tcPr>
          <w:p>
            <w:pPr>
              <w:ind w:left="180"/>
              <w:spacing w:after="0" w:line="83" w:lineRule="exact"/>
              <w:rPr>
                <w:sz w:val="20"/>
                <w:szCs w:val="20"/>
                <w:color w:val="auto"/>
              </w:rPr>
            </w:pPr>
            <w:r>
              <w:rPr>
                <w:rFonts w:ascii="Arial" w:cs="Arial" w:eastAsia="Arial" w:hAnsi="Arial"/>
                <w:sz w:val="9"/>
                <w:szCs w:val="9"/>
                <w:color w:val="auto"/>
              </w:rPr>
              <w:t>​</w:t>
            </w:r>
          </w:p>
        </w:tc>
        <w:tc>
          <w:tcPr>
            <w:tcW w:w="56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12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440" w:type="dxa"/>
            <w:vAlign w:val="bottom"/>
          </w:tcPr>
          <w:p>
            <w:pPr>
              <w:spacing w:after="0" w:line="83"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Helmut Gassel</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20" w:type="dxa"/>
            <w:vAlign w:val="bottom"/>
            <w:tcBorders>
              <w:bottom w:val="single" w:sz="8" w:color="auto"/>
            </w:tcBorders>
            <w:shd w:val="clear" w:color="auto" w:fill="B2B2B2"/>
          </w:tcPr>
          <w:p>
            <w:pPr>
              <w:spacing w:after="0"/>
              <w:rPr>
                <w:sz w:val="20"/>
                <w:szCs w:val="20"/>
                <w:color w:val="auto"/>
              </w:rPr>
            </w:pPr>
          </w:p>
        </w:tc>
        <w:tc>
          <w:tcPr>
            <w:tcW w:w="34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78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shd w:val="clear" w:color="auto" w:fill="B2B2B2"/>
          </w:tcPr>
          <w:p>
            <w:pPr>
              <w:jc w:val="right"/>
              <w:spacing w:after="0" w:line="83"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B2B2B2"/>
          </w:tcPr>
          <w:p>
            <w:pPr>
              <w:jc w:val="center"/>
              <w:spacing w:after="0" w:line="83" w:lineRule="exact"/>
              <w:rPr>
                <w:sz w:val="20"/>
                <w:szCs w:val="20"/>
                <w:color w:val="auto"/>
              </w:rPr>
            </w:pPr>
            <w:r>
              <w:rPr>
                <w:rFonts w:ascii="Arial" w:cs="Arial" w:eastAsia="Arial" w:hAnsi="Arial"/>
                <w:sz w:val="9"/>
                <w:szCs w:val="9"/>
                <w:color w:val="auto"/>
              </w:rPr>
              <w:t>•</w:t>
            </w:r>
          </w:p>
        </w:tc>
        <w:tc>
          <w:tcPr>
            <w:tcW w:w="120" w:type="dxa"/>
            <w:vAlign w:val="bottom"/>
            <w:gridSpan w:val="2"/>
          </w:tcPr>
          <w:p>
            <w:pPr>
              <w:ind w:left="60"/>
              <w:spacing w:after="0" w:line="83"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200" w:type="dxa"/>
            <w:vAlign w:val="bottom"/>
            <w:gridSpan w:val="2"/>
          </w:tcPr>
          <w:p>
            <w:pPr>
              <w:ind w:left="140"/>
              <w:spacing w:after="0" w:line="83" w:lineRule="exact"/>
              <w:rPr>
                <w:sz w:val="20"/>
                <w:szCs w:val="20"/>
                <w:color w:val="auto"/>
              </w:rPr>
            </w:pPr>
            <w:r>
              <w:rPr>
                <w:rFonts w:ascii="Arial" w:cs="Arial" w:eastAsia="Arial" w:hAnsi="Arial"/>
                <w:sz w:val="9"/>
                <w:szCs w:val="9"/>
                <w:color w:val="auto"/>
              </w:rPr>
              <w:t>​</w:t>
            </w:r>
          </w:p>
        </w:tc>
        <w:tc>
          <w:tcPr>
            <w:tcW w:w="56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100" w:type="dxa"/>
            <w:vAlign w:val="bottom"/>
            <w:gridSpan w:val="2"/>
          </w:tcPr>
          <w:p>
            <w:pPr>
              <w:jc w:val="right"/>
              <w:spacing w:after="0" w:line="83" w:lineRule="exact"/>
              <w:rPr>
                <w:sz w:val="20"/>
                <w:szCs w:val="20"/>
                <w:color w:val="auto"/>
              </w:rPr>
            </w:pPr>
            <w:r>
              <w:rPr>
                <w:rFonts w:ascii="Arial" w:cs="Arial" w:eastAsia="Arial" w:hAnsi="Arial"/>
                <w:sz w:val="9"/>
                <w:szCs w:val="9"/>
                <w:color w:val="auto"/>
              </w:rPr>
              <w:t>​</w:t>
            </w:r>
          </w:p>
        </w:tc>
        <w:tc>
          <w:tcPr>
            <w:tcW w:w="42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240" w:type="dxa"/>
            <w:vAlign w:val="bottom"/>
            <w:gridSpan w:val="2"/>
          </w:tcPr>
          <w:p>
            <w:pPr>
              <w:ind w:left="180"/>
              <w:spacing w:after="0" w:line="83" w:lineRule="exact"/>
              <w:rPr>
                <w:sz w:val="20"/>
                <w:szCs w:val="20"/>
                <w:color w:val="auto"/>
              </w:rPr>
            </w:pPr>
            <w:r>
              <w:rPr>
                <w:rFonts w:ascii="Arial" w:cs="Arial" w:eastAsia="Arial" w:hAnsi="Arial"/>
                <w:sz w:val="9"/>
                <w:szCs w:val="9"/>
                <w:color w:val="auto"/>
              </w:rPr>
              <w:t>​</w:t>
            </w:r>
          </w:p>
        </w:tc>
        <w:tc>
          <w:tcPr>
            <w:tcW w:w="56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12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440" w:type="dxa"/>
            <w:vAlign w:val="bottom"/>
          </w:tcPr>
          <w:p>
            <w:pPr>
              <w:spacing w:after="0" w:line="83"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Virginia L. Henkels</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20" w:type="dxa"/>
            <w:vAlign w:val="bottom"/>
            <w:tcBorders>
              <w:bottom w:val="single" w:sz="8" w:color="auto"/>
            </w:tcBorders>
            <w:shd w:val="clear" w:color="auto" w:fill="B2B2B2"/>
          </w:tcPr>
          <w:p>
            <w:pPr>
              <w:spacing w:after="0"/>
              <w:rPr>
                <w:sz w:val="20"/>
                <w:szCs w:val="20"/>
                <w:color w:val="auto"/>
              </w:rPr>
            </w:pPr>
          </w:p>
        </w:tc>
        <w:tc>
          <w:tcPr>
            <w:tcW w:w="34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78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shd w:val="clear" w:color="auto" w:fill="B2B2B2"/>
          </w:tcPr>
          <w:p>
            <w:pPr>
              <w:jc w:val="right"/>
              <w:spacing w:after="0" w:line="83" w:lineRule="exact"/>
              <w:rPr>
                <w:sz w:val="20"/>
                <w:szCs w:val="20"/>
                <w:color w:val="auto"/>
              </w:rPr>
            </w:pPr>
            <w:r>
              <w:rPr>
                <w:rFonts w:ascii="Arial" w:cs="Arial" w:eastAsia="Arial" w:hAnsi="Arial"/>
                <w:sz w:val="9"/>
                <w:szCs w:val="9"/>
                <w:color w:val="auto"/>
              </w:rPr>
              <w:t>​​</w:t>
            </w:r>
          </w:p>
        </w:tc>
        <w:tc>
          <w:tcPr>
            <w:tcW w:w="120" w:type="dxa"/>
            <w:vAlign w:val="bottom"/>
            <w:shd w:val="clear" w:color="auto" w:fill="B2B2B2"/>
          </w:tcPr>
          <w:p>
            <w:pPr>
              <w:spacing w:after="0"/>
              <w:rPr>
                <w:sz w:val="7"/>
                <w:szCs w:val="7"/>
                <w:color w:val="auto"/>
              </w:rPr>
            </w:pPr>
          </w:p>
        </w:tc>
        <w:tc>
          <w:tcPr>
            <w:tcW w:w="340" w:type="dxa"/>
            <w:vAlign w:val="bottom"/>
            <w:shd w:val="clear" w:color="auto" w:fill="B2B2B2"/>
          </w:tcPr>
          <w:p>
            <w:pPr>
              <w:ind w:left="120"/>
              <w:spacing w:after="0" w:line="83" w:lineRule="exact"/>
              <w:rPr>
                <w:sz w:val="20"/>
                <w:szCs w:val="20"/>
                <w:color w:val="auto"/>
              </w:rPr>
            </w:pPr>
            <w:r>
              <w:rPr>
                <w:rFonts w:ascii="Arial" w:cs="Arial" w:eastAsia="Arial" w:hAnsi="Arial"/>
                <w:sz w:val="9"/>
                <w:szCs w:val="9"/>
                <w:color w:val="auto"/>
              </w:rPr>
              <w:t>​</w:t>
            </w:r>
          </w:p>
        </w:tc>
        <w:tc>
          <w:tcPr>
            <w:tcW w:w="120" w:type="dxa"/>
            <w:vAlign w:val="bottom"/>
            <w:gridSpan w:val="2"/>
          </w:tcPr>
          <w:p>
            <w:pPr>
              <w:ind w:left="60"/>
              <w:spacing w:after="0" w:line="83" w:lineRule="exact"/>
              <w:rPr>
                <w:sz w:val="20"/>
                <w:szCs w:val="20"/>
                <w:color w:val="auto"/>
              </w:rPr>
            </w:pPr>
            <w:r>
              <w:rPr>
                <w:rFonts w:ascii="Arial" w:cs="Arial" w:eastAsia="Arial" w:hAnsi="Arial"/>
                <w:sz w:val="9"/>
                <w:szCs w:val="9"/>
                <w:color w:val="auto"/>
              </w:rPr>
              <w:t>​</w:t>
            </w:r>
          </w:p>
        </w:tc>
        <w:tc>
          <w:tcPr>
            <w:tcW w:w="660" w:type="dxa"/>
            <w:vAlign w:val="bottom"/>
            <w:gridSpan w:val="4"/>
          </w:tcPr>
          <w:p>
            <w:pPr>
              <w:jc w:val="center"/>
              <w:spacing w:after="0" w:line="83" w:lineRule="exact"/>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Chair</w:t>
            </w:r>
            <w:r>
              <w:rPr>
                <w:rFonts w:ascii="Arial" w:cs="Arial" w:eastAsia="Arial" w:hAnsi="Arial"/>
                <w:sz w:val="9"/>
                <w:szCs w:val="9"/>
                <w:color w:val="auto"/>
              </w:rPr>
              <w:t>​​</w:t>
            </w:r>
          </w:p>
        </w:tc>
        <w:tc>
          <w:tcPr>
            <w:tcW w:w="1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400" w:type="dxa"/>
            <w:vAlign w:val="bottom"/>
          </w:tcPr>
          <w:p>
            <w:pPr>
              <w:ind w:left="160"/>
              <w:spacing w:after="0" w:line="83" w:lineRule="exact"/>
              <w:rPr>
                <w:sz w:val="20"/>
                <w:szCs w:val="20"/>
                <w:color w:val="auto"/>
              </w:rPr>
            </w:pPr>
            <w:r>
              <w:rPr>
                <w:rFonts w:ascii="Arial" w:cs="Arial" w:eastAsia="Arial" w:hAnsi="Arial"/>
                <w:sz w:val="9"/>
                <w:szCs w:val="9"/>
                <w:color w:val="auto"/>
              </w:rPr>
              <w:t>​</w:t>
            </w:r>
          </w:p>
        </w:tc>
        <w:tc>
          <w:tcPr>
            <w:tcW w:w="100" w:type="dxa"/>
            <w:vAlign w:val="bottom"/>
            <w:gridSpan w:val="2"/>
          </w:tcPr>
          <w:p>
            <w:pPr>
              <w:jc w:val="right"/>
              <w:spacing w:after="0" w:line="83" w:lineRule="exact"/>
              <w:rPr>
                <w:sz w:val="20"/>
                <w:szCs w:val="20"/>
                <w:color w:val="auto"/>
              </w:rPr>
            </w:pPr>
            <w:r>
              <w:rPr>
                <w:rFonts w:ascii="Arial" w:cs="Arial" w:eastAsia="Arial" w:hAnsi="Arial"/>
                <w:sz w:val="9"/>
                <w:szCs w:val="9"/>
                <w:color w:val="auto"/>
              </w:rPr>
              <w:t>​</w:t>
            </w:r>
          </w:p>
        </w:tc>
        <w:tc>
          <w:tcPr>
            <w:tcW w:w="18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240" w:type="dxa"/>
            <w:vAlign w:val="bottom"/>
          </w:tcPr>
          <w:p>
            <w:pPr>
              <w:jc w:val="center"/>
              <w:spacing w:after="0" w:line="83" w:lineRule="exact"/>
              <w:rPr>
                <w:sz w:val="20"/>
                <w:szCs w:val="20"/>
                <w:color w:val="auto"/>
              </w:rPr>
            </w:pPr>
            <w:r>
              <w:rPr>
                <w:rFonts w:ascii="Arial" w:cs="Arial" w:eastAsia="Arial" w:hAnsi="Arial"/>
                <w:sz w:val="9"/>
                <w:szCs w:val="9"/>
                <w:color w:val="auto"/>
              </w:rPr>
              <w:t>•</w:t>
            </w:r>
          </w:p>
        </w:tc>
        <w:tc>
          <w:tcPr>
            <w:tcW w:w="240" w:type="dxa"/>
            <w:vAlign w:val="bottom"/>
            <w:gridSpan w:val="2"/>
          </w:tcPr>
          <w:p>
            <w:pPr>
              <w:ind w:left="180"/>
              <w:spacing w:after="0" w:line="83" w:lineRule="exact"/>
              <w:rPr>
                <w:sz w:val="20"/>
                <w:szCs w:val="20"/>
                <w:color w:val="auto"/>
              </w:rPr>
            </w:pPr>
            <w:r>
              <w:rPr>
                <w:rFonts w:ascii="Arial" w:cs="Arial" w:eastAsia="Arial" w:hAnsi="Arial"/>
                <w:sz w:val="9"/>
                <w:szCs w:val="9"/>
                <w:color w:val="auto"/>
              </w:rPr>
              <w:t>​</w:t>
            </w:r>
          </w:p>
        </w:tc>
        <w:tc>
          <w:tcPr>
            <w:tcW w:w="20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80"/>
              <w:spacing w:after="0" w:line="83" w:lineRule="exact"/>
              <w:rPr>
                <w:sz w:val="20"/>
                <w:szCs w:val="20"/>
                <w:color w:val="auto"/>
              </w:rPr>
            </w:pPr>
            <w:r>
              <w:rPr>
                <w:rFonts w:ascii="Arial" w:cs="Arial" w:eastAsia="Arial" w:hAnsi="Arial"/>
                <w:sz w:val="9"/>
                <w:szCs w:val="9"/>
                <w:color w:val="auto"/>
              </w:rPr>
              <w:t>•</w:t>
            </w:r>
          </w:p>
        </w:tc>
        <w:tc>
          <w:tcPr>
            <w:tcW w:w="12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440" w:type="dxa"/>
            <w:vAlign w:val="bottom"/>
          </w:tcPr>
          <w:p>
            <w:pPr>
              <w:spacing w:after="0" w:line="83"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Jo Ann Jenkins</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20" w:type="dxa"/>
            <w:vAlign w:val="bottom"/>
            <w:tcBorders>
              <w:bottom w:val="single" w:sz="8" w:color="auto"/>
            </w:tcBorders>
            <w:shd w:val="clear" w:color="auto" w:fill="B2B2B2"/>
          </w:tcPr>
          <w:p>
            <w:pPr>
              <w:spacing w:after="0"/>
              <w:rPr>
                <w:sz w:val="20"/>
                <w:szCs w:val="20"/>
                <w:color w:val="auto"/>
              </w:rPr>
            </w:pPr>
          </w:p>
        </w:tc>
        <w:tc>
          <w:tcPr>
            <w:tcW w:w="34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78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shd w:val="clear" w:color="auto" w:fill="B2B2B2"/>
          </w:tcPr>
          <w:p>
            <w:pPr>
              <w:jc w:val="right"/>
              <w:spacing w:after="0" w:line="83" w:lineRule="exact"/>
              <w:rPr>
                <w:sz w:val="20"/>
                <w:szCs w:val="20"/>
                <w:color w:val="auto"/>
              </w:rPr>
            </w:pPr>
            <w:r>
              <w:rPr>
                <w:rFonts w:ascii="Arial" w:cs="Arial" w:eastAsia="Arial" w:hAnsi="Arial"/>
                <w:sz w:val="9"/>
                <w:szCs w:val="9"/>
                <w:color w:val="auto"/>
              </w:rPr>
              <w:t>​​</w:t>
            </w:r>
          </w:p>
        </w:tc>
        <w:tc>
          <w:tcPr>
            <w:tcW w:w="120" w:type="dxa"/>
            <w:vAlign w:val="bottom"/>
            <w:shd w:val="clear" w:color="auto" w:fill="B2B2B2"/>
          </w:tcPr>
          <w:p>
            <w:pPr>
              <w:spacing w:after="0"/>
              <w:rPr>
                <w:sz w:val="7"/>
                <w:szCs w:val="7"/>
                <w:color w:val="auto"/>
              </w:rPr>
            </w:pPr>
          </w:p>
        </w:tc>
        <w:tc>
          <w:tcPr>
            <w:tcW w:w="340" w:type="dxa"/>
            <w:vAlign w:val="bottom"/>
            <w:shd w:val="clear" w:color="auto" w:fill="B2B2B2"/>
          </w:tcPr>
          <w:p>
            <w:pPr>
              <w:jc w:val="center"/>
              <w:ind w:right="15"/>
              <w:spacing w:after="0" w:line="83" w:lineRule="exact"/>
              <w:rPr>
                <w:sz w:val="20"/>
                <w:szCs w:val="20"/>
                <w:color w:val="auto"/>
              </w:rPr>
            </w:pPr>
            <w:r>
              <w:rPr>
                <w:rFonts w:ascii="Arial" w:cs="Arial" w:eastAsia="Arial" w:hAnsi="Arial"/>
                <w:sz w:val="9"/>
                <w:szCs w:val="9"/>
                <w:color w:val="auto"/>
              </w:rPr>
              <w:t>•</w:t>
            </w:r>
          </w:p>
        </w:tc>
        <w:tc>
          <w:tcPr>
            <w:tcW w:w="120" w:type="dxa"/>
            <w:vAlign w:val="bottom"/>
            <w:gridSpan w:val="2"/>
          </w:tcPr>
          <w:p>
            <w:pPr>
              <w:ind w:left="60"/>
              <w:spacing w:after="0" w:line="83" w:lineRule="exact"/>
              <w:rPr>
                <w:sz w:val="20"/>
                <w:szCs w:val="20"/>
                <w:color w:val="auto"/>
              </w:rPr>
            </w:pPr>
            <w:r>
              <w:rPr>
                <w:rFonts w:ascii="Arial" w:cs="Arial" w:eastAsia="Arial" w:hAnsi="Arial"/>
                <w:sz w:val="9"/>
                <w:szCs w:val="9"/>
                <w:color w:val="auto"/>
              </w:rPr>
              <w:t>​</w:t>
            </w:r>
          </w:p>
        </w:tc>
        <w:tc>
          <w:tcPr>
            <w:tcW w:w="18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280" w:type="dxa"/>
            <w:vAlign w:val="bottom"/>
          </w:tcPr>
          <w:p>
            <w:pPr>
              <w:jc w:val="center"/>
              <w:spacing w:after="0" w:line="83" w:lineRule="exact"/>
              <w:rPr>
                <w:sz w:val="20"/>
                <w:szCs w:val="20"/>
                <w:color w:val="auto"/>
              </w:rPr>
            </w:pPr>
            <w:r>
              <w:rPr>
                <w:rFonts w:ascii="Arial" w:cs="Arial" w:eastAsia="Arial" w:hAnsi="Arial"/>
                <w:sz w:val="9"/>
                <w:szCs w:val="9"/>
                <w:color w:val="auto"/>
              </w:rPr>
              <w:t>​</w:t>
            </w:r>
          </w:p>
        </w:tc>
        <w:tc>
          <w:tcPr>
            <w:tcW w:w="200" w:type="dxa"/>
            <w:vAlign w:val="bottom"/>
            <w:gridSpan w:val="2"/>
          </w:tcPr>
          <w:p>
            <w:pPr>
              <w:ind w:left="140"/>
              <w:spacing w:after="0" w:line="83" w:lineRule="exact"/>
              <w:rPr>
                <w:sz w:val="20"/>
                <w:szCs w:val="20"/>
                <w:color w:val="auto"/>
              </w:rPr>
            </w:pPr>
            <w:r>
              <w:rPr>
                <w:rFonts w:ascii="Arial" w:cs="Arial" w:eastAsia="Arial" w:hAnsi="Arial"/>
                <w:sz w:val="9"/>
                <w:szCs w:val="9"/>
                <w:color w:val="auto"/>
              </w:rPr>
              <w:t>​</w:t>
            </w:r>
          </w:p>
        </w:tc>
        <w:tc>
          <w:tcPr>
            <w:tcW w:w="1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400" w:type="dxa"/>
            <w:vAlign w:val="bottom"/>
          </w:tcPr>
          <w:p>
            <w:pPr>
              <w:ind w:left="160"/>
              <w:spacing w:after="0" w:line="83" w:lineRule="exact"/>
              <w:rPr>
                <w:sz w:val="20"/>
                <w:szCs w:val="20"/>
                <w:color w:val="auto"/>
              </w:rPr>
            </w:pPr>
            <w:r>
              <w:rPr>
                <w:rFonts w:ascii="Arial" w:cs="Arial" w:eastAsia="Arial" w:hAnsi="Arial"/>
                <w:sz w:val="9"/>
                <w:szCs w:val="9"/>
                <w:color w:val="auto"/>
              </w:rPr>
              <w:t>​</w:t>
            </w:r>
          </w:p>
        </w:tc>
        <w:tc>
          <w:tcPr>
            <w:tcW w:w="100" w:type="dxa"/>
            <w:vAlign w:val="bottom"/>
            <w:gridSpan w:val="2"/>
          </w:tcPr>
          <w:p>
            <w:pPr>
              <w:jc w:val="right"/>
              <w:spacing w:after="0" w:line="83" w:lineRule="exact"/>
              <w:rPr>
                <w:sz w:val="20"/>
                <w:szCs w:val="20"/>
                <w:color w:val="auto"/>
              </w:rPr>
            </w:pPr>
            <w:r>
              <w:rPr>
                <w:rFonts w:ascii="Arial" w:cs="Arial" w:eastAsia="Arial" w:hAnsi="Arial"/>
                <w:sz w:val="9"/>
                <w:szCs w:val="9"/>
                <w:color w:val="auto"/>
              </w:rPr>
              <w:t>​</w:t>
            </w:r>
          </w:p>
        </w:tc>
        <w:tc>
          <w:tcPr>
            <w:tcW w:w="660" w:type="dxa"/>
            <w:vAlign w:val="bottom"/>
            <w:gridSpan w:val="4"/>
          </w:tcPr>
          <w:p>
            <w:pPr>
              <w:jc w:val="center"/>
              <w:spacing w:after="0" w:line="83" w:lineRule="exact"/>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Chair</w:t>
            </w:r>
            <w:r>
              <w:rPr>
                <w:rFonts w:ascii="Arial" w:cs="Arial" w:eastAsia="Arial" w:hAnsi="Arial"/>
                <w:sz w:val="9"/>
                <w:szCs w:val="9"/>
                <w:color w:val="auto"/>
              </w:rPr>
              <w:t>​​</w:t>
            </w:r>
          </w:p>
        </w:tc>
        <w:tc>
          <w:tcPr>
            <w:tcW w:w="20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80"/>
              <w:spacing w:after="0" w:line="83" w:lineRule="exact"/>
              <w:rPr>
                <w:sz w:val="20"/>
                <w:szCs w:val="20"/>
                <w:color w:val="auto"/>
              </w:rPr>
            </w:pPr>
            <w:r>
              <w:rPr>
                <w:rFonts w:ascii="Arial" w:cs="Arial" w:eastAsia="Arial" w:hAnsi="Arial"/>
                <w:sz w:val="9"/>
                <w:szCs w:val="9"/>
                <w:color w:val="auto"/>
              </w:rPr>
              <w:t>•</w:t>
            </w:r>
          </w:p>
        </w:tc>
        <w:tc>
          <w:tcPr>
            <w:tcW w:w="12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440" w:type="dxa"/>
            <w:vAlign w:val="bottom"/>
          </w:tcPr>
          <w:p>
            <w:pPr>
              <w:spacing w:after="0" w:line="83"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Oleg Khaykin</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20" w:type="dxa"/>
            <w:vAlign w:val="bottom"/>
            <w:tcBorders>
              <w:bottom w:val="single" w:sz="8" w:color="auto"/>
            </w:tcBorders>
            <w:shd w:val="clear" w:color="auto" w:fill="B2B2B2"/>
          </w:tcPr>
          <w:p>
            <w:pPr>
              <w:spacing w:after="0"/>
              <w:rPr>
                <w:sz w:val="20"/>
                <w:szCs w:val="20"/>
                <w:color w:val="auto"/>
              </w:rPr>
            </w:pPr>
          </w:p>
        </w:tc>
        <w:tc>
          <w:tcPr>
            <w:tcW w:w="34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78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shd w:val="clear" w:color="auto" w:fill="B2B2B2"/>
          </w:tcPr>
          <w:p>
            <w:pPr>
              <w:jc w:val="right"/>
              <w:spacing w:after="0" w:line="83"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B2B2B2"/>
          </w:tcPr>
          <w:p>
            <w:pPr>
              <w:jc w:val="center"/>
              <w:spacing w:after="0" w:line="83" w:lineRule="exact"/>
              <w:rPr>
                <w:sz w:val="20"/>
                <w:szCs w:val="20"/>
                <w:color w:val="auto"/>
              </w:rPr>
            </w:pPr>
            <w:r>
              <w:rPr>
                <w:rFonts w:ascii="Arial" w:cs="Arial" w:eastAsia="Arial" w:hAnsi="Arial"/>
                <w:sz w:val="9"/>
                <w:szCs w:val="9"/>
                <w:color w:val="auto"/>
              </w:rPr>
              <w:t>Chair</w:t>
            </w:r>
          </w:p>
        </w:tc>
        <w:tc>
          <w:tcPr>
            <w:tcW w:w="120" w:type="dxa"/>
            <w:vAlign w:val="bottom"/>
            <w:gridSpan w:val="2"/>
          </w:tcPr>
          <w:p>
            <w:pPr>
              <w:ind w:left="60"/>
              <w:spacing w:after="0" w:line="83" w:lineRule="exact"/>
              <w:rPr>
                <w:sz w:val="20"/>
                <w:szCs w:val="20"/>
                <w:color w:val="auto"/>
              </w:rPr>
            </w:pPr>
            <w:r>
              <w:rPr>
                <w:rFonts w:ascii="Arial" w:cs="Arial" w:eastAsia="Arial" w:hAnsi="Arial"/>
                <w:sz w:val="9"/>
                <w:szCs w:val="9"/>
                <w:color w:val="auto"/>
              </w:rPr>
              <w:t>​</w:t>
            </w:r>
          </w:p>
        </w:tc>
        <w:tc>
          <w:tcPr>
            <w:tcW w:w="18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280" w:type="dxa"/>
            <w:vAlign w:val="bottom"/>
          </w:tcPr>
          <w:p>
            <w:pPr>
              <w:jc w:val="center"/>
              <w:spacing w:after="0" w:line="83" w:lineRule="exact"/>
              <w:rPr>
                <w:sz w:val="20"/>
                <w:szCs w:val="20"/>
                <w:color w:val="auto"/>
              </w:rPr>
            </w:pPr>
            <w:r>
              <w:rPr>
                <w:rFonts w:ascii="Arial" w:cs="Arial" w:eastAsia="Arial" w:hAnsi="Arial"/>
                <w:sz w:val="9"/>
                <w:szCs w:val="9"/>
                <w:color w:val="auto"/>
              </w:rPr>
              <w:t>​</w:t>
            </w:r>
          </w:p>
        </w:tc>
        <w:tc>
          <w:tcPr>
            <w:tcW w:w="200" w:type="dxa"/>
            <w:vAlign w:val="bottom"/>
            <w:gridSpan w:val="2"/>
          </w:tcPr>
          <w:p>
            <w:pPr>
              <w:ind w:left="140"/>
              <w:spacing w:after="0" w:line="83" w:lineRule="exact"/>
              <w:rPr>
                <w:sz w:val="20"/>
                <w:szCs w:val="20"/>
                <w:color w:val="auto"/>
              </w:rPr>
            </w:pPr>
            <w:r>
              <w:rPr>
                <w:rFonts w:ascii="Arial" w:cs="Arial" w:eastAsia="Arial" w:hAnsi="Arial"/>
                <w:sz w:val="9"/>
                <w:szCs w:val="9"/>
                <w:color w:val="auto"/>
              </w:rPr>
              <w:t>​</w:t>
            </w:r>
          </w:p>
        </w:tc>
        <w:tc>
          <w:tcPr>
            <w:tcW w:w="1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400" w:type="dxa"/>
            <w:vAlign w:val="bottom"/>
          </w:tcPr>
          <w:p>
            <w:pPr>
              <w:ind w:left="160"/>
              <w:spacing w:after="0" w:line="83" w:lineRule="exact"/>
              <w:rPr>
                <w:sz w:val="20"/>
                <w:szCs w:val="20"/>
                <w:color w:val="auto"/>
              </w:rPr>
            </w:pPr>
            <w:r>
              <w:rPr>
                <w:rFonts w:ascii="Arial" w:cs="Arial" w:eastAsia="Arial" w:hAnsi="Arial"/>
                <w:sz w:val="9"/>
                <w:szCs w:val="9"/>
                <w:color w:val="auto"/>
              </w:rPr>
              <w:t>​</w:t>
            </w:r>
          </w:p>
        </w:tc>
        <w:tc>
          <w:tcPr>
            <w:tcW w:w="100" w:type="dxa"/>
            <w:vAlign w:val="bottom"/>
            <w:gridSpan w:val="2"/>
          </w:tcPr>
          <w:p>
            <w:pPr>
              <w:jc w:val="right"/>
              <w:spacing w:after="0" w:line="83" w:lineRule="exact"/>
              <w:rPr>
                <w:sz w:val="20"/>
                <w:szCs w:val="20"/>
                <w:color w:val="auto"/>
              </w:rPr>
            </w:pPr>
            <w:r>
              <w:rPr>
                <w:rFonts w:ascii="Arial" w:cs="Arial" w:eastAsia="Arial" w:hAnsi="Arial"/>
                <w:sz w:val="9"/>
                <w:szCs w:val="9"/>
                <w:color w:val="auto"/>
              </w:rPr>
              <w:t>​</w:t>
            </w:r>
          </w:p>
        </w:tc>
        <w:tc>
          <w:tcPr>
            <w:tcW w:w="18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240" w:type="dxa"/>
            <w:vAlign w:val="bottom"/>
          </w:tcPr>
          <w:p>
            <w:pPr>
              <w:jc w:val="center"/>
              <w:spacing w:after="0" w:line="83" w:lineRule="exact"/>
              <w:rPr>
                <w:sz w:val="20"/>
                <w:szCs w:val="20"/>
                <w:color w:val="auto"/>
              </w:rPr>
            </w:pPr>
            <w:r>
              <w:rPr>
                <w:rFonts w:ascii="Arial" w:cs="Arial" w:eastAsia="Arial" w:hAnsi="Arial"/>
                <w:sz w:val="9"/>
                <w:szCs w:val="9"/>
                <w:color w:val="auto"/>
              </w:rPr>
              <w:t>•</w:t>
            </w:r>
          </w:p>
        </w:tc>
        <w:tc>
          <w:tcPr>
            <w:tcW w:w="240" w:type="dxa"/>
            <w:vAlign w:val="bottom"/>
            <w:gridSpan w:val="2"/>
          </w:tcPr>
          <w:p>
            <w:pPr>
              <w:ind w:left="180"/>
              <w:spacing w:after="0" w:line="83" w:lineRule="exact"/>
              <w:rPr>
                <w:sz w:val="20"/>
                <w:szCs w:val="20"/>
                <w:color w:val="auto"/>
              </w:rPr>
            </w:pPr>
            <w:r>
              <w:rPr>
                <w:rFonts w:ascii="Arial" w:cs="Arial" w:eastAsia="Arial" w:hAnsi="Arial"/>
                <w:sz w:val="9"/>
                <w:szCs w:val="9"/>
                <w:color w:val="auto"/>
              </w:rPr>
              <w:t>​</w:t>
            </w:r>
          </w:p>
        </w:tc>
        <w:tc>
          <w:tcPr>
            <w:tcW w:w="20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80"/>
              <w:spacing w:after="0" w:line="83" w:lineRule="exact"/>
              <w:rPr>
                <w:sz w:val="20"/>
                <w:szCs w:val="20"/>
                <w:color w:val="auto"/>
              </w:rPr>
            </w:pPr>
            <w:r>
              <w:rPr>
                <w:rFonts w:ascii="Arial" w:cs="Arial" w:eastAsia="Arial" w:hAnsi="Arial"/>
                <w:sz w:val="9"/>
                <w:szCs w:val="9"/>
                <w:color w:val="auto"/>
              </w:rPr>
              <w:t>•</w:t>
            </w:r>
          </w:p>
        </w:tc>
        <w:tc>
          <w:tcPr>
            <w:tcW w:w="12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440" w:type="dxa"/>
            <w:vAlign w:val="bottom"/>
          </w:tcPr>
          <w:p>
            <w:pPr>
              <w:spacing w:after="0" w:line="83"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Ernest E. Maddock</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20" w:type="dxa"/>
            <w:vAlign w:val="bottom"/>
            <w:tcBorders>
              <w:bottom w:val="single" w:sz="8" w:color="auto"/>
            </w:tcBorders>
            <w:shd w:val="clear" w:color="auto" w:fill="B2B2B2"/>
          </w:tcPr>
          <w:p>
            <w:pPr>
              <w:spacing w:after="0"/>
              <w:rPr>
                <w:sz w:val="20"/>
                <w:szCs w:val="20"/>
                <w:color w:val="auto"/>
              </w:rPr>
            </w:pPr>
          </w:p>
        </w:tc>
        <w:tc>
          <w:tcPr>
            <w:tcW w:w="34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78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shd w:val="clear" w:color="auto" w:fill="B2B2B2"/>
          </w:tcPr>
          <w:p>
            <w:pPr>
              <w:jc w:val="right"/>
              <w:spacing w:after="0" w:line="83"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B2B2B2"/>
          </w:tcPr>
          <w:p>
            <w:pPr>
              <w:ind w:left="240"/>
              <w:spacing w:after="0" w:line="83" w:lineRule="exact"/>
              <w:rPr>
                <w:sz w:val="20"/>
                <w:szCs w:val="20"/>
                <w:color w:val="auto"/>
              </w:rPr>
            </w:pPr>
            <w:r>
              <w:rPr>
                <w:rFonts w:ascii="Arial" w:cs="Arial" w:eastAsia="Arial" w:hAnsi="Arial"/>
                <w:sz w:val="9"/>
                <w:szCs w:val="9"/>
                <w:color w:val="auto"/>
              </w:rPr>
              <w:t>​</w:t>
            </w:r>
          </w:p>
        </w:tc>
        <w:tc>
          <w:tcPr>
            <w:tcW w:w="120" w:type="dxa"/>
            <w:vAlign w:val="bottom"/>
            <w:gridSpan w:val="2"/>
          </w:tcPr>
          <w:p>
            <w:pPr>
              <w:ind w:left="60"/>
              <w:spacing w:after="0" w:line="83"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200" w:type="dxa"/>
            <w:vAlign w:val="bottom"/>
            <w:gridSpan w:val="2"/>
          </w:tcPr>
          <w:p>
            <w:pPr>
              <w:ind w:left="140"/>
              <w:spacing w:after="0" w:line="83" w:lineRule="exact"/>
              <w:rPr>
                <w:sz w:val="20"/>
                <w:szCs w:val="20"/>
                <w:color w:val="auto"/>
              </w:rPr>
            </w:pPr>
            <w:r>
              <w:rPr>
                <w:rFonts w:ascii="Arial" w:cs="Arial" w:eastAsia="Arial" w:hAnsi="Arial"/>
                <w:sz w:val="9"/>
                <w:szCs w:val="9"/>
                <w:color w:val="auto"/>
              </w:rPr>
              <w:t>​</w:t>
            </w:r>
          </w:p>
        </w:tc>
        <w:tc>
          <w:tcPr>
            <w:tcW w:w="56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100" w:type="dxa"/>
            <w:vAlign w:val="bottom"/>
            <w:gridSpan w:val="2"/>
          </w:tcPr>
          <w:p>
            <w:pPr>
              <w:jc w:val="right"/>
              <w:spacing w:after="0" w:line="83" w:lineRule="exact"/>
              <w:rPr>
                <w:sz w:val="20"/>
                <w:szCs w:val="20"/>
                <w:color w:val="auto"/>
              </w:rPr>
            </w:pPr>
            <w:r>
              <w:rPr>
                <w:rFonts w:ascii="Arial" w:cs="Arial" w:eastAsia="Arial" w:hAnsi="Arial"/>
                <w:sz w:val="9"/>
                <w:szCs w:val="9"/>
                <w:color w:val="auto"/>
              </w:rPr>
              <w:t>​</w:t>
            </w:r>
          </w:p>
        </w:tc>
        <w:tc>
          <w:tcPr>
            <w:tcW w:w="42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240" w:type="dxa"/>
            <w:vAlign w:val="bottom"/>
            <w:gridSpan w:val="2"/>
          </w:tcPr>
          <w:p>
            <w:pPr>
              <w:ind w:left="180"/>
              <w:spacing w:after="0" w:line="83" w:lineRule="exact"/>
              <w:rPr>
                <w:sz w:val="20"/>
                <w:szCs w:val="20"/>
                <w:color w:val="auto"/>
              </w:rPr>
            </w:pPr>
            <w:r>
              <w:rPr>
                <w:rFonts w:ascii="Arial" w:cs="Arial" w:eastAsia="Arial" w:hAnsi="Arial"/>
                <w:sz w:val="9"/>
                <w:szCs w:val="9"/>
                <w:color w:val="auto"/>
              </w:rPr>
              <w:t>​</w:t>
            </w:r>
          </w:p>
        </w:tc>
        <w:tc>
          <w:tcPr>
            <w:tcW w:w="56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12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440" w:type="dxa"/>
            <w:vAlign w:val="bottom"/>
          </w:tcPr>
          <w:p>
            <w:pPr>
              <w:spacing w:after="0" w:line="83"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Avid Modjtabai</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20" w:type="dxa"/>
            <w:vAlign w:val="bottom"/>
            <w:tcBorders>
              <w:bottom w:val="single" w:sz="8" w:color="auto"/>
            </w:tcBorders>
            <w:shd w:val="clear" w:color="auto" w:fill="B2B2B2"/>
          </w:tcPr>
          <w:p>
            <w:pPr>
              <w:spacing w:after="0"/>
              <w:rPr>
                <w:sz w:val="20"/>
                <w:szCs w:val="20"/>
                <w:color w:val="auto"/>
              </w:rPr>
            </w:pPr>
          </w:p>
        </w:tc>
        <w:tc>
          <w:tcPr>
            <w:tcW w:w="34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2780" w:type="dxa"/>
            <w:vAlign w:val="bottom"/>
          </w:tcPr>
          <w:p>
            <w:pPr>
              <w:ind w:left="40"/>
              <w:spacing w:after="0"/>
              <w:rPr>
                <w:sz w:val="20"/>
                <w:szCs w:val="20"/>
                <w:color w:val="auto"/>
              </w:rPr>
            </w:pPr>
            <w:r>
              <w:rPr>
                <w:rFonts w:ascii="Arial" w:cs="Arial" w:eastAsia="Arial" w:hAnsi="Arial"/>
                <w:sz w:val="25"/>
                <w:szCs w:val="25"/>
                <w:color w:val="auto"/>
              </w:rPr>
              <w:t>​</w:t>
            </w:r>
            <w:r>
              <w:rPr>
                <w:rFonts w:ascii="Arial" w:cs="Arial" w:eastAsia="Arial" w:hAnsi="Arial"/>
                <w:sz w:val="16"/>
                <w:szCs w:val="16"/>
                <w:b w:val="1"/>
                <w:bCs w:val="1"/>
                <w:color w:val="auto"/>
              </w:rPr>
              <w:t>Adalio T. Sanchez</w:t>
            </w:r>
          </w:p>
        </w:tc>
        <w:tc>
          <w:tcPr>
            <w:tcW w:w="80" w:type="dxa"/>
            <w:vAlign w:val="bottom"/>
          </w:tcPr>
          <w:p>
            <w:pPr>
              <w:spacing w:after="0"/>
              <w:rPr>
                <w:sz w:val="24"/>
                <w:szCs w:val="24"/>
                <w:color w:val="auto"/>
              </w:rPr>
            </w:pPr>
          </w:p>
        </w:tc>
        <w:tc>
          <w:tcPr>
            <w:tcW w:w="80" w:type="dxa"/>
            <w:vAlign w:val="bottom"/>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120" w:type="dxa"/>
            <w:vAlign w:val="bottom"/>
            <w:shd w:val="clear" w:color="auto" w:fill="B2B2B2"/>
          </w:tcPr>
          <w:p>
            <w:pPr>
              <w:spacing w:after="0"/>
              <w:rPr>
                <w:sz w:val="24"/>
                <w:szCs w:val="24"/>
                <w:color w:val="auto"/>
              </w:rPr>
            </w:pPr>
          </w:p>
        </w:tc>
        <w:tc>
          <w:tcPr>
            <w:tcW w:w="340" w:type="dxa"/>
            <w:vAlign w:val="bottom"/>
            <w:shd w:val="clear" w:color="auto" w:fill="B2B2B2"/>
          </w:tcPr>
          <w:p>
            <w:pPr>
              <w:ind w:left="120"/>
              <w:spacing w:after="0"/>
              <w:rPr>
                <w:sz w:val="20"/>
                <w:szCs w:val="20"/>
                <w:color w:val="auto"/>
              </w:rPr>
            </w:pPr>
            <w:r>
              <w:rPr>
                <w:rFonts w:ascii="Arial" w:cs="Arial" w:eastAsia="Arial" w:hAnsi="Arial"/>
                <w:sz w:val="25"/>
                <w:szCs w:val="25"/>
                <w:color w:val="auto"/>
              </w:rPr>
              <w:t>​</w:t>
            </w:r>
          </w:p>
        </w:tc>
        <w:tc>
          <w:tcPr>
            <w:tcW w:w="120" w:type="dxa"/>
            <w:vAlign w:val="bottom"/>
            <w:gridSpan w:val="2"/>
          </w:tcPr>
          <w:p>
            <w:pPr>
              <w:ind w:left="60"/>
              <w:spacing w:after="0"/>
              <w:rPr>
                <w:sz w:val="20"/>
                <w:szCs w:val="20"/>
                <w:color w:val="auto"/>
              </w:rPr>
            </w:pPr>
            <w:r>
              <w:rPr>
                <w:rFonts w:ascii="Arial" w:cs="Arial" w:eastAsia="Arial" w:hAnsi="Arial"/>
                <w:sz w:val="25"/>
                <w:szCs w:val="25"/>
                <w:color w:val="auto"/>
              </w:rPr>
              <w:t>​</w:t>
            </w:r>
          </w:p>
        </w:tc>
        <w:tc>
          <w:tcPr>
            <w:tcW w:w="180" w:type="dxa"/>
            <w:vAlign w:val="bottom"/>
          </w:tcPr>
          <w:p>
            <w:pPr>
              <w:ind w:left="40"/>
              <w:spacing w:after="0"/>
              <w:rPr>
                <w:sz w:val="20"/>
                <w:szCs w:val="20"/>
                <w:color w:val="auto"/>
              </w:rPr>
            </w:pPr>
            <w:r>
              <w:rPr>
                <w:rFonts w:ascii="Arial" w:cs="Arial" w:eastAsia="Arial" w:hAnsi="Arial"/>
                <w:sz w:val="25"/>
                <w:szCs w:val="25"/>
                <w:color w:val="auto"/>
              </w:rPr>
              <w:t>​</w:t>
            </w:r>
          </w:p>
        </w:tc>
        <w:tc>
          <w:tcPr>
            <w:tcW w:w="280" w:type="dxa"/>
            <w:vAlign w:val="bottom"/>
          </w:tcPr>
          <w:p>
            <w:pPr>
              <w:ind w:left="100"/>
              <w:spacing w:after="0"/>
              <w:rPr>
                <w:sz w:val="20"/>
                <w:szCs w:val="20"/>
                <w:color w:val="auto"/>
              </w:rPr>
            </w:pPr>
            <w:r>
              <w:rPr>
                <w:rFonts w:ascii="Arial" w:cs="Arial" w:eastAsia="Arial" w:hAnsi="Arial"/>
                <w:sz w:val="25"/>
                <w:szCs w:val="25"/>
                <w:color w:val="auto"/>
              </w:rPr>
              <w:t>•</w:t>
            </w:r>
          </w:p>
        </w:tc>
        <w:tc>
          <w:tcPr>
            <w:tcW w:w="200" w:type="dxa"/>
            <w:vAlign w:val="bottom"/>
            <w:gridSpan w:val="2"/>
          </w:tcPr>
          <w:p>
            <w:pPr>
              <w:ind w:left="140"/>
              <w:spacing w:after="0"/>
              <w:rPr>
                <w:sz w:val="20"/>
                <w:szCs w:val="20"/>
                <w:color w:val="auto"/>
              </w:rPr>
            </w:pPr>
            <w:r>
              <w:rPr>
                <w:rFonts w:ascii="Arial" w:cs="Arial" w:eastAsia="Arial" w:hAnsi="Arial"/>
                <w:sz w:val="25"/>
                <w:szCs w:val="25"/>
                <w:color w:val="auto"/>
              </w:rPr>
              <w:t>​</w:t>
            </w:r>
          </w:p>
        </w:tc>
        <w:tc>
          <w:tcPr>
            <w:tcW w:w="560" w:type="dxa"/>
            <w:vAlign w:val="bottom"/>
            <w:gridSpan w:val="2"/>
          </w:tcPr>
          <w:p>
            <w:pPr>
              <w:ind w:left="40"/>
              <w:spacing w:after="0"/>
              <w:rPr>
                <w:sz w:val="20"/>
                <w:szCs w:val="20"/>
                <w:color w:val="auto"/>
              </w:rPr>
            </w:pPr>
            <w:r>
              <w:rPr>
                <w:rFonts w:ascii="Arial" w:cs="Arial" w:eastAsia="Arial" w:hAnsi="Arial"/>
                <w:sz w:val="25"/>
                <w:szCs w:val="25"/>
                <w:color w:val="auto"/>
              </w:rPr>
              <w:t>​</w:t>
            </w:r>
            <w:r>
              <w:rPr>
                <w:rFonts w:ascii="Arial" w:cs="Arial" w:eastAsia="Arial" w:hAnsi="Arial"/>
                <w:sz w:val="17"/>
                <w:szCs w:val="17"/>
                <w:color w:val="auto"/>
              </w:rPr>
              <w:t>Chair</w:t>
            </w:r>
          </w:p>
        </w:tc>
        <w:tc>
          <w:tcPr>
            <w:tcW w:w="100" w:type="dxa"/>
            <w:vAlign w:val="bottom"/>
            <w:gridSpan w:val="2"/>
          </w:tcPr>
          <w:p>
            <w:pPr>
              <w:jc w:val="right"/>
              <w:spacing w:after="0"/>
              <w:rPr>
                <w:sz w:val="20"/>
                <w:szCs w:val="20"/>
                <w:color w:val="auto"/>
              </w:rPr>
            </w:pPr>
            <w:r>
              <w:rPr>
                <w:rFonts w:ascii="Arial" w:cs="Arial" w:eastAsia="Arial" w:hAnsi="Arial"/>
                <w:sz w:val="25"/>
                <w:szCs w:val="25"/>
                <w:color w:val="auto"/>
              </w:rPr>
              <w:t>​​</w:t>
            </w:r>
          </w:p>
        </w:tc>
        <w:tc>
          <w:tcPr>
            <w:tcW w:w="180" w:type="dxa"/>
            <w:vAlign w:val="bottom"/>
          </w:tcPr>
          <w:p>
            <w:pPr>
              <w:ind w:left="40"/>
              <w:spacing w:after="0"/>
              <w:rPr>
                <w:sz w:val="20"/>
                <w:szCs w:val="20"/>
                <w:color w:val="auto"/>
              </w:rPr>
            </w:pPr>
            <w:r>
              <w:rPr>
                <w:rFonts w:ascii="Arial" w:cs="Arial" w:eastAsia="Arial" w:hAnsi="Arial"/>
                <w:sz w:val="25"/>
                <w:szCs w:val="25"/>
                <w:color w:val="auto"/>
              </w:rPr>
              <w:t>​</w:t>
            </w:r>
          </w:p>
        </w:tc>
        <w:tc>
          <w:tcPr>
            <w:tcW w:w="240" w:type="dxa"/>
            <w:vAlign w:val="bottom"/>
          </w:tcPr>
          <w:p>
            <w:pPr>
              <w:jc w:val="center"/>
              <w:ind w:left="35"/>
              <w:spacing w:after="0"/>
              <w:rPr>
                <w:sz w:val="20"/>
                <w:szCs w:val="20"/>
                <w:color w:val="auto"/>
              </w:rPr>
            </w:pPr>
            <w:r>
              <w:rPr>
                <w:rFonts w:ascii="Arial" w:cs="Arial" w:eastAsia="Arial" w:hAnsi="Arial"/>
                <w:sz w:val="25"/>
                <w:szCs w:val="25"/>
                <w:color w:val="auto"/>
              </w:rPr>
              <w:t>​</w:t>
            </w:r>
          </w:p>
        </w:tc>
        <w:tc>
          <w:tcPr>
            <w:tcW w:w="240" w:type="dxa"/>
            <w:vAlign w:val="bottom"/>
            <w:gridSpan w:val="2"/>
          </w:tcPr>
          <w:p>
            <w:pPr>
              <w:ind w:left="180"/>
              <w:spacing w:after="0"/>
              <w:rPr>
                <w:sz w:val="20"/>
                <w:szCs w:val="20"/>
                <w:color w:val="auto"/>
              </w:rPr>
            </w:pPr>
            <w:r>
              <w:rPr>
                <w:rFonts w:ascii="Arial" w:cs="Arial" w:eastAsia="Arial" w:hAnsi="Arial"/>
                <w:sz w:val="25"/>
                <w:szCs w:val="25"/>
                <w:color w:val="auto"/>
              </w:rPr>
              <w:t>​</w:t>
            </w:r>
          </w:p>
        </w:tc>
        <w:tc>
          <w:tcPr>
            <w:tcW w:w="200" w:type="dxa"/>
            <w:vAlign w:val="bottom"/>
          </w:tcPr>
          <w:p>
            <w:pPr>
              <w:ind w:left="40"/>
              <w:spacing w:after="0"/>
              <w:rPr>
                <w:sz w:val="20"/>
                <w:szCs w:val="20"/>
                <w:color w:val="auto"/>
              </w:rPr>
            </w:pPr>
            <w:r>
              <w:rPr>
                <w:rFonts w:ascii="Arial" w:cs="Arial" w:eastAsia="Arial" w:hAnsi="Arial"/>
                <w:sz w:val="25"/>
                <w:szCs w:val="25"/>
                <w:color w:val="auto"/>
              </w:rPr>
              <w:t>​</w:t>
            </w:r>
          </w:p>
        </w:tc>
        <w:tc>
          <w:tcPr>
            <w:tcW w:w="360" w:type="dxa"/>
            <w:vAlign w:val="bottom"/>
          </w:tcPr>
          <w:p>
            <w:pPr>
              <w:ind w:left="80"/>
              <w:spacing w:after="0"/>
              <w:rPr>
                <w:sz w:val="20"/>
                <w:szCs w:val="20"/>
                <w:color w:val="auto"/>
              </w:rPr>
            </w:pPr>
            <w:r>
              <w:rPr>
                <w:rFonts w:ascii="Arial" w:cs="Arial" w:eastAsia="Arial" w:hAnsi="Arial"/>
                <w:sz w:val="25"/>
                <w:szCs w:val="25"/>
                <w:color w:val="auto"/>
              </w:rPr>
              <w:t>•</w:t>
            </w:r>
          </w:p>
        </w:tc>
        <w:tc>
          <w:tcPr>
            <w:tcW w:w="120" w:type="dxa"/>
            <w:vAlign w:val="bottom"/>
            <w:gridSpan w:val="2"/>
          </w:tcPr>
          <w:p>
            <w:pPr>
              <w:ind w:left="40"/>
              <w:spacing w:after="0"/>
              <w:rPr>
                <w:sz w:val="20"/>
                <w:szCs w:val="20"/>
                <w:color w:val="auto"/>
              </w:rPr>
            </w:pPr>
            <w:r>
              <w:rPr>
                <w:rFonts w:ascii="Arial" w:cs="Arial" w:eastAsia="Arial" w:hAnsi="Arial"/>
                <w:sz w:val="25"/>
                <w:szCs w:val="25"/>
                <w:color w:val="auto"/>
              </w:rPr>
              <w:t>​</w:t>
            </w:r>
          </w:p>
        </w:tc>
        <w:tc>
          <w:tcPr>
            <w:tcW w:w="360" w:type="dxa"/>
            <w:vAlign w:val="bottom"/>
          </w:tcPr>
          <w:p>
            <w:pPr>
              <w:ind w:left="40"/>
              <w:spacing w:after="0"/>
              <w:rPr>
                <w:sz w:val="20"/>
                <w:szCs w:val="20"/>
                <w:color w:val="auto"/>
              </w:rPr>
            </w:pPr>
            <w:r>
              <w:rPr>
                <w:rFonts w:ascii="Arial" w:cs="Arial" w:eastAsia="Arial" w:hAnsi="Arial"/>
                <w:sz w:val="25"/>
                <w:szCs w:val="25"/>
                <w:color w:val="auto"/>
              </w:rPr>
              <w:t>​</w:t>
            </w:r>
          </w:p>
        </w:tc>
        <w:tc>
          <w:tcPr>
            <w:tcW w:w="7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34"/>
        </w:trPr>
        <w:tc>
          <w:tcPr>
            <w:tcW w:w="5260" w:type="dxa"/>
            <w:vAlign w:val="bottom"/>
            <w:gridSpan w:val="17"/>
            <w:shd w:val="clear" w:color="auto" w:fill="53C072"/>
          </w:tcPr>
          <w:p>
            <w:pPr>
              <w:spacing w:after="0"/>
              <w:rPr>
                <w:sz w:val="2"/>
                <w:szCs w:val="2"/>
                <w:color w:val="auto"/>
              </w:rPr>
            </w:pPr>
          </w:p>
        </w:tc>
        <w:tc>
          <w:tcPr>
            <w:tcW w:w="2040" w:type="dxa"/>
            <w:vAlign w:val="bottom"/>
            <w:tcBorders>
              <w:right w:val="single" w:sz="8" w:color="53C072"/>
            </w:tcBorders>
            <w:gridSpan w:val="8"/>
            <w:shd w:val="clear" w:color="auto" w:fill="53C072"/>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8"/>
        </w:trPr>
        <w:tc>
          <w:tcPr>
            <w:tcW w:w="5260" w:type="dxa"/>
            <w:vAlign w:val="bottom"/>
            <w:gridSpan w:val="17"/>
          </w:tcPr>
          <w:p>
            <w:pPr>
              <w:ind w:left="20"/>
              <w:spacing w:after="0"/>
              <w:rPr>
                <w:sz w:val="20"/>
                <w:szCs w:val="20"/>
                <w:color w:val="auto"/>
              </w:rPr>
            </w:pPr>
            <w:r>
              <w:rPr>
                <w:rFonts w:ascii="Arial" w:cs="Arial" w:eastAsia="Arial" w:hAnsi="Arial"/>
                <w:sz w:val="14"/>
                <w:szCs w:val="14"/>
                <w:b w:val="1"/>
                <w:bCs w:val="1"/>
                <w:color w:val="auto"/>
              </w:rPr>
              <w:t xml:space="preserve">A: </w:t>
            </w:r>
            <w:r>
              <w:rPr>
                <w:rFonts w:ascii="Arial" w:cs="Arial" w:eastAsia="Arial" w:hAnsi="Arial"/>
                <w:sz w:val="14"/>
                <w:szCs w:val="14"/>
                <w:color w:val="auto"/>
              </w:rPr>
              <w:t>Audit Committee</w:t>
            </w:r>
            <w:r>
              <w:rPr>
                <w:rFonts w:ascii="Arial" w:cs="Arial" w:eastAsia="Arial" w:hAnsi="Arial"/>
                <w:sz w:val="14"/>
                <w:szCs w:val="14"/>
                <w:b w:val="1"/>
                <w:bCs w:val="1"/>
                <w:color w:val="auto"/>
              </w:rPr>
              <w:t xml:space="preserve">  C: </w:t>
            </w:r>
            <w:r>
              <w:rPr>
                <w:rFonts w:ascii="Arial" w:cs="Arial" w:eastAsia="Arial" w:hAnsi="Arial"/>
                <w:sz w:val="14"/>
                <w:szCs w:val="14"/>
                <w:color w:val="auto"/>
              </w:rPr>
              <w:t>Compensation and Leadership Development Committee</w:t>
            </w:r>
          </w:p>
        </w:tc>
        <w:tc>
          <w:tcPr>
            <w:tcW w:w="2480" w:type="dxa"/>
            <w:vAlign w:val="bottom"/>
            <w:gridSpan w:val="9"/>
          </w:tcPr>
          <w:p>
            <w:pPr>
              <w:ind w:left="20"/>
              <w:spacing w:after="0"/>
              <w:rPr>
                <w:sz w:val="20"/>
                <w:szCs w:val="20"/>
                <w:color w:val="auto"/>
              </w:rPr>
            </w:pPr>
            <w:r>
              <w:rPr>
                <w:rFonts w:ascii="Arial" w:cs="Arial" w:eastAsia="Arial" w:hAnsi="Arial"/>
                <w:sz w:val="14"/>
                <w:szCs w:val="14"/>
                <w:b w:val="1"/>
                <w:bCs w:val="1"/>
                <w:color w:val="auto"/>
              </w:rPr>
              <w:t xml:space="preserve">CG: </w:t>
            </w:r>
            <w:r>
              <w:rPr>
                <w:rFonts w:ascii="Arial" w:cs="Arial" w:eastAsia="Arial" w:hAnsi="Arial"/>
                <w:sz w:val="14"/>
                <w:szCs w:val="14"/>
                <w:color w:val="auto"/>
              </w:rPr>
              <w:t>Corporate Governance 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-2136775</wp:posOffset>
            </wp:positionV>
            <wp:extent cx="2768600" cy="1945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68600" cy="1945640"/>
                    </a:xfrm>
                    <a:prstGeom prst="rect">
                      <a:avLst/>
                    </a:prstGeom>
                    <a:noFill/>
                  </pic:spPr>
                </pic:pic>
              </a:graphicData>
            </a:graphic>
          </wp:anchor>
        </w:drawing>
      </w:r>
    </w:p>
    <w:p>
      <w:pPr>
        <w:ind w:left="1720" w:right="4199" w:hanging="10"/>
        <w:spacing w:after="0" w:line="344" w:lineRule="auto"/>
        <w:tabs>
          <w:tab w:leader="none" w:pos="1899" w:val="left"/>
        </w:tabs>
        <w:numPr>
          <w:ilvl w:val="0"/>
          <w:numId w:val="27"/>
        </w:numPr>
        <w:rPr>
          <w:rFonts w:ascii="Arial" w:cs="Arial" w:eastAsia="Arial" w:hAnsi="Arial"/>
          <w:sz w:val="14"/>
          <w:szCs w:val="14"/>
          <w:b w:val="1"/>
          <w:bCs w:val="1"/>
          <w:color w:val="auto"/>
        </w:rPr>
      </w:pPr>
      <w:r>
        <w:rPr>
          <w:rFonts w:ascii="Arial" w:cs="Arial" w:eastAsia="Arial" w:hAnsi="Arial"/>
          <w:sz w:val="14"/>
          <w:szCs w:val="14"/>
          <w:color w:val="auto"/>
        </w:rPr>
        <w:t xml:space="preserve">Executive Committee </w:t>
      </w:r>
      <w:r>
        <w:rPr>
          <w:rFonts w:ascii="Arial" w:cs="Arial" w:eastAsia="Arial" w:hAnsi="Arial"/>
          <w:sz w:val="14"/>
          <w:szCs w:val="14"/>
          <w:b w:val="1"/>
          <w:bCs w:val="1"/>
          <w:color w:val="auto"/>
        </w:rPr>
        <w:t>TR:</w:t>
      </w:r>
      <w:r>
        <w:rPr>
          <w:rFonts w:ascii="Arial" w:cs="Arial" w:eastAsia="Arial" w:hAnsi="Arial"/>
          <w:sz w:val="14"/>
          <w:szCs w:val="14"/>
          <w:color w:val="auto"/>
        </w:rPr>
        <w:t xml:space="preserve"> Technology and Risk Committee • Member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72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5020" w:type="dxa"/>
            <w:vAlign w:val="bottom"/>
            <w:vMerge w:val="restart"/>
          </w:tcPr>
          <w:p>
            <w:pPr>
              <w:ind w:left="2340"/>
              <w:spacing w:after="0"/>
              <w:rPr>
                <w:sz w:val="20"/>
                <w:szCs w:val="20"/>
                <w:color w:val="auto"/>
              </w:rPr>
            </w:pPr>
            <w:r>
              <w:rPr>
                <w:rFonts w:ascii="Arial" w:cs="Arial" w:eastAsia="Arial" w:hAnsi="Arial"/>
                <w:sz w:val="14"/>
                <w:szCs w:val="14"/>
                <w:color w:val="auto"/>
              </w:rPr>
              <w:t>The Board of Directors and its Committees</w:t>
            </w:r>
          </w:p>
        </w:tc>
        <w:tc>
          <w:tcPr>
            <w:tcW w:w="0" w:type="dxa"/>
            <w:vAlign w:val="bottom"/>
          </w:tcPr>
          <w:p>
            <w:pPr>
              <w:spacing w:after="0"/>
              <w:rPr>
                <w:sz w:val="1"/>
                <w:szCs w:val="1"/>
                <w:color w:val="auto"/>
              </w:rPr>
            </w:pPr>
          </w:p>
        </w:tc>
      </w:tr>
      <w:tr>
        <w:trPr>
          <w:trHeight w:val="89"/>
        </w:trPr>
        <w:tc>
          <w:tcPr>
            <w:tcW w:w="47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720" w:type="dxa"/>
            <w:vAlign w:val="bottom"/>
            <w:vMerge w:val="continue"/>
          </w:tcPr>
          <w:p>
            <w:pPr>
              <w:spacing w:after="0"/>
              <w:rPr>
                <w:sz w:val="11"/>
                <w:szCs w:val="11"/>
                <w:color w:val="auto"/>
              </w:rPr>
            </w:pP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183515</wp:posOffset>
            </wp:positionV>
            <wp:extent cx="555498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54980" cy="1885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FFFFFF"/>
        </w:rPr>
        <w:t>AUDIT COMMITTEE</w:t>
      </w:r>
    </w:p>
    <w:p>
      <w:pPr>
        <w:spacing w:after="0" w:line="8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Current Members:</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Ernest E. Maddock (Chair)</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Helmut Gassel</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Virginia L. Henkels</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Oleg Khaykin</w:t>
      </w:r>
    </w:p>
    <w:p>
      <w:pPr>
        <w:spacing w:after="0" w:line="11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Meetings in fiscal 2025: 8</w:t>
      </w:r>
    </w:p>
    <w:p>
      <w:pPr>
        <w:spacing w:after="0" w:line="113" w:lineRule="exact"/>
        <w:rPr>
          <w:sz w:val="20"/>
          <w:szCs w:val="20"/>
          <w:color w:val="auto"/>
        </w:rPr>
      </w:pPr>
    </w:p>
    <w:p>
      <w:pPr>
        <w:ind w:left="1120" w:right="40"/>
        <w:spacing w:after="0" w:line="265" w:lineRule="auto"/>
        <w:rPr>
          <w:sz w:val="20"/>
          <w:szCs w:val="20"/>
          <w:color w:val="auto"/>
        </w:rPr>
      </w:pPr>
      <w:r>
        <w:rPr>
          <w:rFonts w:ascii="Arial" w:cs="Arial" w:eastAsia="Arial" w:hAnsi="Arial"/>
          <w:sz w:val="16"/>
          <w:szCs w:val="16"/>
          <w:b w:val="1"/>
          <w:bCs w:val="1"/>
          <w:color w:val="auto"/>
        </w:rPr>
        <w:t>Audit Committee Financial Experts:</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Ernest E. Maddock (Chair)</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Virginia L. Henkels</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Oleg Khaykin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-141605</wp:posOffset>
            </wp:positionV>
            <wp:extent cx="5554980" cy="24174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54980" cy="241744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is charged with:</w:t>
      </w:r>
    </w:p>
    <w:p>
      <w:pPr>
        <w:spacing w:after="0" w:line="31" w:lineRule="exact"/>
        <w:rPr>
          <w:sz w:val="20"/>
          <w:szCs w:val="20"/>
          <w:color w:val="auto"/>
        </w:rPr>
      </w:pPr>
    </w:p>
    <w:p>
      <w:pPr>
        <w:ind w:left="280" w:right="379" w:hanging="274"/>
        <w:spacing w:after="0" w:line="256" w:lineRule="auto"/>
        <w:tabs>
          <w:tab w:leader="none" w:pos="280" w:val="left"/>
        </w:tabs>
        <w:numPr>
          <w:ilvl w:val="0"/>
          <w:numId w:val="28"/>
        </w:numPr>
        <w:rPr>
          <w:rFonts w:ascii="Arial" w:cs="Arial" w:eastAsia="Arial" w:hAnsi="Arial"/>
          <w:sz w:val="16"/>
          <w:szCs w:val="16"/>
          <w:color w:val="53C072"/>
        </w:rPr>
      </w:pPr>
      <w:r>
        <w:rPr>
          <w:rFonts w:ascii="Arial" w:cs="Arial" w:eastAsia="Arial" w:hAnsi="Arial"/>
          <w:sz w:val="16"/>
          <w:szCs w:val="16"/>
          <w:color w:val="auto"/>
        </w:rPr>
        <w:t>Assisting and representing the Board in fulfilling its oversight responsibilities with respect to:</w:t>
      </w:r>
    </w:p>
    <w:p>
      <w:pPr>
        <w:ind w:left="440" w:hanging="272"/>
        <w:spacing w:after="0"/>
        <w:tabs>
          <w:tab w:leader="none" w:pos="440" w:val="left"/>
        </w:tabs>
        <w:numPr>
          <w:ilvl w:val="1"/>
          <w:numId w:val="28"/>
        </w:numPr>
        <w:rPr>
          <w:rFonts w:ascii="Arial" w:cs="Arial" w:eastAsia="Arial" w:hAnsi="Arial"/>
          <w:sz w:val="16"/>
          <w:szCs w:val="16"/>
          <w:color w:val="53C072"/>
        </w:rPr>
      </w:pPr>
      <w:r>
        <w:rPr>
          <w:rFonts w:ascii="Arial" w:cs="Arial" w:eastAsia="Arial" w:hAnsi="Arial"/>
          <w:sz w:val="16"/>
          <w:szCs w:val="16"/>
          <w:color w:val="auto"/>
        </w:rPr>
        <w:t>The integrity of the Company’s financial statements;</w:t>
      </w:r>
    </w:p>
    <w:p>
      <w:pPr>
        <w:spacing w:after="0" w:line="30" w:lineRule="exact"/>
        <w:rPr>
          <w:rFonts w:ascii="Arial" w:cs="Arial" w:eastAsia="Arial" w:hAnsi="Arial"/>
          <w:sz w:val="16"/>
          <w:szCs w:val="16"/>
          <w:color w:val="53C072"/>
        </w:rPr>
      </w:pPr>
    </w:p>
    <w:p>
      <w:pPr>
        <w:ind w:left="440" w:right="639" w:hanging="272"/>
        <w:spacing w:after="0" w:line="265" w:lineRule="auto"/>
        <w:tabs>
          <w:tab w:leader="none" w:pos="440" w:val="left"/>
        </w:tabs>
        <w:numPr>
          <w:ilvl w:val="1"/>
          <w:numId w:val="28"/>
        </w:numPr>
        <w:rPr>
          <w:rFonts w:ascii="Arial" w:cs="Arial" w:eastAsia="Arial" w:hAnsi="Arial"/>
          <w:sz w:val="16"/>
          <w:szCs w:val="16"/>
          <w:color w:val="53C072"/>
        </w:rPr>
      </w:pPr>
      <w:r>
        <w:rPr>
          <w:rFonts w:ascii="Arial" w:cs="Arial" w:eastAsia="Arial" w:hAnsi="Arial"/>
          <w:sz w:val="16"/>
          <w:szCs w:val="16"/>
          <w:color w:val="auto"/>
        </w:rPr>
        <w:t>The independence, qualifications, and performance of the Company’s independent external auditors;</w:t>
      </w:r>
    </w:p>
    <w:p>
      <w:pPr>
        <w:ind w:left="440" w:hanging="272"/>
        <w:spacing w:after="0"/>
        <w:tabs>
          <w:tab w:leader="none" w:pos="440" w:val="left"/>
        </w:tabs>
        <w:numPr>
          <w:ilvl w:val="1"/>
          <w:numId w:val="28"/>
        </w:numPr>
        <w:rPr>
          <w:rFonts w:ascii="Arial" w:cs="Arial" w:eastAsia="Arial" w:hAnsi="Arial"/>
          <w:sz w:val="16"/>
          <w:szCs w:val="16"/>
          <w:color w:val="53C072"/>
        </w:rPr>
      </w:pPr>
      <w:r>
        <w:rPr>
          <w:rFonts w:ascii="Arial" w:cs="Arial" w:eastAsia="Arial" w:hAnsi="Arial"/>
          <w:sz w:val="16"/>
          <w:szCs w:val="16"/>
          <w:color w:val="auto"/>
        </w:rPr>
        <w:t>The performance of the Company’s internal audit function;</w:t>
      </w:r>
    </w:p>
    <w:p>
      <w:pPr>
        <w:spacing w:after="0" w:line="21" w:lineRule="exact"/>
        <w:rPr>
          <w:rFonts w:ascii="Arial" w:cs="Arial" w:eastAsia="Arial" w:hAnsi="Arial"/>
          <w:sz w:val="16"/>
          <w:szCs w:val="16"/>
          <w:color w:val="53C072"/>
        </w:rPr>
      </w:pPr>
    </w:p>
    <w:p>
      <w:pPr>
        <w:ind w:left="440" w:hanging="272"/>
        <w:spacing w:after="0"/>
        <w:tabs>
          <w:tab w:leader="none" w:pos="440" w:val="left"/>
        </w:tabs>
        <w:numPr>
          <w:ilvl w:val="1"/>
          <w:numId w:val="28"/>
        </w:numPr>
        <w:rPr>
          <w:rFonts w:ascii="Arial" w:cs="Arial" w:eastAsia="Arial" w:hAnsi="Arial"/>
          <w:sz w:val="16"/>
          <w:szCs w:val="16"/>
          <w:color w:val="53C072"/>
        </w:rPr>
      </w:pPr>
      <w:r>
        <w:rPr>
          <w:rFonts w:ascii="Arial" w:cs="Arial" w:eastAsia="Arial" w:hAnsi="Arial"/>
          <w:sz w:val="16"/>
          <w:szCs w:val="16"/>
          <w:color w:val="auto"/>
        </w:rPr>
        <w:t>Compliance with legal and regulatory requirements; and</w:t>
      </w:r>
    </w:p>
    <w:p>
      <w:pPr>
        <w:spacing w:after="0" w:line="5" w:lineRule="exact"/>
        <w:rPr>
          <w:rFonts w:ascii="Arial" w:cs="Arial" w:eastAsia="Arial" w:hAnsi="Arial"/>
          <w:sz w:val="16"/>
          <w:szCs w:val="16"/>
          <w:color w:val="53C072"/>
        </w:rPr>
      </w:pPr>
    </w:p>
    <w:p>
      <w:pPr>
        <w:ind w:left="440" w:hanging="272"/>
        <w:spacing w:after="0"/>
        <w:tabs>
          <w:tab w:leader="none" w:pos="440" w:val="left"/>
        </w:tabs>
        <w:numPr>
          <w:ilvl w:val="1"/>
          <w:numId w:val="28"/>
        </w:numPr>
        <w:rPr>
          <w:rFonts w:ascii="Arial" w:cs="Arial" w:eastAsia="Arial" w:hAnsi="Arial"/>
          <w:sz w:val="16"/>
          <w:szCs w:val="16"/>
          <w:color w:val="53C072"/>
        </w:rPr>
      </w:pPr>
      <w:r>
        <w:rPr>
          <w:rFonts w:ascii="Arial" w:cs="Arial" w:eastAsia="Arial" w:hAnsi="Arial"/>
          <w:sz w:val="16"/>
          <w:szCs w:val="16"/>
          <w:color w:val="auto"/>
        </w:rPr>
        <w:t>Reviewing and approving borrowings up to $500 million.</w:t>
      </w:r>
    </w:p>
    <w:p>
      <w:pPr>
        <w:spacing w:after="0" w:line="16" w:lineRule="exact"/>
        <w:rPr>
          <w:rFonts w:ascii="Arial" w:cs="Arial" w:eastAsia="Arial" w:hAnsi="Arial"/>
          <w:sz w:val="16"/>
          <w:szCs w:val="16"/>
          <w:color w:val="53C072"/>
        </w:rPr>
      </w:pPr>
    </w:p>
    <w:p>
      <w:pPr>
        <w:ind w:left="280" w:right="839" w:hanging="274"/>
        <w:spacing w:after="0" w:line="272" w:lineRule="auto"/>
        <w:tabs>
          <w:tab w:leader="none" w:pos="280" w:val="left"/>
        </w:tabs>
        <w:numPr>
          <w:ilvl w:val="0"/>
          <w:numId w:val="28"/>
        </w:numPr>
        <w:rPr>
          <w:rFonts w:ascii="Arial" w:cs="Arial" w:eastAsia="Arial" w:hAnsi="Arial"/>
          <w:sz w:val="16"/>
          <w:szCs w:val="16"/>
          <w:color w:val="53C072"/>
        </w:rPr>
      </w:pPr>
      <w:r>
        <w:rPr>
          <w:rFonts w:ascii="Arial" w:cs="Arial" w:eastAsia="Arial" w:hAnsi="Arial"/>
          <w:sz w:val="16"/>
          <w:szCs w:val="16"/>
          <w:color w:val="auto"/>
        </w:rPr>
        <w:t>Appointing, compensating, retaining and overseeing the independent registered public accounting firm.</w:t>
      </w:r>
    </w:p>
    <w:p>
      <w:pPr>
        <w:spacing w:after="0" w:line="1" w:lineRule="exact"/>
        <w:rPr>
          <w:rFonts w:ascii="Arial" w:cs="Arial" w:eastAsia="Arial" w:hAnsi="Arial"/>
          <w:sz w:val="16"/>
          <w:szCs w:val="16"/>
          <w:color w:val="53C072"/>
        </w:rPr>
      </w:pPr>
    </w:p>
    <w:p>
      <w:pPr>
        <w:ind w:left="280" w:right="439" w:hanging="274"/>
        <w:spacing w:after="0" w:line="275" w:lineRule="auto"/>
        <w:tabs>
          <w:tab w:leader="none" w:pos="280" w:val="left"/>
        </w:tabs>
        <w:numPr>
          <w:ilvl w:val="0"/>
          <w:numId w:val="28"/>
        </w:numPr>
        <w:rPr>
          <w:rFonts w:ascii="Arial" w:cs="Arial" w:eastAsia="Arial" w:hAnsi="Arial"/>
          <w:sz w:val="16"/>
          <w:szCs w:val="16"/>
          <w:color w:val="53C072"/>
        </w:rPr>
      </w:pPr>
      <w:r>
        <w:rPr>
          <w:rFonts w:ascii="Arial" w:cs="Arial" w:eastAsia="Arial" w:hAnsi="Arial"/>
          <w:sz w:val="16"/>
          <w:szCs w:val="16"/>
          <w:color w:val="auto"/>
        </w:rPr>
        <w:t>Reviewing and approving transactions with any related person in which the Company is a participant and involves an amount equal to or exceeding $120,000 per year.</w:t>
      </w:r>
    </w:p>
    <w:p>
      <w:pPr>
        <w:spacing w:after="0" w:line="83" w:lineRule="exact"/>
        <w:rPr>
          <w:sz w:val="20"/>
          <w:szCs w:val="20"/>
          <w:color w:val="auto"/>
        </w:rPr>
      </w:pPr>
    </w:p>
    <w:p>
      <w:pPr>
        <w:ind w:right="499"/>
        <w:spacing w:after="0" w:line="340" w:lineRule="auto"/>
        <w:rPr>
          <w:sz w:val="20"/>
          <w:szCs w:val="20"/>
          <w:color w:val="auto"/>
        </w:rPr>
      </w:pPr>
      <w:r>
        <w:rPr>
          <w:rFonts w:ascii="Arial" w:cs="Arial" w:eastAsia="Arial" w:hAnsi="Arial"/>
          <w:sz w:val="15"/>
          <w:szCs w:val="15"/>
          <w:color w:val="auto"/>
        </w:rPr>
        <w:t>Please see the Audit Committee Report set forth elsewhere in this Proxy Statement for more information about the Audit Committee and its operations.</w:t>
      </w:r>
    </w:p>
    <w:p>
      <w:pPr>
        <w:spacing w:after="0" w:line="87" w:lineRule="exact"/>
        <w:rPr>
          <w:sz w:val="20"/>
          <w:szCs w:val="20"/>
          <w:color w:val="auto"/>
        </w:rPr>
      </w:pPr>
    </w:p>
    <w:p>
      <w:pPr>
        <w:sectPr>
          <w:pgSz w:w="11900" w:h="16838" w:orient="portrait"/>
          <w:cols w:equalWidth="0" w:num="2">
            <w:col w:w="3180" w:space="720"/>
            <w:col w:w="5979"/>
          </w:cols>
          <w:pgMar w:left="580" w:top="97" w:right="1440" w:bottom="1440" w:gutter="0" w:footer="0" w:header="0"/>
          <w:type w:val="continuous"/>
        </w:sectPr>
      </w:pPr>
    </w:p>
    <w:p>
      <w:pPr>
        <w:ind w:left="1000" w:right="179"/>
        <w:spacing w:after="0" w:line="257" w:lineRule="auto"/>
        <w:rPr>
          <w:sz w:val="20"/>
          <w:szCs w:val="20"/>
          <w:color w:val="auto"/>
        </w:rPr>
      </w:pPr>
      <w:r>
        <w:rPr>
          <w:rFonts w:ascii="Arial" w:cs="Arial" w:eastAsia="Arial" w:hAnsi="Arial"/>
          <w:sz w:val="18"/>
          <w:szCs w:val="18"/>
          <w:color w:val="auto"/>
        </w:rPr>
        <w:t>All Audit Committee members are independent under the independence requirements of the Nasdaq listing standards and the Board’s independence standards. They also meet the additional independence requirements for audit committee members established by the SEC. The Board has further determined that the following three members of the committee qualify as “audit committee financial experts” as defined by the SEC and meet the audit committee financial sophistication requirement of Nasdaq: Ms. Henkels and Messrs. Khaykin and Maddock.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26     </w:t>
      </w:r>
      <w:r>
        <w:rPr>
          <w:sz w:val="1"/>
          <w:szCs w:val="1"/>
          <w:color w:val="auto"/>
        </w:rPr>
        <w:drawing>
          <wp:inline distT="0" distB="0" distL="0" distR="0">
            <wp:extent cx="1242695" cy="24003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72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5020" w:type="dxa"/>
            <w:vAlign w:val="bottom"/>
            <w:vMerge w:val="restart"/>
          </w:tcPr>
          <w:p>
            <w:pPr>
              <w:ind w:left="2340"/>
              <w:spacing w:after="0"/>
              <w:rPr>
                <w:sz w:val="20"/>
                <w:szCs w:val="20"/>
                <w:color w:val="auto"/>
              </w:rPr>
            </w:pPr>
            <w:r>
              <w:rPr>
                <w:rFonts w:ascii="Arial" w:cs="Arial" w:eastAsia="Arial" w:hAnsi="Arial"/>
                <w:sz w:val="14"/>
                <w:szCs w:val="14"/>
                <w:color w:val="auto"/>
              </w:rPr>
              <w:t>The Board of Directors and its Committees</w:t>
            </w:r>
          </w:p>
        </w:tc>
        <w:tc>
          <w:tcPr>
            <w:tcW w:w="0" w:type="dxa"/>
            <w:vAlign w:val="bottom"/>
          </w:tcPr>
          <w:p>
            <w:pPr>
              <w:spacing w:after="0"/>
              <w:rPr>
                <w:sz w:val="1"/>
                <w:szCs w:val="1"/>
                <w:color w:val="auto"/>
              </w:rPr>
            </w:pPr>
          </w:p>
        </w:tc>
      </w:tr>
      <w:tr>
        <w:trPr>
          <w:trHeight w:val="89"/>
        </w:trPr>
        <w:tc>
          <w:tcPr>
            <w:tcW w:w="47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720" w:type="dxa"/>
            <w:vAlign w:val="bottom"/>
            <w:vMerge w:val="continue"/>
          </w:tcPr>
          <w:p>
            <w:pPr>
              <w:spacing w:after="0"/>
              <w:rPr>
                <w:sz w:val="11"/>
                <w:szCs w:val="11"/>
                <w:color w:val="auto"/>
              </w:rPr>
            </w:pP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COMPENSATION AND LEADERSHIP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183515</wp:posOffset>
            </wp:positionV>
            <wp:extent cx="555498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54980" cy="188595"/>
                    </a:xfrm>
                    <a:prstGeom prst="rect">
                      <a:avLst/>
                    </a:prstGeom>
                    <a:noFill/>
                  </pic:spPr>
                </pic:pic>
              </a:graphicData>
            </a:graphic>
          </wp:anchor>
        </w:drawing>
      </w:r>
    </w:p>
    <w:p>
      <w:pPr>
        <w:spacing w:after="0" w:line="317"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FFFFFF"/>
        </w:rPr>
        <w:t>COMPENSATION AND LEADERSHIP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26035</wp:posOffset>
            </wp:positionV>
            <wp:extent cx="5554980" cy="2443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54980" cy="244348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8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Current Members:</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Jo Ann Jenkins (Chair)</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Brenda Freeman</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Avid Modjtabai</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Adalio T. Sanchez</w:t>
      </w:r>
    </w:p>
    <w:p>
      <w:pPr>
        <w:spacing w:after="0" w:line="11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Meetings in fiscal 2025: 4</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Responsibilities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and Leadership Development Committee is charged with:</w:t>
      </w:r>
    </w:p>
    <w:p>
      <w:pPr>
        <w:spacing w:after="0" w:line="32" w:lineRule="exact"/>
        <w:rPr>
          <w:sz w:val="20"/>
          <w:szCs w:val="20"/>
          <w:color w:val="auto"/>
        </w:rPr>
      </w:pPr>
    </w:p>
    <w:p>
      <w:pPr>
        <w:ind w:left="280" w:right="599" w:hanging="274"/>
        <w:spacing w:after="0" w:line="272" w:lineRule="auto"/>
        <w:tabs>
          <w:tab w:leader="none" w:pos="280" w:val="left"/>
        </w:tabs>
        <w:numPr>
          <w:ilvl w:val="0"/>
          <w:numId w:val="29"/>
        </w:numPr>
        <w:rPr>
          <w:rFonts w:ascii="Arial" w:cs="Arial" w:eastAsia="Arial" w:hAnsi="Arial"/>
          <w:sz w:val="16"/>
          <w:szCs w:val="16"/>
          <w:color w:val="53C072"/>
        </w:rPr>
      </w:pPr>
      <w:r>
        <w:rPr>
          <w:rFonts w:ascii="Arial" w:cs="Arial" w:eastAsia="Arial" w:hAnsi="Arial"/>
          <w:sz w:val="16"/>
          <w:szCs w:val="16"/>
          <w:color w:val="auto"/>
        </w:rPr>
        <w:t>Overseeing the Company’s overall compensation structure, policies, and programs.</w:t>
      </w:r>
    </w:p>
    <w:p>
      <w:pPr>
        <w:spacing w:after="0" w:line="1" w:lineRule="exact"/>
        <w:rPr>
          <w:rFonts w:ascii="Arial" w:cs="Arial" w:eastAsia="Arial" w:hAnsi="Arial"/>
          <w:sz w:val="16"/>
          <w:szCs w:val="16"/>
          <w:color w:val="53C072"/>
        </w:rPr>
      </w:pPr>
    </w:p>
    <w:p>
      <w:pPr>
        <w:ind w:left="280" w:right="1239" w:hanging="274"/>
        <w:spacing w:after="0" w:line="272" w:lineRule="auto"/>
        <w:tabs>
          <w:tab w:leader="none" w:pos="280" w:val="left"/>
        </w:tabs>
        <w:numPr>
          <w:ilvl w:val="0"/>
          <w:numId w:val="29"/>
        </w:numPr>
        <w:rPr>
          <w:rFonts w:ascii="Arial" w:cs="Arial" w:eastAsia="Arial" w:hAnsi="Arial"/>
          <w:sz w:val="16"/>
          <w:szCs w:val="16"/>
          <w:color w:val="53C072"/>
        </w:rPr>
      </w:pPr>
      <w:r>
        <w:rPr>
          <w:rFonts w:ascii="Arial" w:cs="Arial" w:eastAsia="Arial" w:hAnsi="Arial"/>
          <w:sz w:val="16"/>
          <w:szCs w:val="16"/>
          <w:color w:val="auto"/>
        </w:rPr>
        <w:t>Assisting the Board in fulfilling its responsibilities with respect to administering the Company’s long-term incentive plan.</w:t>
      </w:r>
    </w:p>
    <w:p>
      <w:pPr>
        <w:spacing w:after="0" w:line="1" w:lineRule="exact"/>
        <w:rPr>
          <w:rFonts w:ascii="Arial" w:cs="Arial" w:eastAsia="Arial" w:hAnsi="Arial"/>
          <w:sz w:val="16"/>
          <w:szCs w:val="16"/>
          <w:color w:val="53C072"/>
        </w:rPr>
      </w:pPr>
    </w:p>
    <w:p>
      <w:pPr>
        <w:ind w:left="280" w:right="799" w:hanging="274"/>
        <w:spacing w:after="0" w:line="272" w:lineRule="auto"/>
        <w:tabs>
          <w:tab w:leader="none" w:pos="280" w:val="left"/>
        </w:tabs>
        <w:numPr>
          <w:ilvl w:val="0"/>
          <w:numId w:val="29"/>
        </w:numPr>
        <w:rPr>
          <w:rFonts w:ascii="Arial" w:cs="Arial" w:eastAsia="Arial" w:hAnsi="Arial"/>
          <w:sz w:val="16"/>
          <w:szCs w:val="16"/>
          <w:color w:val="53C072"/>
        </w:rPr>
      </w:pPr>
      <w:r>
        <w:rPr>
          <w:rFonts w:ascii="Arial" w:cs="Arial" w:eastAsia="Arial" w:hAnsi="Arial"/>
          <w:sz w:val="16"/>
          <w:szCs w:val="16"/>
          <w:color w:val="auto"/>
        </w:rPr>
        <w:t>Reviewing and approving compensation arrangements with executive officers.</w:t>
      </w:r>
    </w:p>
    <w:p>
      <w:pPr>
        <w:spacing w:after="0" w:line="1" w:lineRule="exact"/>
        <w:rPr>
          <w:rFonts w:ascii="Arial" w:cs="Arial" w:eastAsia="Arial" w:hAnsi="Arial"/>
          <w:sz w:val="16"/>
          <w:szCs w:val="16"/>
          <w:color w:val="53C072"/>
        </w:rPr>
      </w:pPr>
    </w:p>
    <w:p>
      <w:pPr>
        <w:ind w:left="280" w:right="339" w:hanging="274"/>
        <w:spacing w:after="0" w:line="272" w:lineRule="auto"/>
        <w:tabs>
          <w:tab w:leader="none" w:pos="280" w:val="left"/>
        </w:tabs>
        <w:numPr>
          <w:ilvl w:val="0"/>
          <w:numId w:val="29"/>
        </w:numPr>
        <w:rPr>
          <w:rFonts w:ascii="Arial" w:cs="Arial" w:eastAsia="Arial" w:hAnsi="Arial"/>
          <w:sz w:val="16"/>
          <w:szCs w:val="16"/>
          <w:color w:val="53C072"/>
        </w:rPr>
      </w:pPr>
      <w:r>
        <w:rPr>
          <w:rFonts w:ascii="Arial" w:cs="Arial" w:eastAsia="Arial" w:hAnsi="Arial"/>
          <w:sz w:val="16"/>
          <w:szCs w:val="16"/>
          <w:color w:val="auto"/>
        </w:rPr>
        <w:t>Evaluating CEO performance and recommending CEO compensation to the Board.</w:t>
      </w:r>
    </w:p>
    <w:p>
      <w:pPr>
        <w:spacing w:after="0" w:line="1" w:lineRule="exact"/>
        <w:rPr>
          <w:rFonts w:ascii="Arial" w:cs="Arial" w:eastAsia="Arial" w:hAnsi="Arial"/>
          <w:sz w:val="16"/>
          <w:szCs w:val="16"/>
          <w:color w:val="53C072"/>
        </w:rPr>
      </w:pPr>
    </w:p>
    <w:p>
      <w:pPr>
        <w:ind w:left="280" w:right="959" w:hanging="274"/>
        <w:spacing w:after="0" w:line="272" w:lineRule="auto"/>
        <w:tabs>
          <w:tab w:leader="none" w:pos="280" w:val="left"/>
        </w:tabs>
        <w:numPr>
          <w:ilvl w:val="0"/>
          <w:numId w:val="29"/>
        </w:numPr>
        <w:rPr>
          <w:rFonts w:ascii="Arial" w:cs="Arial" w:eastAsia="Arial" w:hAnsi="Arial"/>
          <w:sz w:val="16"/>
          <w:szCs w:val="16"/>
          <w:color w:val="53C072"/>
        </w:rPr>
      </w:pPr>
      <w:r>
        <w:rPr>
          <w:rFonts w:ascii="Arial" w:cs="Arial" w:eastAsia="Arial" w:hAnsi="Arial"/>
          <w:sz w:val="16"/>
          <w:szCs w:val="16"/>
          <w:color w:val="auto"/>
        </w:rPr>
        <w:t>Overseeing the Company’s policies and programs relating to talent, leadership, and culture.</w:t>
      </w:r>
    </w:p>
    <w:p>
      <w:pPr>
        <w:spacing w:after="0" w:line="1" w:lineRule="exact"/>
        <w:rPr>
          <w:rFonts w:ascii="Arial" w:cs="Arial" w:eastAsia="Arial" w:hAnsi="Arial"/>
          <w:sz w:val="16"/>
          <w:szCs w:val="16"/>
          <w:color w:val="53C072"/>
        </w:rPr>
      </w:pPr>
    </w:p>
    <w:p>
      <w:pPr>
        <w:ind w:left="280" w:right="719" w:hanging="274"/>
        <w:spacing w:after="0" w:line="304" w:lineRule="auto"/>
        <w:tabs>
          <w:tab w:leader="none" w:pos="280" w:val="left"/>
        </w:tabs>
        <w:numPr>
          <w:ilvl w:val="0"/>
          <w:numId w:val="29"/>
        </w:numPr>
        <w:rPr>
          <w:rFonts w:ascii="Arial" w:cs="Arial" w:eastAsia="Arial" w:hAnsi="Arial"/>
          <w:sz w:val="16"/>
          <w:szCs w:val="16"/>
          <w:color w:val="53C072"/>
        </w:rPr>
      </w:pPr>
      <w:r>
        <w:rPr>
          <w:rFonts w:ascii="Arial" w:cs="Arial" w:eastAsia="Arial" w:hAnsi="Arial"/>
          <w:sz w:val="16"/>
          <w:szCs w:val="16"/>
          <w:color w:val="auto"/>
        </w:rPr>
        <w:t>Overseeing Director compensation and recommending any changes to Director compensation to the Board.</w:t>
      </w:r>
    </w:p>
    <w:p>
      <w:pPr>
        <w:spacing w:after="0" w:line="60" w:lineRule="exact"/>
        <w:rPr>
          <w:sz w:val="20"/>
          <w:szCs w:val="20"/>
          <w:color w:val="auto"/>
        </w:rPr>
      </w:pPr>
    </w:p>
    <w:p>
      <w:pPr>
        <w:ind w:right="299"/>
        <w:spacing w:after="0" w:line="275" w:lineRule="auto"/>
        <w:rPr>
          <w:sz w:val="20"/>
          <w:szCs w:val="20"/>
          <w:color w:val="auto"/>
        </w:rPr>
      </w:pPr>
      <w:r>
        <w:rPr>
          <w:rFonts w:ascii="Arial" w:cs="Arial" w:eastAsia="Arial" w:hAnsi="Arial"/>
          <w:sz w:val="16"/>
          <w:szCs w:val="16"/>
          <w:color w:val="auto"/>
        </w:rPr>
        <w:t>The Compensation and Leadership Development Committee’s objective is to establish and oversee a total compensation program that fairly and competitively rewards long-term performance and enhances shareholder value.</w:t>
      </w:r>
    </w:p>
    <w:p>
      <w:pPr>
        <w:spacing w:after="0" w:line="146" w:lineRule="exact"/>
        <w:rPr>
          <w:sz w:val="20"/>
          <w:szCs w:val="20"/>
          <w:color w:val="auto"/>
        </w:rPr>
      </w:pPr>
    </w:p>
    <w:p>
      <w:pPr>
        <w:sectPr>
          <w:pgSz w:w="11900" w:h="16838" w:orient="portrait"/>
          <w:cols w:equalWidth="0" w:num="2">
            <w:col w:w="3180" w:space="720"/>
            <w:col w:w="5979"/>
          </w:cols>
          <w:pgMar w:left="580" w:top="97" w:right="1440" w:bottom="1440" w:gutter="0" w:footer="0" w:header="0"/>
          <w:type w:val="continuous"/>
        </w:sectPr>
      </w:pPr>
    </w:p>
    <w:p>
      <w:pPr>
        <w:ind w:left="1000" w:right="259"/>
        <w:spacing w:after="0" w:line="255" w:lineRule="auto"/>
        <w:rPr>
          <w:sz w:val="20"/>
          <w:szCs w:val="20"/>
          <w:color w:val="auto"/>
        </w:rPr>
      </w:pPr>
      <w:r>
        <w:rPr>
          <w:rFonts w:ascii="Arial" w:cs="Arial" w:eastAsia="Arial" w:hAnsi="Arial"/>
          <w:sz w:val="18"/>
          <w:szCs w:val="18"/>
          <w:color w:val="auto"/>
        </w:rPr>
        <w:t>The Compensation and Leadership Development Committee has the authority to retain an independent executive compensation consultant to assist in evaluating compensation for the Company’s executive officers and Directors, and to help ensure that the committee’s actions are objective and appropriate. The committee has the sole authority to retain, at the Company’s expense, and terminate any such consultant, including the sole authority to approve such consultant’s fees and other terms of engagement. The committee retained Meridian Compensation Partners, LLC (“Meridian”) as the committee’s independent compensation consultant for fiscal 2025. The committee assessed the independence of Meridian pursuant to the SEC and Nasdaq rules and concluded that no conflict of interest existed that prevented, or will prevent, Meridian from being an independent consultant to the committee.</w:t>
      </w:r>
    </w:p>
    <w:p>
      <w:pPr>
        <w:spacing w:after="0" w:line="100" w:lineRule="exact"/>
        <w:rPr>
          <w:sz w:val="20"/>
          <w:szCs w:val="20"/>
          <w:color w:val="auto"/>
        </w:rPr>
      </w:pPr>
    </w:p>
    <w:p>
      <w:pPr>
        <w:ind w:left="1000" w:right="579"/>
        <w:spacing w:after="0" w:line="268" w:lineRule="auto"/>
        <w:rPr>
          <w:sz w:val="20"/>
          <w:szCs w:val="20"/>
          <w:color w:val="auto"/>
        </w:rPr>
      </w:pPr>
      <w:r>
        <w:rPr>
          <w:rFonts w:ascii="Arial" w:cs="Arial" w:eastAsia="Arial" w:hAnsi="Arial"/>
          <w:sz w:val="18"/>
          <w:szCs w:val="18"/>
          <w:color w:val="auto"/>
        </w:rPr>
        <w:t>All committee members meet the independence requirements of Nasdaq listing standards and the Board’s independence standards, and meet Nasdaq’s additional independence requirements for compensation committee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199"/>
        <w:spacing w:after="0"/>
        <w:rPr>
          <w:sz w:val="20"/>
          <w:szCs w:val="20"/>
          <w:color w:val="auto"/>
        </w:rPr>
      </w:pPr>
      <w:r>
        <w:rPr>
          <w:sz w:val="1"/>
          <w:szCs w:val="1"/>
          <w:color w:val="auto"/>
        </w:rPr>
        <w:drawing>
          <wp:inline distT="0" distB="0" distL="0" distR="0">
            <wp:extent cx="1243330" cy="24003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72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5020" w:type="dxa"/>
            <w:vAlign w:val="bottom"/>
            <w:vMerge w:val="restart"/>
          </w:tcPr>
          <w:p>
            <w:pPr>
              <w:ind w:left="2340"/>
              <w:spacing w:after="0"/>
              <w:rPr>
                <w:sz w:val="20"/>
                <w:szCs w:val="20"/>
                <w:color w:val="auto"/>
              </w:rPr>
            </w:pPr>
            <w:r>
              <w:rPr>
                <w:rFonts w:ascii="Arial" w:cs="Arial" w:eastAsia="Arial" w:hAnsi="Arial"/>
                <w:sz w:val="14"/>
                <w:szCs w:val="14"/>
                <w:color w:val="auto"/>
              </w:rPr>
              <w:t>The Board of Directors and its Committees</w:t>
            </w:r>
          </w:p>
        </w:tc>
        <w:tc>
          <w:tcPr>
            <w:tcW w:w="0" w:type="dxa"/>
            <w:vAlign w:val="bottom"/>
          </w:tcPr>
          <w:p>
            <w:pPr>
              <w:spacing w:after="0"/>
              <w:rPr>
                <w:sz w:val="1"/>
                <w:szCs w:val="1"/>
                <w:color w:val="auto"/>
              </w:rPr>
            </w:pPr>
          </w:p>
        </w:tc>
      </w:tr>
      <w:tr>
        <w:trPr>
          <w:trHeight w:val="89"/>
        </w:trPr>
        <w:tc>
          <w:tcPr>
            <w:tcW w:w="47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720" w:type="dxa"/>
            <w:vAlign w:val="bottom"/>
            <w:vMerge w:val="continue"/>
          </w:tcPr>
          <w:p>
            <w:pPr>
              <w:spacing w:after="0"/>
              <w:rPr>
                <w:sz w:val="11"/>
                <w:szCs w:val="11"/>
                <w:color w:val="auto"/>
              </w:rPr>
            </w:pP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183515</wp:posOffset>
            </wp:positionV>
            <wp:extent cx="55549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54980" cy="188595"/>
                    </a:xfrm>
                    <a:prstGeom prst="rect">
                      <a:avLst/>
                    </a:prstGeom>
                    <a:noFill/>
                  </pic:spPr>
                </pic:pic>
              </a:graphicData>
            </a:graphic>
          </wp:anchor>
        </w:drawing>
      </w:r>
    </w:p>
    <w:p>
      <w:pPr>
        <w:spacing w:after="0" w:line="317"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FFFFFF"/>
        </w:rPr>
        <w:t>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26035</wp:posOffset>
            </wp:positionV>
            <wp:extent cx="5554980" cy="1954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54980" cy="195453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8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Current Members:</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Adalio T. Sanchez (Chair)</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Rodney C. Adkins</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Brenda L. Freeman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Virginia L. Henkels</w:t>
      </w:r>
    </w:p>
    <w:p>
      <w:pPr>
        <w:spacing w:after="0" w:line="11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Meetings in fiscal 2025: 4</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Responsibilities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Corporate Governance Committee is charged with:</w:t>
      </w:r>
    </w:p>
    <w:p>
      <w:pPr>
        <w:spacing w:after="0" w:line="140" w:lineRule="exact"/>
        <w:rPr>
          <w:sz w:val="20"/>
          <w:szCs w:val="20"/>
          <w:color w:val="auto"/>
        </w:rPr>
      </w:pPr>
    </w:p>
    <w:p>
      <w:pPr>
        <w:ind w:left="280" w:right="259" w:hanging="274"/>
        <w:spacing w:after="0" w:line="264" w:lineRule="auto"/>
        <w:tabs>
          <w:tab w:leader="none" w:pos="280" w:val="left"/>
        </w:tabs>
        <w:numPr>
          <w:ilvl w:val="0"/>
          <w:numId w:val="30"/>
        </w:numPr>
        <w:rPr>
          <w:rFonts w:ascii="Arial" w:cs="Arial" w:eastAsia="Arial" w:hAnsi="Arial"/>
          <w:sz w:val="16"/>
          <w:szCs w:val="16"/>
          <w:color w:val="53C072"/>
        </w:rPr>
      </w:pPr>
      <w:r>
        <w:rPr>
          <w:rFonts w:ascii="Arial" w:cs="Arial" w:eastAsia="Arial" w:hAnsi="Arial"/>
          <w:sz w:val="16"/>
          <w:szCs w:val="16"/>
          <w:color w:val="auto"/>
        </w:rPr>
        <w:t>Identifying, screening, and recommending appropriate candidates to serve as directors.</w:t>
      </w:r>
    </w:p>
    <w:p>
      <w:pPr>
        <w:ind w:left="280" w:hanging="274"/>
        <w:spacing w:after="0"/>
        <w:tabs>
          <w:tab w:leader="none" w:pos="280" w:val="left"/>
        </w:tabs>
        <w:numPr>
          <w:ilvl w:val="0"/>
          <w:numId w:val="30"/>
        </w:numPr>
        <w:rPr>
          <w:rFonts w:ascii="Arial" w:cs="Arial" w:eastAsia="Arial" w:hAnsi="Arial"/>
          <w:sz w:val="16"/>
          <w:szCs w:val="16"/>
          <w:color w:val="53C072"/>
        </w:rPr>
      </w:pPr>
      <w:r>
        <w:rPr>
          <w:rFonts w:ascii="Arial" w:cs="Arial" w:eastAsia="Arial" w:hAnsi="Arial"/>
          <w:sz w:val="16"/>
          <w:szCs w:val="16"/>
          <w:color w:val="auto"/>
        </w:rPr>
        <w:t>Reviewing the Company’s succession plans, including CEO succession.</w:t>
      </w:r>
    </w:p>
    <w:p>
      <w:pPr>
        <w:spacing w:after="0" w:line="30" w:lineRule="exact"/>
        <w:rPr>
          <w:rFonts w:ascii="Arial" w:cs="Arial" w:eastAsia="Arial" w:hAnsi="Arial"/>
          <w:sz w:val="16"/>
          <w:szCs w:val="16"/>
          <w:color w:val="53C072"/>
        </w:rPr>
      </w:pPr>
    </w:p>
    <w:p>
      <w:pPr>
        <w:ind w:left="280" w:right="819" w:hanging="274"/>
        <w:spacing w:after="0" w:line="265" w:lineRule="auto"/>
        <w:tabs>
          <w:tab w:leader="none" w:pos="280" w:val="left"/>
        </w:tabs>
        <w:numPr>
          <w:ilvl w:val="0"/>
          <w:numId w:val="30"/>
        </w:numPr>
        <w:rPr>
          <w:rFonts w:ascii="Arial" w:cs="Arial" w:eastAsia="Arial" w:hAnsi="Arial"/>
          <w:sz w:val="16"/>
          <w:szCs w:val="16"/>
          <w:color w:val="53C072"/>
        </w:rPr>
      </w:pPr>
      <w:r>
        <w:rPr>
          <w:rFonts w:ascii="Arial" w:cs="Arial" w:eastAsia="Arial" w:hAnsi="Arial"/>
          <w:sz w:val="16"/>
          <w:szCs w:val="16"/>
          <w:color w:val="auto"/>
        </w:rPr>
        <w:t>Overseeing the process for evaluating the Board, its committees, and management.</w:t>
      </w:r>
    </w:p>
    <w:p>
      <w:pPr>
        <w:ind w:left="280" w:right="719" w:hanging="274"/>
        <w:spacing w:after="0" w:line="272" w:lineRule="auto"/>
        <w:tabs>
          <w:tab w:leader="none" w:pos="280" w:val="left"/>
        </w:tabs>
        <w:numPr>
          <w:ilvl w:val="0"/>
          <w:numId w:val="30"/>
        </w:numPr>
        <w:rPr>
          <w:rFonts w:ascii="Arial" w:cs="Arial" w:eastAsia="Arial" w:hAnsi="Arial"/>
          <w:sz w:val="16"/>
          <w:szCs w:val="16"/>
          <w:color w:val="53C072"/>
        </w:rPr>
      </w:pPr>
      <w:r>
        <w:rPr>
          <w:rFonts w:ascii="Arial" w:cs="Arial" w:eastAsia="Arial" w:hAnsi="Arial"/>
          <w:sz w:val="16"/>
          <w:szCs w:val="16"/>
          <w:color w:val="auto"/>
        </w:rPr>
        <w:t>Making recommendations with respect to corporate governance issues affecting the Board and the Company.</w:t>
      </w:r>
    </w:p>
    <w:p>
      <w:pPr>
        <w:ind w:left="280" w:hanging="274"/>
        <w:spacing w:after="0"/>
        <w:tabs>
          <w:tab w:leader="none" w:pos="280" w:val="left"/>
        </w:tabs>
        <w:numPr>
          <w:ilvl w:val="0"/>
          <w:numId w:val="30"/>
        </w:numPr>
        <w:rPr>
          <w:rFonts w:ascii="Arial" w:cs="Arial" w:eastAsia="Arial" w:hAnsi="Arial"/>
          <w:sz w:val="16"/>
          <w:szCs w:val="16"/>
          <w:color w:val="53C072"/>
        </w:rPr>
      </w:pPr>
      <w:r>
        <w:rPr>
          <w:rFonts w:ascii="Arial" w:cs="Arial" w:eastAsia="Arial" w:hAnsi="Arial"/>
          <w:sz w:val="16"/>
          <w:szCs w:val="16"/>
          <w:color w:val="auto"/>
        </w:rPr>
        <w:t>Overseeing director orientation and continuing education programs.</w:t>
      </w:r>
    </w:p>
    <w:p>
      <w:pPr>
        <w:spacing w:after="0" w:line="18" w:lineRule="exact"/>
        <w:rPr>
          <w:rFonts w:ascii="Arial" w:cs="Arial" w:eastAsia="Arial" w:hAnsi="Arial"/>
          <w:sz w:val="16"/>
          <w:szCs w:val="16"/>
          <w:color w:val="53C072"/>
        </w:rPr>
      </w:pPr>
    </w:p>
    <w:p>
      <w:pPr>
        <w:ind w:left="280" w:hanging="274"/>
        <w:spacing w:after="0"/>
        <w:tabs>
          <w:tab w:leader="none" w:pos="280" w:val="left"/>
        </w:tabs>
        <w:numPr>
          <w:ilvl w:val="0"/>
          <w:numId w:val="30"/>
        </w:numPr>
        <w:rPr>
          <w:rFonts w:ascii="Arial" w:cs="Arial" w:eastAsia="Arial" w:hAnsi="Arial"/>
          <w:sz w:val="16"/>
          <w:szCs w:val="16"/>
          <w:color w:val="53C072"/>
        </w:rPr>
      </w:pPr>
      <w:r>
        <w:rPr>
          <w:rFonts w:ascii="Arial" w:cs="Arial" w:eastAsia="Arial" w:hAnsi="Arial"/>
          <w:sz w:val="16"/>
          <w:szCs w:val="16"/>
          <w:color w:val="auto"/>
        </w:rPr>
        <w:t>Overseeing the Company’s programs and initiatives related to sustainability.</w:t>
      </w:r>
    </w:p>
    <w:p>
      <w:pPr>
        <w:spacing w:after="0" w:line="114" w:lineRule="exact"/>
        <w:rPr>
          <w:sz w:val="20"/>
          <w:szCs w:val="20"/>
          <w:color w:val="auto"/>
        </w:rPr>
      </w:pPr>
    </w:p>
    <w:p>
      <w:pPr>
        <w:ind w:right="739"/>
        <w:spacing w:after="0" w:line="286" w:lineRule="auto"/>
        <w:rPr>
          <w:sz w:val="20"/>
          <w:szCs w:val="20"/>
          <w:color w:val="auto"/>
        </w:rPr>
      </w:pPr>
      <w:r>
        <w:rPr>
          <w:rFonts w:ascii="Arial" w:cs="Arial" w:eastAsia="Arial" w:hAnsi="Arial"/>
          <w:sz w:val="16"/>
          <w:szCs w:val="16"/>
          <w:color w:val="auto"/>
        </w:rPr>
        <w:t>Please see “Corporate Governance — Director Nominations” for additional information on the Corporate Governance Committee.</w:t>
      </w:r>
    </w:p>
    <w:p>
      <w:pPr>
        <w:spacing w:after="0" w:line="137" w:lineRule="exact"/>
        <w:rPr>
          <w:sz w:val="20"/>
          <w:szCs w:val="20"/>
          <w:color w:val="auto"/>
        </w:rPr>
      </w:pPr>
    </w:p>
    <w:p>
      <w:pPr>
        <w:sectPr>
          <w:pgSz w:w="11900" w:h="16838" w:orient="portrait"/>
          <w:cols w:equalWidth="0" w:num="2">
            <w:col w:w="3180" w:space="720"/>
            <w:col w:w="5979"/>
          </w:cols>
          <w:pgMar w:left="580" w:top="97" w:right="1440" w:bottom="1440" w:gutter="0" w:footer="0" w:header="0"/>
          <w:type w:val="continuous"/>
        </w:sectPr>
      </w:pPr>
    </w:p>
    <w:p>
      <w:pPr>
        <w:ind w:left="1000" w:right="799"/>
        <w:spacing w:after="0" w:line="287" w:lineRule="auto"/>
        <w:rPr>
          <w:sz w:val="20"/>
          <w:szCs w:val="20"/>
          <w:color w:val="auto"/>
        </w:rPr>
      </w:pPr>
      <w:r>
        <w:rPr>
          <w:rFonts w:ascii="Arial" w:cs="Arial" w:eastAsia="Arial" w:hAnsi="Arial"/>
          <w:sz w:val="18"/>
          <w:szCs w:val="18"/>
          <w:color w:val="auto"/>
        </w:rPr>
        <w:t>All Corporate Governance Committee members meet the independence requirements of Nasdaq listing standards and the Board’s independence standards.</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TECHNOLOGY AND RISK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174625</wp:posOffset>
            </wp:positionV>
            <wp:extent cx="555498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54980" cy="188595"/>
                    </a:xfrm>
                    <a:prstGeom prst="rect">
                      <a:avLst/>
                    </a:prstGeom>
                    <a:noFill/>
                  </pic:spPr>
                </pic:pic>
              </a:graphicData>
            </a:graphic>
          </wp:anchor>
        </w:drawing>
      </w:r>
    </w:p>
    <w:p>
      <w:pPr>
        <w:spacing w:after="0" w:line="304"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FFFFFF"/>
        </w:rPr>
        <w:t>TECHNOLOGY AND RISK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26035</wp:posOffset>
            </wp:positionV>
            <wp:extent cx="5554980" cy="12515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54980" cy="125158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8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Current Members:</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Oleg Khaykin (Chair)</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Helmut Gassel</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Jo Ann Jenkins</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Ernest E. Maddock</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Avid Modjtabai</w:t>
      </w:r>
    </w:p>
    <w:p>
      <w:pPr>
        <w:spacing w:after="0" w:line="9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Meetings in fiscal 2025: 2</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Responsibilities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Technology and Risk Committee is charged with:</w:t>
      </w:r>
    </w:p>
    <w:p>
      <w:pPr>
        <w:spacing w:after="0" w:line="140" w:lineRule="exact"/>
        <w:rPr>
          <w:sz w:val="20"/>
          <w:szCs w:val="20"/>
          <w:color w:val="auto"/>
        </w:rPr>
      </w:pPr>
    </w:p>
    <w:p>
      <w:pPr>
        <w:ind w:left="280" w:right="739" w:hanging="274"/>
        <w:spacing w:after="0" w:line="272" w:lineRule="auto"/>
        <w:tabs>
          <w:tab w:leader="none" w:pos="280" w:val="left"/>
        </w:tabs>
        <w:numPr>
          <w:ilvl w:val="0"/>
          <w:numId w:val="31"/>
        </w:numPr>
        <w:rPr>
          <w:rFonts w:ascii="Arial" w:cs="Arial" w:eastAsia="Arial" w:hAnsi="Arial"/>
          <w:sz w:val="16"/>
          <w:szCs w:val="16"/>
          <w:color w:val="53C072"/>
        </w:rPr>
      </w:pPr>
      <w:r>
        <w:rPr>
          <w:rFonts w:ascii="Arial" w:cs="Arial" w:eastAsia="Arial" w:hAnsi="Arial"/>
          <w:sz w:val="16"/>
          <w:szCs w:val="16"/>
          <w:color w:val="auto"/>
        </w:rPr>
        <w:t>Overseeing the Company’s enterprise risk management and resiliency program.</w:t>
      </w:r>
    </w:p>
    <w:p>
      <w:pPr>
        <w:spacing w:after="0" w:line="1" w:lineRule="exact"/>
        <w:rPr>
          <w:rFonts w:ascii="Arial" w:cs="Arial" w:eastAsia="Arial" w:hAnsi="Arial"/>
          <w:sz w:val="16"/>
          <w:szCs w:val="16"/>
          <w:color w:val="53C072"/>
        </w:rPr>
      </w:pPr>
    </w:p>
    <w:p>
      <w:pPr>
        <w:ind w:left="280" w:right="999" w:hanging="274"/>
        <w:spacing w:after="0" w:line="272" w:lineRule="auto"/>
        <w:tabs>
          <w:tab w:leader="none" w:pos="280" w:val="left"/>
        </w:tabs>
        <w:numPr>
          <w:ilvl w:val="0"/>
          <w:numId w:val="31"/>
        </w:numPr>
        <w:rPr>
          <w:rFonts w:ascii="Arial" w:cs="Arial" w:eastAsia="Arial" w:hAnsi="Arial"/>
          <w:sz w:val="16"/>
          <w:szCs w:val="16"/>
          <w:color w:val="53C072"/>
        </w:rPr>
      </w:pPr>
      <w:r>
        <w:rPr>
          <w:rFonts w:ascii="Arial" w:cs="Arial" w:eastAsia="Arial" w:hAnsi="Arial"/>
          <w:sz w:val="16"/>
          <w:szCs w:val="16"/>
          <w:color w:val="auto"/>
        </w:rPr>
        <w:t>Overseeing significant risk exposures, including risks related to the Company’s operations, trade compliance, and ethics program.</w:t>
      </w:r>
    </w:p>
    <w:p>
      <w:pPr>
        <w:spacing w:after="0" w:line="1" w:lineRule="exact"/>
        <w:rPr>
          <w:rFonts w:ascii="Arial" w:cs="Arial" w:eastAsia="Arial" w:hAnsi="Arial"/>
          <w:sz w:val="16"/>
          <w:szCs w:val="16"/>
          <w:color w:val="53C072"/>
        </w:rPr>
      </w:pPr>
    </w:p>
    <w:p>
      <w:pPr>
        <w:ind w:left="280" w:right="519" w:hanging="274"/>
        <w:spacing w:after="0" w:line="286" w:lineRule="auto"/>
        <w:tabs>
          <w:tab w:leader="none" w:pos="280" w:val="left"/>
        </w:tabs>
        <w:numPr>
          <w:ilvl w:val="0"/>
          <w:numId w:val="31"/>
        </w:numPr>
        <w:rPr>
          <w:rFonts w:ascii="Arial" w:cs="Arial" w:eastAsia="Arial" w:hAnsi="Arial"/>
          <w:sz w:val="16"/>
          <w:szCs w:val="16"/>
          <w:color w:val="53C072"/>
        </w:rPr>
      </w:pPr>
      <w:r>
        <w:rPr>
          <w:rFonts w:ascii="Arial" w:cs="Arial" w:eastAsia="Arial" w:hAnsi="Arial"/>
          <w:sz w:val="16"/>
          <w:szCs w:val="16"/>
          <w:color w:val="auto"/>
        </w:rPr>
        <w:t>Overseeing the Company’s technology and information security, including use of artificial intelligence.</w:t>
      </w:r>
    </w:p>
    <w:p>
      <w:pPr>
        <w:spacing w:after="0" w:line="137" w:lineRule="exact"/>
        <w:rPr>
          <w:sz w:val="20"/>
          <w:szCs w:val="20"/>
          <w:color w:val="auto"/>
        </w:rPr>
      </w:pPr>
    </w:p>
    <w:p>
      <w:pPr>
        <w:sectPr>
          <w:pgSz w:w="11900" w:h="16838" w:orient="portrait"/>
          <w:cols w:equalWidth="0" w:num="2">
            <w:col w:w="3180" w:space="720"/>
            <w:col w:w="5979"/>
          </w:cols>
          <w:pgMar w:left="580" w:top="97" w:right="1440" w:bottom="1440" w:gutter="0" w:footer="0" w:header="0"/>
          <w:type w:val="continuous"/>
        </w:sectPr>
      </w:pPr>
    </w:p>
    <w:p>
      <w:pPr>
        <w:ind w:left="1000" w:right="399"/>
        <w:spacing w:after="0" w:line="268" w:lineRule="auto"/>
        <w:rPr>
          <w:sz w:val="20"/>
          <w:szCs w:val="20"/>
          <w:color w:val="auto"/>
        </w:rPr>
      </w:pPr>
      <w:r>
        <w:rPr>
          <w:rFonts w:ascii="Arial" w:cs="Arial" w:eastAsia="Arial" w:hAnsi="Arial"/>
          <w:sz w:val="18"/>
          <w:szCs w:val="18"/>
          <w:color w:val="auto"/>
        </w:rPr>
        <w:t>The Technology and Risk Committee was formed as of January 1, 2025. All Technology and Risk Committee members meet the independence requirements of Nasdaq listing standards and the Board’s independence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28     </w:t>
      </w:r>
      <w:r>
        <w:rPr>
          <w:sz w:val="1"/>
          <w:szCs w:val="1"/>
          <w:color w:val="auto"/>
        </w:rPr>
        <w:drawing>
          <wp:inline distT="0" distB="0" distL="0" distR="0">
            <wp:extent cx="1242695" cy="24003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72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5020" w:type="dxa"/>
            <w:vAlign w:val="bottom"/>
            <w:vMerge w:val="restart"/>
          </w:tcPr>
          <w:p>
            <w:pPr>
              <w:ind w:left="2340"/>
              <w:spacing w:after="0"/>
              <w:rPr>
                <w:sz w:val="20"/>
                <w:szCs w:val="20"/>
                <w:color w:val="auto"/>
              </w:rPr>
            </w:pPr>
            <w:r>
              <w:rPr>
                <w:rFonts w:ascii="Arial" w:cs="Arial" w:eastAsia="Arial" w:hAnsi="Arial"/>
                <w:sz w:val="14"/>
                <w:szCs w:val="14"/>
                <w:color w:val="auto"/>
              </w:rPr>
              <w:t>The Board of Directors and its Committees</w:t>
            </w:r>
          </w:p>
        </w:tc>
        <w:tc>
          <w:tcPr>
            <w:tcW w:w="0" w:type="dxa"/>
            <w:vAlign w:val="bottom"/>
          </w:tcPr>
          <w:p>
            <w:pPr>
              <w:spacing w:after="0"/>
              <w:rPr>
                <w:sz w:val="1"/>
                <w:szCs w:val="1"/>
                <w:color w:val="auto"/>
              </w:rPr>
            </w:pPr>
          </w:p>
        </w:tc>
      </w:tr>
      <w:tr>
        <w:trPr>
          <w:trHeight w:val="89"/>
        </w:trPr>
        <w:tc>
          <w:tcPr>
            <w:tcW w:w="47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720" w:type="dxa"/>
            <w:vAlign w:val="bottom"/>
            <w:vMerge w:val="continue"/>
          </w:tcPr>
          <w:p>
            <w:pPr>
              <w:spacing w:after="0"/>
              <w:rPr>
                <w:sz w:val="11"/>
                <w:szCs w:val="11"/>
                <w:color w:val="auto"/>
              </w:rPr>
            </w:pP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183515</wp:posOffset>
            </wp:positionV>
            <wp:extent cx="555498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54980" cy="1885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1120"/>
        <w:spacing w:after="0"/>
        <w:rPr>
          <w:sz w:val="20"/>
          <w:szCs w:val="20"/>
          <w:color w:val="auto"/>
        </w:rPr>
      </w:pPr>
      <w:r>
        <w:rPr>
          <w:rFonts w:ascii="Arial" w:cs="Arial" w:eastAsia="Arial" w:hAnsi="Arial"/>
          <w:sz w:val="17"/>
          <w:szCs w:val="17"/>
          <w:b w:val="1"/>
          <w:bCs w:val="1"/>
          <w:color w:val="FFFFFF"/>
        </w:rPr>
        <w:t>EXECUTIVE COMMITTEE</w:t>
      </w:r>
    </w:p>
    <w:p>
      <w:pPr>
        <w:spacing w:after="0" w:line="93"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Members:</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Rodney C. Adkins (Chair)</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Jo Ann Jenkins</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Oleg Khaykin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Ernest E. Maddock</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Adalio T. Sanchez</w:t>
      </w:r>
    </w:p>
    <w:p>
      <w:pPr>
        <w:spacing w:after="0" w:line="10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Meetings in fiscal 2025: 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-132715</wp:posOffset>
            </wp:positionV>
            <wp:extent cx="5554980" cy="19716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54980" cy="1971675"/>
                    </a:xfrm>
                    <a:prstGeom prst="rect">
                      <a:avLst/>
                    </a:prstGeom>
                    <a:noFill/>
                  </pic:spPr>
                </pic:pic>
              </a:graphicData>
            </a:graphic>
          </wp:anchor>
        </w:drawing>
      </w:r>
    </w:p>
    <w:p>
      <w:pPr>
        <w:spacing w:after="0" w:line="107" w:lineRule="exact"/>
        <w:rPr>
          <w:sz w:val="20"/>
          <w:szCs w:val="20"/>
          <w:color w:val="auto"/>
        </w:rPr>
      </w:pPr>
    </w:p>
    <w:p>
      <w:pPr>
        <w:ind w:right="399"/>
        <w:spacing w:after="0" w:line="261" w:lineRule="auto"/>
        <w:rPr>
          <w:sz w:val="20"/>
          <w:szCs w:val="20"/>
          <w:color w:val="auto"/>
        </w:rPr>
      </w:pPr>
      <w:r>
        <w:rPr>
          <w:rFonts w:ascii="Arial" w:cs="Arial" w:eastAsia="Arial" w:hAnsi="Arial"/>
          <w:sz w:val="16"/>
          <w:szCs w:val="16"/>
          <w:color w:val="auto"/>
        </w:rPr>
        <w:t>The Board established the Executive Committee to exercise the powers and authority of the Board during the intervals between Board meetings when the Chair of the Board determines that convening a special Board meeting is not warranted. The Executive Committee may exercise the powers and authority of the Board except those not permitted by law or the Company’s Bylaws, or as specifically limited by the Board.</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Therefore, the Executive Committee does not have the authority to:</w:t>
      </w:r>
    </w:p>
    <w:p>
      <w:pPr>
        <w:spacing w:after="0" w:line="21" w:lineRule="exact"/>
        <w:rPr>
          <w:sz w:val="20"/>
          <w:szCs w:val="20"/>
          <w:color w:val="auto"/>
        </w:rPr>
      </w:pPr>
    </w:p>
    <w:p>
      <w:pPr>
        <w:ind w:left="280" w:hanging="274"/>
        <w:spacing w:after="0"/>
        <w:tabs>
          <w:tab w:leader="none" w:pos="280" w:val="left"/>
        </w:tabs>
        <w:numPr>
          <w:ilvl w:val="0"/>
          <w:numId w:val="32"/>
        </w:numPr>
        <w:rPr>
          <w:rFonts w:ascii="Arial" w:cs="Arial" w:eastAsia="Arial" w:hAnsi="Arial"/>
          <w:sz w:val="16"/>
          <w:szCs w:val="16"/>
          <w:color w:val="53C072"/>
        </w:rPr>
      </w:pPr>
      <w:r>
        <w:rPr>
          <w:rFonts w:ascii="Arial" w:cs="Arial" w:eastAsia="Arial" w:hAnsi="Arial"/>
          <w:sz w:val="16"/>
          <w:szCs w:val="16"/>
          <w:color w:val="auto"/>
        </w:rPr>
        <w:t>Submit to shareholders any action that requires shareholders’ approval;</w:t>
      </w:r>
    </w:p>
    <w:p>
      <w:pPr>
        <w:spacing w:after="0" w:line="14" w:lineRule="exact"/>
        <w:rPr>
          <w:rFonts w:ascii="Arial" w:cs="Arial" w:eastAsia="Arial" w:hAnsi="Arial"/>
          <w:sz w:val="16"/>
          <w:szCs w:val="16"/>
          <w:color w:val="53C072"/>
        </w:rPr>
      </w:pPr>
    </w:p>
    <w:p>
      <w:pPr>
        <w:ind w:left="280" w:hanging="274"/>
        <w:spacing w:after="0"/>
        <w:tabs>
          <w:tab w:leader="none" w:pos="280" w:val="left"/>
        </w:tabs>
        <w:numPr>
          <w:ilvl w:val="0"/>
          <w:numId w:val="32"/>
        </w:numPr>
        <w:rPr>
          <w:rFonts w:ascii="Arial" w:cs="Arial" w:eastAsia="Arial" w:hAnsi="Arial"/>
          <w:sz w:val="16"/>
          <w:szCs w:val="16"/>
          <w:color w:val="53C072"/>
        </w:rPr>
      </w:pPr>
      <w:r>
        <w:rPr>
          <w:rFonts w:ascii="Arial" w:cs="Arial" w:eastAsia="Arial" w:hAnsi="Arial"/>
          <w:sz w:val="16"/>
          <w:szCs w:val="16"/>
          <w:color w:val="auto"/>
        </w:rPr>
        <w:t>Fill vacancies in the Board or any committee;</w:t>
      </w:r>
    </w:p>
    <w:p>
      <w:pPr>
        <w:spacing w:after="0" w:line="8" w:lineRule="exact"/>
        <w:rPr>
          <w:rFonts w:ascii="Arial" w:cs="Arial" w:eastAsia="Arial" w:hAnsi="Arial"/>
          <w:sz w:val="16"/>
          <w:szCs w:val="16"/>
          <w:color w:val="53C072"/>
        </w:rPr>
      </w:pPr>
    </w:p>
    <w:p>
      <w:pPr>
        <w:ind w:left="280" w:hanging="274"/>
        <w:spacing w:after="0"/>
        <w:tabs>
          <w:tab w:leader="none" w:pos="280" w:val="left"/>
        </w:tabs>
        <w:numPr>
          <w:ilvl w:val="0"/>
          <w:numId w:val="32"/>
        </w:numPr>
        <w:rPr>
          <w:rFonts w:ascii="Arial" w:cs="Arial" w:eastAsia="Arial" w:hAnsi="Arial"/>
          <w:sz w:val="16"/>
          <w:szCs w:val="16"/>
          <w:color w:val="53C072"/>
        </w:rPr>
      </w:pPr>
      <w:r>
        <w:rPr>
          <w:rFonts w:ascii="Arial" w:cs="Arial" w:eastAsia="Arial" w:hAnsi="Arial"/>
          <w:sz w:val="16"/>
          <w:szCs w:val="16"/>
          <w:color w:val="auto"/>
        </w:rPr>
        <w:t>Fix compensation for Directors serving on the Board or any committee;</w:t>
      </w:r>
    </w:p>
    <w:p>
      <w:pPr>
        <w:spacing w:after="0" w:line="5" w:lineRule="exact"/>
        <w:rPr>
          <w:rFonts w:ascii="Arial" w:cs="Arial" w:eastAsia="Arial" w:hAnsi="Arial"/>
          <w:sz w:val="16"/>
          <w:szCs w:val="16"/>
          <w:color w:val="53C072"/>
        </w:rPr>
      </w:pPr>
    </w:p>
    <w:p>
      <w:pPr>
        <w:ind w:left="280" w:hanging="274"/>
        <w:spacing w:after="0"/>
        <w:tabs>
          <w:tab w:leader="none" w:pos="280" w:val="left"/>
        </w:tabs>
        <w:numPr>
          <w:ilvl w:val="0"/>
          <w:numId w:val="32"/>
        </w:numPr>
        <w:rPr>
          <w:rFonts w:ascii="Arial" w:cs="Arial" w:eastAsia="Arial" w:hAnsi="Arial"/>
          <w:sz w:val="16"/>
          <w:szCs w:val="16"/>
          <w:color w:val="53C072"/>
        </w:rPr>
      </w:pPr>
      <w:r>
        <w:rPr>
          <w:rFonts w:ascii="Arial" w:cs="Arial" w:eastAsia="Arial" w:hAnsi="Arial"/>
          <w:sz w:val="16"/>
          <w:szCs w:val="16"/>
          <w:color w:val="auto"/>
        </w:rPr>
        <w:t>Amend or repeal the By-Laws or adopt new bylaws; or</w:t>
      </w:r>
    </w:p>
    <w:p>
      <w:pPr>
        <w:spacing w:after="0" w:line="16" w:lineRule="exact"/>
        <w:rPr>
          <w:rFonts w:ascii="Arial" w:cs="Arial" w:eastAsia="Arial" w:hAnsi="Arial"/>
          <w:sz w:val="16"/>
          <w:szCs w:val="16"/>
          <w:color w:val="53C072"/>
        </w:rPr>
      </w:pPr>
    </w:p>
    <w:p>
      <w:pPr>
        <w:ind w:left="280" w:right="999" w:hanging="274"/>
        <w:spacing w:after="0" w:line="286" w:lineRule="auto"/>
        <w:tabs>
          <w:tab w:leader="none" w:pos="280" w:val="left"/>
        </w:tabs>
        <w:numPr>
          <w:ilvl w:val="0"/>
          <w:numId w:val="32"/>
        </w:numPr>
        <w:rPr>
          <w:rFonts w:ascii="Arial" w:cs="Arial" w:eastAsia="Arial" w:hAnsi="Arial"/>
          <w:sz w:val="16"/>
          <w:szCs w:val="16"/>
          <w:color w:val="53C072"/>
        </w:rPr>
      </w:pPr>
      <w:r>
        <w:rPr>
          <w:rFonts w:ascii="Arial" w:cs="Arial" w:eastAsia="Arial" w:hAnsi="Arial"/>
          <w:sz w:val="16"/>
          <w:szCs w:val="16"/>
          <w:color w:val="auto"/>
        </w:rPr>
        <w:t>Amend or repeal any Board resolutions which, by its terms, are not amendable or repealable.</w:t>
      </w:r>
    </w:p>
    <w:p>
      <w:pPr>
        <w:spacing w:after="0" w:line="137" w:lineRule="exact"/>
        <w:rPr>
          <w:sz w:val="20"/>
          <w:szCs w:val="20"/>
          <w:color w:val="auto"/>
        </w:rPr>
      </w:pPr>
    </w:p>
    <w:p>
      <w:pPr>
        <w:sectPr>
          <w:pgSz w:w="11900" w:h="16838" w:orient="portrait"/>
          <w:cols w:equalWidth="0" w:num="2">
            <w:col w:w="3220" w:space="680"/>
            <w:col w:w="5979"/>
          </w:cols>
          <w:pgMar w:left="580" w:top="97" w:right="1440" w:bottom="1440" w:gutter="0" w:footer="0" w:header="0"/>
          <w:type w:val="continuous"/>
        </w:sectPr>
      </w:pPr>
    </w:p>
    <w:p>
      <w:pPr>
        <w:ind w:left="1000" w:right="379"/>
        <w:spacing w:after="0" w:line="287" w:lineRule="auto"/>
        <w:rPr>
          <w:sz w:val="20"/>
          <w:szCs w:val="20"/>
          <w:color w:val="auto"/>
        </w:rPr>
      </w:pPr>
      <w:r>
        <w:rPr>
          <w:rFonts w:ascii="Arial" w:cs="Arial" w:eastAsia="Arial" w:hAnsi="Arial"/>
          <w:sz w:val="18"/>
          <w:szCs w:val="18"/>
          <w:color w:val="auto"/>
        </w:rPr>
        <w:t>All Executive Committee members meet the independence requirements of Nasdaq listing standards and the Board’s independence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199"/>
        <w:spacing w:after="0"/>
        <w:rPr>
          <w:sz w:val="20"/>
          <w:szCs w:val="20"/>
          <w:color w:val="auto"/>
        </w:rPr>
      </w:pPr>
      <w:r>
        <w:rPr>
          <w:sz w:val="1"/>
          <w:szCs w:val="1"/>
          <w:color w:val="auto"/>
        </w:rPr>
        <w:drawing>
          <wp:inline distT="0" distB="0" distL="0" distR="0">
            <wp:extent cx="1243330" cy="24003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20"/>
        <w:spacing w:after="0"/>
        <w:rPr>
          <w:sz w:val="20"/>
          <w:szCs w:val="20"/>
          <w:color w:val="auto"/>
        </w:rPr>
      </w:pPr>
      <w:r>
        <w:rPr>
          <w:rFonts w:ascii="Arial" w:cs="Arial" w:eastAsia="Arial" w:hAnsi="Arial"/>
          <w:sz w:val="40"/>
          <w:szCs w:val="40"/>
          <w:b w:val="1"/>
          <w:bCs w:val="1"/>
          <w:color w:val="FEFEFE"/>
        </w:rPr>
        <w:t>DIRECTOR COMPENSATION</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ind w:left="1000" w:right="199"/>
        <w:spacing w:after="0" w:line="275" w:lineRule="auto"/>
        <w:rPr>
          <w:sz w:val="20"/>
          <w:szCs w:val="20"/>
          <w:color w:val="auto"/>
        </w:rPr>
      </w:pPr>
      <w:r>
        <w:rPr>
          <w:rFonts w:ascii="Arial" w:cs="Arial" w:eastAsia="Arial" w:hAnsi="Arial"/>
          <w:sz w:val="17"/>
          <w:szCs w:val="17"/>
          <w:color w:val="auto"/>
        </w:rPr>
        <w:t>The single employee Director did not receive any special or additional remuneration for service on the Board. Upon the recommendations of the Compensation and Leadership Development Committee and approvals of the Board of Directors, non-employee Directors received compensation for their services on the Board for fiscal 2025 as set out below. The cash retainers are paid in equal quarterly installments and the equity is generally delivered in early January, unless the Director elects to defer under the Avnet Deferred Compensation Plan for Outside Directors, which is described under the caption “Deferred Compensation Plan” below.</w:t>
      </w:r>
    </w:p>
    <w:p>
      <w:pPr>
        <w:spacing w:after="0" w:line="146" w:lineRule="exact"/>
        <w:rPr>
          <w:sz w:val="20"/>
          <w:szCs w:val="20"/>
          <w:color w:val="auto"/>
        </w:rPr>
      </w:pPr>
    </w:p>
    <w:tbl>
      <w:tblPr>
        <w:tblLayout w:type="fixed"/>
        <w:tblInd w:w="13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0" w:type="dxa"/>
            <w:vAlign w:val="bottom"/>
            <w:shd w:val="clear" w:color="auto" w:fill="53C072"/>
          </w:tcPr>
          <w:p>
            <w:pPr>
              <w:jc w:val="right"/>
              <w:spacing w:after="0"/>
              <w:rPr>
                <w:sz w:val="20"/>
                <w:szCs w:val="20"/>
                <w:color w:val="auto"/>
              </w:rPr>
            </w:pPr>
            <w:r>
              <w:rPr>
                <w:rFonts w:ascii="Arial" w:cs="Arial" w:eastAsia="Arial" w:hAnsi="Arial"/>
                <w:sz w:val="1"/>
                <w:szCs w:val="1"/>
                <w:b w:val="1"/>
                <w:bCs w:val="1"/>
                <w:color w:val="FEFEFE"/>
                <w:w w:val="4294942296"/>
              </w:rPr>
              <w:t>​</w:t>
            </w:r>
          </w:p>
        </w:tc>
        <w:tc>
          <w:tcPr>
            <w:tcW w:w="6260" w:type="dxa"/>
            <w:vAlign w:val="bottom"/>
            <w:shd w:val="clear" w:color="auto" w:fill="53C072"/>
          </w:tcPr>
          <w:p>
            <w:pPr>
              <w:ind w:left="40"/>
              <w:spacing w:after="0"/>
              <w:rPr>
                <w:sz w:val="20"/>
                <w:szCs w:val="20"/>
                <w:color w:val="auto"/>
              </w:rPr>
            </w:pPr>
            <w:r>
              <w:rPr>
                <w:rFonts w:ascii="Arial" w:cs="Arial" w:eastAsia="Arial" w:hAnsi="Arial"/>
                <w:sz w:val="14"/>
                <w:szCs w:val="14"/>
                <w:b w:val="1"/>
                <w:bCs w:val="1"/>
                <w:color w:val="FEFEFE"/>
              </w:rPr>
              <w:t>Annual Compensation Components:</w:t>
            </w:r>
          </w:p>
        </w:tc>
        <w:tc>
          <w:tcPr>
            <w:tcW w:w="840" w:type="dxa"/>
            <w:vAlign w:val="bottom"/>
            <w:shd w:val="clear" w:color="auto" w:fill="53C072"/>
          </w:tcPr>
          <w:p>
            <w:pPr>
              <w:ind w:left="600"/>
              <w:spacing w:after="0"/>
              <w:rPr>
                <w:sz w:val="20"/>
                <w:szCs w:val="20"/>
                <w:color w:val="auto"/>
              </w:rPr>
            </w:pPr>
            <w:r>
              <w:rPr>
                <w:rFonts w:ascii="Arial" w:cs="Arial" w:eastAsia="Arial" w:hAnsi="Arial"/>
                <w:sz w:val="14"/>
                <w:szCs w:val="14"/>
                <w:b w:val="1"/>
                <w:bCs w:val="1"/>
                <w:color w:val="FEFEFE"/>
              </w:rPr>
              <w:t>​ ​</w:t>
            </w:r>
          </w:p>
        </w:tc>
        <w:tc>
          <w:tcPr>
            <w:tcW w:w="8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r>
      <w:tr>
        <w:trPr>
          <w:trHeight w:val="257"/>
        </w:trPr>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60" w:type="dxa"/>
            <w:vAlign w:val="bottom"/>
          </w:tcPr>
          <w:p>
            <w:pPr>
              <w:ind w:left="40"/>
              <w:spacing w:after="0"/>
              <w:rPr>
                <w:sz w:val="20"/>
                <w:szCs w:val="20"/>
                <w:color w:val="auto"/>
              </w:rPr>
            </w:pPr>
            <w:r>
              <w:rPr>
                <w:rFonts w:ascii="Arial" w:cs="Arial" w:eastAsia="Arial" w:hAnsi="Arial"/>
                <w:sz w:val="18"/>
                <w:szCs w:val="18"/>
                <w:color w:val="auto"/>
              </w:rPr>
              <w:t>Cash Retainer</w:t>
            </w:r>
          </w:p>
        </w:tc>
        <w:tc>
          <w:tcPr>
            <w:tcW w:w="1700" w:type="dxa"/>
            <w:vAlign w:val="bottom"/>
            <w:gridSpan w:val="2"/>
          </w:tcPr>
          <w:p>
            <w:pPr>
              <w:ind w:left="600"/>
              <w:spacing w:after="0"/>
              <w:rPr>
                <w:sz w:val="20"/>
                <w:szCs w:val="20"/>
                <w:color w:val="auto"/>
              </w:rPr>
            </w:pPr>
            <w:r>
              <w:rPr>
                <w:rFonts w:ascii="Arial" w:cs="Arial" w:eastAsia="Arial" w:hAnsi="Arial"/>
                <w:sz w:val="18"/>
                <w:szCs w:val="18"/>
                <w:color w:val="auto"/>
              </w:rPr>
              <w:t>​ ​ $100,000​</w:t>
            </w:r>
          </w:p>
        </w:tc>
      </w:tr>
      <w:tr>
        <w:trPr>
          <w:trHeight w:val="270"/>
        </w:trPr>
        <w:tc>
          <w:tcPr>
            <w:tcW w:w="20" w:type="dxa"/>
            <w:vAlign w:val="bottom"/>
          </w:tcPr>
          <w:p>
            <w:pPr>
              <w:spacing w:after="0"/>
              <w:rPr>
                <w:sz w:val="23"/>
                <w:szCs w:val="23"/>
                <w:color w:val="auto"/>
              </w:rPr>
            </w:pPr>
          </w:p>
        </w:tc>
        <w:tc>
          <w:tcPr>
            <w:tcW w:w="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260" w:type="dxa"/>
            <w:vAlign w:val="bottom"/>
            <w:shd w:val="clear" w:color="auto" w:fill="CBECD5"/>
          </w:tcPr>
          <w:p>
            <w:pPr>
              <w:ind w:left="40"/>
              <w:spacing w:after="0"/>
              <w:rPr>
                <w:sz w:val="20"/>
                <w:szCs w:val="20"/>
                <w:color w:val="auto"/>
              </w:rPr>
            </w:pPr>
            <w:r>
              <w:rPr>
                <w:rFonts w:ascii="Arial" w:cs="Arial" w:eastAsia="Arial" w:hAnsi="Arial"/>
                <w:sz w:val="18"/>
                <w:szCs w:val="18"/>
                <w:color w:val="auto"/>
              </w:rPr>
              <w:t>Equity</w:t>
            </w:r>
          </w:p>
        </w:tc>
        <w:tc>
          <w:tcPr>
            <w:tcW w:w="1700" w:type="dxa"/>
            <w:vAlign w:val="bottom"/>
            <w:gridSpan w:val="2"/>
            <w:shd w:val="clear" w:color="auto" w:fill="CBECD5"/>
          </w:tcPr>
          <w:p>
            <w:pPr>
              <w:ind w:left="600"/>
              <w:spacing w:after="0"/>
              <w:rPr>
                <w:sz w:val="20"/>
                <w:szCs w:val="20"/>
                <w:color w:val="auto"/>
              </w:rPr>
            </w:pPr>
            <w:r>
              <w:rPr>
                <w:rFonts w:ascii="Arial" w:cs="Arial" w:eastAsia="Arial" w:hAnsi="Arial"/>
                <w:sz w:val="18"/>
                <w:szCs w:val="18"/>
                <w:color w:val="auto"/>
              </w:rPr>
              <w:t>​ ​ $180,000​</w:t>
            </w:r>
          </w:p>
        </w:tc>
      </w:tr>
      <w:tr>
        <w:trPr>
          <w:trHeight w:val="270"/>
        </w:trPr>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60" w:type="dxa"/>
            <w:vAlign w:val="bottom"/>
          </w:tcPr>
          <w:p>
            <w:pPr>
              <w:ind w:left="220"/>
              <w:spacing w:after="0"/>
              <w:rPr>
                <w:sz w:val="20"/>
                <w:szCs w:val="20"/>
                <w:color w:val="auto"/>
              </w:rPr>
            </w:pPr>
            <w:r>
              <w:rPr>
                <w:rFonts w:ascii="Arial" w:cs="Arial" w:eastAsia="Arial" w:hAnsi="Arial"/>
                <w:sz w:val="18"/>
                <w:szCs w:val="18"/>
                <w:color w:val="auto"/>
              </w:rPr>
              <w:t>Total for FY25:</w:t>
            </w:r>
          </w:p>
        </w:tc>
        <w:tc>
          <w:tcPr>
            <w:tcW w:w="1700" w:type="dxa"/>
            <w:vAlign w:val="bottom"/>
            <w:gridSpan w:val="2"/>
          </w:tcPr>
          <w:p>
            <w:pPr>
              <w:ind w:left="600"/>
              <w:spacing w:after="0"/>
              <w:rPr>
                <w:sz w:val="20"/>
                <w:szCs w:val="20"/>
                <w:color w:val="auto"/>
              </w:rPr>
            </w:pPr>
            <w:r>
              <w:rPr>
                <w:rFonts w:ascii="Arial" w:cs="Arial" w:eastAsia="Arial" w:hAnsi="Arial"/>
                <w:sz w:val="18"/>
                <w:szCs w:val="18"/>
                <w:color w:val="auto"/>
              </w:rPr>
              <w:t>​ ​ $280,000​</w:t>
            </w:r>
          </w:p>
        </w:tc>
      </w:tr>
      <w:tr>
        <w:trPr>
          <w:trHeight w:val="304"/>
        </w:trPr>
        <w:tc>
          <w:tcPr>
            <w:tcW w:w="20" w:type="dxa"/>
            <w:vAlign w:val="bottom"/>
          </w:tcPr>
          <w:p>
            <w:pPr>
              <w:spacing w:after="0"/>
              <w:rPr>
                <w:sz w:val="24"/>
                <w:szCs w:val="24"/>
                <w:color w:val="auto"/>
              </w:rPr>
            </w:pPr>
          </w:p>
        </w:tc>
        <w:tc>
          <w:tcPr>
            <w:tcW w:w="6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260" w:type="dxa"/>
            <w:vAlign w:val="bottom"/>
            <w:tcBorders>
              <w:bottom w:val="single" w:sz="8" w:color="53C072"/>
            </w:tcBorders>
            <w:shd w:val="clear" w:color="auto" w:fill="CBECD5"/>
          </w:tcPr>
          <w:p>
            <w:pPr>
              <w:ind w:left="220"/>
              <w:spacing w:after="0"/>
              <w:rPr>
                <w:sz w:val="20"/>
                <w:szCs w:val="20"/>
                <w:color w:val="auto"/>
              </w:rPr>
            </w:pPr>
            <w:r>
              <w:rPr>
                <w:rFonts w:ascii="Arial" w:cs="Arial" w:eastAsia="Arial" w:hAnsi="Arial"/>
                <w:sz w:val="18"/>
                <w:szCs w:val="18"/>
                <w:color w:val="auto"/>
              </w:rPr>
              <w:t>% of Cash/Equity</w:t>
            </w:r>
          </w:p>
        </w:tc>
        <w:tc>
          <w:tcPr>
            <w:tcW w:w="840" w:type="dxa"/>
            <w:vAlign w:val="bottom"/>
            <w:tcBorders>
              <w:bottom w:val="single" w:sz="8" w:color="53C072"/>
            </w:tcBorders>
            <w:shd w:val="clear" w:color="auto" w:fill="CBECD5"/>
          </w:tcPr>
          <w:p>
            <w:pPr>
              <w:ind w:left="60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53C072"/>
            </w:tcBorders>
            <w:shd w:val="clear" w:color="auto" w:fill="CBECD5"/>
          </w:tcPr>
          <w:p>
            <w:pPr>
              <w:jc w:val="right"/>
              <w:spacing w:after="0" w:line="297" w:lineRule="exact"/>
              <w:rPr>
                <w:sz w:val="20"/>
                <w:szCs w:val="20"/>
                <w:color w:val="auto"/>
              </w:rPr>
            </w:pPr>
            <w:r>
              <w:rPr>
                <w:rFonts w:ascii="Arial" w:cs="Arial" w:eastAsia="Arial" w:hAnsi="Arial"/>
                <w:sz w:val="18"/>
                <w:szCs w:val="18"/>
                <w:color w:val="auto"/>
              </w:rPr>
              <w:t>36/64</w:t>
            </w:r>
            <w:r>
              <w:rPr>
                <w:rFonts w:ascii="Arial" w:cs="Arial" w:eastAsia="Arial" w:hAnsi="Arial"/>
                <w:sz w:val="34"/>
                <w:szCs w:val="34"/>
                <w:color w:val="auto"/>
                <w:vertAlign w:val="subscript"/>
              </w:rPr>
              <w:t>​</w:t>
            </w:r>
          </w:p>
        </w:tc>
      </w:tr>
      <w:tr>
        <w:trPr>
          <w:trHeight w:val="216"/>
        </w:trPr>
        <w:tc>
          <w:tcPr>
            <w:tcW w:w="80" w:type="dxa"/>
            <w:vAlign w:val="bottom"/>
            <w:gridSpan w:val="2"/>
          </w:tcPr>
          <w:p>
            <w:pPr>
              <w:spacing w:after="0"/>
              <w:rPr>
                <w:sz w:val="18"/>
                <w:szCs w:val="18"/>
                <w:color w:val="auto"/>
              </w:rPr>
            </w:pPr>
          </w:p>
        </w:tc>
        <w:tc>
          <w:tcPr>
            <w:tcW w:w="6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0" w:type="dxa"/>
            <w:vAlign w:val="bottom"/>
            <w:shd w:val="clear" w:color="auto" w:fill="53C072"/>
          </w:tcPr>
          <w:p>
            <w:pPr>
              <w:jc w:val="right"/>
              <w:spacing w:after="0"/>
              <w:rPr>
                <w:sz w:val="20"/>
                <w:szCs w:val="20"/>
                <w:color w:val="auto"/>
              </w:rPr>
            </w:pPr>
            <w:r>
              <w:rPr>
                <w:rFonts w:ascii="Arial" w:cs="Arial" w:eastAsia="Arial" w:hAnsi="Arial"/>
                <w:sz w:val="1"/>
                <w:szCs w:val="1"/>
                <w:b w:val="1"/>
                <w:bCs w:val="1"/>
                <w:color w:val="FEFEFE"/>
                <w:w w:val="4294942296"/>
              </w:rPr>
              <w:t>​</w:t>
            </w:r>
          </w:p>
        </w:tc>
        <w:tc>
          <w:tcPr>
            <w:tcW w:w="6260" w:type="dxa"/>
            <w:vAlign w:val="bottom"/>
            <w:shd w:val="clear" w:color="auto" w:fill="53C072"/>
          </w:tcPr>
          <w:p>
            <w:pPr>
              <w:ind w:left="40"/>
              <w:spacing w:after="0"/>
              <w:rPr>
                <w:sz w:val="20"/>
                <w:szCs w:val="20"/>
                <w:color w:val="auto"/>
              </w:rPr>
            </w:pPr>
            <w:r>
              <w:rPr>
                <w:rFonts w:ascii="Arial" w:cs="Arial" w:eastAsia="Arial" w:hAnsi="Arial"/>
                <w:sz w:val="14"/>
                <w:szCs w:val="14"/>
                <w:b w:val="1"/>
                <w:bCs w:val="1"/>
                <w:color w:val="FEFEFE"/>
              </w:rPr>
              <w:t>Additional Annual Amounts:</w:t>
            </w:r>
          </w:p>
        </w:tc>
        <w:tc>
          <w:tcPr>
            <w:tcW w:w="840" w:type="dxa"/>
            <w:vAlign w:val="bottom"/>
            <w:shd w:val="clear" w:color="auto" w:fill="53C072"/>
          </w:tcPr>
          <w:p>
            <w:pPr>
              <w:ind w:left="600"/>
              <w:spacing w:after="0"/>
              <w:rPr>
                <w:sz w:val="20"/>
                <w:szCs w:val="20"/>
                <w:color w:val="auto"/>
              </w:rPr>
            </w:pPr>
            <w:r>
              <w:rPr>
                <w:rFonts w:ascii="Arial" w:cs="Arial" w:eastAsia="Arial" w:hAnsi="Arial"/>
                <w:sz w:val="14"/>
                <w:szCs w:val="14"/>
                <w:b w:val="1"/>
                <w:bCs w:val="1"/>
                <w:color w:val="FEFEFE"/>
              </w:rPr>
              <w:t>​ ​</w:t>
            </w:r>
          </w:p>
        </w:tc>
        <w:tc>
          <w:tcPr>
            <w:tcW w:w="8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r>
      <w:tr>
        <w:trPr>
          <w:trHeight w:val="257"/>
        </w:trPr>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60" w:type="dxa"/>
            <w:vAlign w:val="bottom"/>
          </w:tcPr>
          <w:p>
            <w:pPr>
              <w:ind w:left="40"/>
              <w:spacing w:after="0"/>
              <w:rPr>
                <w:sz w:val="20"/>
                <w:szCs w:val="20"/>
                <w:color w:val="auto"/>
              </w:rPr>
            </w:pPr>
            <w:r>
              <w:rPr>
                <w:rFonts w:ascii="Arial" w:cs="Arial" w:eastAsia="Arial" w:hAnsi="Arial"/>
                <w:sz w:val="18"/>
                <w:szCs w:val="18"/>
                <w:color w:val="auto"/>
              </w:rPr>
              <w:t>Independent Chair Retainer</w:t>
            </w:r>
          </w:p>
        </w:tc>
        <w:tc>
          <w:tcPr>
            <w:tcW w:w="1700" w:type="dxa"/>
            <w:vAlign w:val="bottom"/>
            <w:gridSpan w:val="2"/>
          </w:tcPr>
          <w:p>
            <w:pPr>
              <w:ind w:left="600"/>
              <w:spacing w:after="0"/>
              <w:rPr>
                <w:sz w:val="20"/>
                <w:szCs w:val="20"/>
                <w:color w:val="auto"/>
              </w:rPr>
            </w:pPr>
            <w:r>
              <w:rPr>
                <w:rFonts w:ascii="Arial" w:cs="Arial" w:eastAsia="Arial" w:hAnsi="Arial"/>
                <w:sz w:val="18"/>
                <w:szCs w:val="18"/>
                <w:color w:val="auto"/>
              </w:rPr>
              <w:t>​ ​ $185,000​</w:t>
            </w:r>
          </w:p>
        </w:tc>
      </w:tr>
      <w:tr>
        <w:trPr>
          <w:trHeight w:val="270"/>
        </w:trPr>
        <w:tc>
          <w:tcPr>
            <w:tcW w:w="20" w:type="dxa"/>
            <w:vAlign w:val="bottom"/>
          </w:tcPr>
          <w:p>
            <w:pPr>
              <w:spacing w:after="0"/>
              <w:rPr>
                <w:sz w:val="23"/>
                <w:szCs w:val="23"/>
                <w:color w:val="auto"/>
              </w:rPr>
            </w:pPr>
          </w:p>
        </w:tc>
        <w:tc>
          <w:tcPr>
            <w:tcW w:w="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260" w:type="dxa"/>
            <w:vAlign w:val="bottom"/>
            <w:shd w:val="clear" w:color="auto" w:fill="CBECD5"/>
          </w:tcPr>
          <w:p>
            <w:pPr>
              <w:ind w:left="40"/>
              <w:spacing w:after="0"/>
              <w:rPr>
                <w:sz w:val="20"/>
                <w:szCs w:val="20"/>
                <w:color w:val="auto"/>
              </w:rPr>
            </w:pPr>
            <w:r>
              <w:rPr>
                <w:rFonts w:ascii="Arial" w:cs="Arial" w:eastAsia="Arial" w:hAnsi="Arial"/>
                <w:sz w:val="18"/>
                <w:szCs w:val="18"/>
                <w:color w:val="auto"/>
              </w:rPr>
              <w:t>Audit Committee Chair Retainer</w:t>
            </w:r>
          </w:p>
        </w:tc>
        <w:tc>
          <w:tcPr>
            <w:tcW w:w="840" w:type="dxa"/>
            <w:vAlign w:val="bottom"/>
            <w:shd w:val="clear" w:color="auto" w:fill="CBECD5"/>
          </w:tcPr>
          <w:p>
            <w:pPr>
              <w:ind w:left="60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$25,000​</w:t>
            </w:r>
          </w:p>
        </w:tc>
      </w:tr>
      <w:tr>
        <w:trPr>
          <w:trHeight w:val="270"/>
        </w:trPr>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60" w:type="dxa"/>
            <w:vAlign w:val="bottom"/>
          </w:tcPr>
          <w:p>
            <w:pPr>
              <w:ind w:left="40"/>
              <w:spacing w:after="0"/>
              <w:rPr>
                <w:sz w:val="20"/>
                <w:szCs w:val="20"/>
                <w:color w:val="auto"/>
              </w:rPr>
            </w:pPr>
            <w:r>
              <w:rPr>
                <w:rFonts w:ascii="Arial" w:cs="Arial" w:eastAsia="Arial" w:hAnsi="Arial"/>
                <w:sz w:val="18"/>
                <w:szCs w:val="18"/>
                <w:color w:val="auto"/>
              </w:rPr>
              <w:t>Audit Committee Member Retainer</w:t>
            </w:r>
          </w:p>
        </w:tc>
        <w:tc>
          <w:tcPr>
            <w:tcW w:w="840" w:type="dxa"/>
            <w:vAlign w:val="bottom"/>
          </w:tcPr>
          <w:p>
            <w:pPr>
              <w:ind w:left="600"/>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70"/>
        </w:trPr>
        <w:tc>
          <w:tcPr>
            <w:tcW w:w="20" w:type="dxa"/>
            <w:vAlign w:val="bottom"/>
          </w:tcPr>
          <w:p>
            <w:pPr>
              <w:spacing w:after="0"/>
              <w:rPr>
                <w:sz w:val="23"/>
                <w:szCs w:val="23"/>
                <w:color w:val="auto"/>
              </w:rPr>
            </w:pPr>
          </w:p>
        </w:tc>
        <w:tc>
          <w:tcPr>
            <w:tcW w:w="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260" w:type="dxa"/>
            <w:vAlign w:val="bottom"/>
            <w:shd w:val="clear" w:color="auto" w:fill="CBECD5"/>
          </w:tcPr>
          <w:p>
            <w:pPr>
              <w:ind w:left="40"/>
              <w:spacing w:after="0"/>
              <w:rPr>
                <w:sz w:val="20"/>
                <w:szCs w:val="20"/>
                <w:color w:val="auto"/>
              </w:rPr>
            </w:pPr>
            <w:r>
              <w:rPr>
                <w:rFonts w:ascii="Arial" w:cs="Arial" w:eastAsia="Arial" w:hAnsi="Arial"/>
                <w:sz w:val="18"/>
                <w:szCs w:val="18"/>
                <w:color w:val="auto"/>
              </w:rPr>
              <w:t>Compensation and Leadership Development Committee Chair Retainer</w:t>
            </w:r>
          </w:p>
        </w:tc>
        <w:tc>
          <w:tcPr>
            <w:tcW w:w="840" w:type="dxa"/>
            <w:vAlign w:val="bottom"/>
            <w:shd w:val="clear" w:color="auto" w:fill="CBECD5"/>
          </w:tcPr>
          <w:p>
            <w:pPr>
              <w:ind w:left="60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$20,000​</w:t>
            </w:r>
          </w:p>
        </w:tc>
      </w:tr>
      <w:tr>
        <w:trPr>
          <w:trHeight w:val="270"/>
        </w:trPr>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60" w:type="dxa"/>
            <w:vAlign w:val="bottom"/>
          </w:tcPr>
          <w:p>
            <w:pPr>
              <w:ind w:left="40"/>
              <w:spacing w:after="0"/>
              <w:rPr>
                <w:sz w:val="20"/>
                <w:szCs w:val="20"/>
                <w:color w:val="auto"/>
              </w:rPr>
            </w:pPr>
            <w:r>
              <w:rPr>
                <w:rFonts w:ascii="Arial" w:cs="Arial" w:eastAsia="Arial" w:hAnsi="Arial"/>
                <w:sz w:val="18"/>
                <w:szCs w:val="18"/>
                <w:color w:val="auto"/>
              </w:rPr>
              <w:t>Corporate Governance Committee Chair Retainer</w:t>
            </w:r>
          </w:p>
        </w:tc>
        <w:tc>
          <w:tcPr>
            <w:tcW w:w="840" w:type="dxa"/>
            <w:vAlign w:val="bottom"/>
          </w:tcPr>
          <w:p>
            <w:pPr>
              <w:ind w:left="600"/>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304"/>
        </w:trPr>
        <w:tc>
          <w:tcPr>
            <w:tcW w:w="20" w:type="dxa"/>
            <w:vAlign w:val="bottom"/>
          </w:tcPr>
          <w:p>
            <w:pPr>
              <w:spacing w:after="0"/>
              <w:rPr>
                <w:sz w:val="24"/>
                <w:szCs w:val="24"/>
                <w:color w:val="auto"/>
              </w:rPr>
            </w:pPr>
          </w:p>
        </w:tc>
        <w:tc>
          <w:tcPr>
            <w:tcW w:w="6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26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color w:val="auto"/>
              </w:rPr>
              <w:t>Finance Committee Chair Retainer</w:t>
            </w:r>
          </w:p>
        </w:tc>
        <w:tc>
          <w:tcPr>
            <w:tcW w:w="840" w:type="dxa"/>
            <w:vAlign w:val="bottom"/>
            <w:tcBorders>
              <w:bottom w:val="single" w:sz="8" w:color="53C072"/>
            </w:tcBorders>
            <w:shd w:val="clear" w:color="auto" w:fill="CBECD5"/>
          </w:tcPr>
          <w:p>
            <w:pPr>
              <w:ind w:left="60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53C072"/>
            </w:tcBorders>
            <w:shd w:val="clear" w:color="auto" w:fill="CBECD5"/>
          </w:tcPr>
          <w:p>
            <w:pPr>
              <w:jc w:val="right"/>
              <w:spacing w:after="0" w:line="297" w:lineRule="exact"/>
              <w:rPr>
                <w:sz w:val="20"/>
                <w:szCs w:val="20"/>
                <w:color w:val="auto"/>
              </w:rPr>
            </w:pPr>
            <w:r>
              <w:rPr>
                <w:rFonts w:ascii="Arial" w:cs="Arial" w:eastAsia="Arial" w:hAnsi="Arial"/>
                <w:sz w:val="18"/>
                <w:szCs w:val="18"/>
                <w:color w:val="auto"/>
              </w:rPr>
              <w:t>$15,000</w:t>
            </w:r>
            <w:r>
              <w:rPr>
                <w:rFonts w:ascii="Arial" w:cs="Arial" w:eastAsia="Arial" w:hAnsi="Arial"/>
                <w:sz w:val="34"/>
                <w:szCs w:val="34"/>
                <w:color w:val="auto"/>
                <w:vertAlign w:val="subscript"/>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30     </w:t>
      </w:r>
      <w:r>
        <w:rPr>
          <w:sz w:val="1"/>
          <w:szCs w:val="1"/>
          <w:color w:val="auto"/>
        </w:rPr>
        <w:drawing>
          <wp:inline distT="0" distB="0" distL="0" distR="0">
            <wp:extent cx="1242695" cy="24003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269875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32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420" w:type="dxa"/>
            <w:vAlign w:val="bottom"/>
            <w:vMerge w:val="restart"/>
          </w:tcPr>
          <w:p>
            <w:pPr>
              <w:ind w:left="2960"/>
              <w:spacing w:after="0"/>
              <w:rPr>
                <w:sz w:val="20"/>
                <w:szCs w:val="20"/>
                <w:color w:val="auto"/>
              </w:rPr>
            </w:pPr>
            <w:r>
              <w:rPr>
                <w:rFonts w:ascii="Arial" w:cs="Arial" w:eastAsia="Arial" w:hAnsi="Arial"/>
                <w:sz w:val="14"/>
                <w:szCs w:val="14"/>
                <w:color w:val="auto"/>
              </w:rPr>
              <w:t>Director Compensation</w:t>
            </w:r>
          </w:p>
        </w:tc>
        <w:tc>
          <w:tcPr>
            <w:tcW w:w="0" w:type="dxa"/>
            <w:vAlign w:val="bottom"/>
          </w:tcPr>
          <w:p>
            <w:pPr>
              <w:spacing w:after="0"/>
              <w:rPr>
                <w:sz w:val="1"/>
                <w:szCs w:val="1"/>
                <w:color w:val="auto"/>
              </w:rPr>
            </w:pPr>
          </w:p>
        </w:tc>
      </w:tr>
      <w:tr>
        <w:trPr>
          <w:trHeight w:val="89"/>
        </w:trPr>
        <w:tc>
          <w:tcPr>
            <w:tcW w:w="53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320" w:type="dxa"/>
            <w:vAlign w:val="bottom"/>
            <w:vMerge w:val="continue"/>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359"/>
        <w:spacing w:after="0" w:line="287" w:lineRule="auto"/>
        <w:rPr>
          <w:sz w:val="20"/>
          <w:szCs w:val="20"/>
          <w:color w:val="auto"/>
        </w:rPr>
      </w:pPr>
      <w:r>
        <w:rPr>
          <w:rFonts w:ascii="Arial" w:cs="Arial" w:eastAsia="Arial" w:hAnsi="Arial"/>
          <w:sz w:val="18"/>
          <w:szCs w:val="18"/>
          <w:color w:val="auto"/>
        </w:rPr>
        <w:t>The following table shows the total dollar value of all fees earned by all non-employee Directors in fiscal 2025 and the grant date fair value of stock awards to non-employee Directors made in fiscal 2025.</w:t>
      </w:r>
    </w:p>
    <w:p>
      <w:pPr>
        <w:spacing w:after="0" w:line="145" w:lineRule="exact"/>
        <w:rPr>
          <w:sz w:val="20"/>
          <w:szCs w:val="20"/>
          <w:color w:val="auto"/>
        </w:rPr>
      </w:pPr>
    </w:p>
    <w:tbl>
      <w:tblPr>
        <w:tblLayout w:type="fixed"/>
        <w:tblInd w:w="980" w:type="dxa"/>
        <w:tblCellMar>
          <w:top w:w="0" w:type="dxa"/>
          <w:left w:w="0" w:type="dxa"/>
          <w:bottom w:w="0" w:type="dxa"/>
          <w:right w:w="0" w:type="dxa"/>
        </w:tblCellMar>
      </w:tblPr>
      <w:tr>
        <w:trPr>
          <w:trHeight w:val="193"/>
        </w:trPr>
        <w:tc>
          <w:tcPr>
            <w:tcW w:w="3640" w:type="dxa"/>
            <w:vAlign w:val="bottom"/>
            <w:shd w:val="clear" w:color="auto" w:fill="53C072"/>
          </w:tcPr>
          <w:p>
            <w:pPr>
              <w:spacing w:after="0"/>
              <w:rPr>
                <w:sz w:val="16"/>
                <w:szCs w:val="16"/>
                <w:color w:val="auto"/>
              </w:rPr>
            </w:pPr>
          </w:p>
        </w:tc>
        <w:tc>
          <w:tcPr>
            <w:tcW w:w="2880" w:type="dxa"/>
            <w:vAlign w:val="bottom"/>
            <w:shd w:val="clear" w:color="auto" w:fill="53C072"/>
          </w:tcPr>
          <w:p>
            <w:pPr>
              <w:ind w:left="1840"/>
              <w:spacing w:after="0"/>
              <w:rPr>
                <w:sz w:val="20"/>
                <w:szCs w:val="20"/>
                <w:color w:val="auto"/>
              </w:rPr>
            </w:pPr>
            <w:r>
              <w:rPr>
                <w:rFonts w:ascii="Arial" w:cs="Arial" w:eastAsia="Arial" w:hAnsi="Arial"/>
                <w:sz w:val="14"/>
                <w:szCs w:val="14"/>
                <w:b w:val="1"/>
                <w:bCs w:val="1"/>
                <w:color w:val="FEFEFE"/>
              </w:rPr>
              <w:t>Fees Earned or</w:t>
            </w:r>
          </w:p>
        </w:tc>
        <w:tc>
          <w:tcPr>
            <w:tcW w:w="160" w:type="dxa"/>
            <w:vAlign w:val="bottom"/>
            <w:shd w:val="clear" w:color="auto" w:fill="53C072"/>
          </w:tcPr>
          <w:p>
            <w:pPr>
              <w:spacing w:after="0"/>
              <w:rPr>
                <w:sz w:val="16"/>
                <w:szCs w:val="16"/>
                <w:color w:val="auto"/>
              </w:rPr>
            </w:pPr>
          </w:p>
        </w:tc>
        <w:tc>
          <w:tcPr>
            <w:tcW w:w="520" w:type="dxa"/>
            <w:vAlign w:val="bottom"/>
            <w:shd w:val="clear" w:color="auto" w:fill="53C072"/>
          </w:tcPr>
          <w:p>
            <w:pPr>
              <w:spacing w:after="0"/>
              <w:rPr>
                <w:sz w:val="16"/>
                <w:szCs w:val="16"/>
                <w:color w:val="auto"/>
              </w:rPr>
            </w:pPr>
          </w:p>
        </w:tc>
        <w:tc>
          <w:tcPr>
            <w:tcW w:w="560" w:type="dxa"/>
            <w:vAlign w:val="bottom"/>
            <w:shd w:val="clear" w:color="auto" w:fill="53C072"/>
          </w:tcPr>
          <w:p>
            <w:pPr>
              <w:spacing w:after="0"/>
              <w:rPr>
                <w:sz w:val="16"/>
                <w:szCs w:val="16"/>
                <w:color w:val="auto"/>
              </w:rPr>
            </w:pPr>
          </w:p>
        </w:tc>
        <w:tc>
          <w:tcPr>
            <w:tcW w:w="140" w:type="dxa"/>
            <w:vAlign w:val="bottom"/>
            <w:shd w:val="clear" w:color="auto" w:fill="53C072"/>
          </w:tcPr>
          <w:p>
            <w:pPr>
              <w:spacing w:after="0"/>
              <w:rPr>
                <w:sz w:val="16"/>
                <w:szCs w:val="16"/>
                <w:color w:val="auto"/>
              </w:rPr>
            </w:pPr>
          </w:p>
        </w:tc>
        <w:tc>
          <w:tcPr>
            <w:tcW w:w="860" w:type="dxa"/>
            <w:vAlign w:val="bottom"/>
            <w:shd w:val="clear" w:color="auto" w:fill="53C072"/>
          </w:tcPr>
          <w:p>
            <w:pPr>
              <w:spacing w:after="0"/>
              <w:rPr>
                <w:sz w:val="16"/>
                <w:szCs w:val="16"/>
                <w:color w:val="auto"/>
              </w:rPr>
            </w:pPr>
          </w:p>
        </w:tc>
      </w:tr>
      <w:tr>
        <w:trPr>
          <w:trHeight w:val="162"/>
        </w:trPr>
        <w:tc>
          <w:tcPr>
            <w:tcW w:w="3640" w:type="dxa"/>
            <w:vAlign w:val="bottom"/>
            <w:shd w:val="clear" w:color="auto" w:fill="53C072"/>
          </w:tcPr>
          <w:p>
            <w:pPr>
              <w:spacing w:after="0"/>
              <w:rPr>
                <w:sz w:val="14"/>
                <w:szCs w:val="14"/>
                <w:color w:val="auto"/>
              </w:rPr>
            </w:pPr>
          </w:p>
        </w:tc>
        <w:tc>
          <w:tcPr>
            <w:tcW w:w="2880" w:type="dxa"/>
            <w:vAlign w:val="bottom"/>
            <w:shd w:val="clear" w:color="auto" w:fill="53C072"/>
          </w:tcPr>
          <w:p>
            <w:pPr>
              <w:ind w:left="2000"/>
              <w:spacing w:after="0"/>
              <w:rPr>
                <w:sz w:val="20"/>
                <w:szCs w:val="20"/>
                <w:color w:val="auto"/>
              </w:rPr>
            </w:pPr>
            <w:r>
              <w:rPr>
                <w:rFonts w:ascii="Arial" w:cs="Arial" w:eastAsia="Arial" w:hAnsi="Arial"/>
                <w:sz w:val="14"/>
                <w:szCs w:val="14"/>
                <w:b w:val="1"/>
                <w:bCs w:val="1"/>
                <w:color w:val="FEFEFE"/>
              </w:rPr>
              <w:t>Paid in Cash</w:t>
            </w:r>
          </w:p>
        </w:tc>
        <w:tc>
          <w:tcPr>
            <w:tcW w:w="160" w:type="dxa"/>
            <w:vAlign w:val="bottom"/>
            <w:shd w:val="clear" w:color="auto" w:fill="53C072"/>
          </w:tcPr>
          <w:p>
            <w:pPr>
              <w:spacing w:after="0"/>
              <w:rPr>
                <w:sz w:val="14"/>
                <w:szCs w:val="14"/>
                <w:color w:val="auto"/>
              </w:rPr>
            </w:pPr>
          </w:p>
        </w:tc>
        <w:tc>
          <w:tcPr>
            <w:tcW w:w="108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Stock Awards</w:t>
            </w:r>
          </w:p>
        </w:tc>
        <w:tc>
          <w:tcPr>
            <w:tcW w:w="140" w:type="dxa"/>
            <w:vAlign w:val="bottom"/>
            <w:shd w:val="clear" w:color="auto" w:fill="53C072"/>
          </w:tcPr>
          <w:p>
            <w:pPr>
              <w:spacing w:after="0"/>
              <w:rPr>
                <w:sz w:val="14"/>
                <w:szCs w:val="14"/>
                <w:color w:val="auto"/>
              </w:rPr>
            </w:pPr>
          </w:p>
        </w:tc>
        <w:tc>
          <w:tcPr>
            <w:tcW w:w="860" w:type="dxa"/>
            <w:vAlign w:val="bottom"/>
            <w:shd w:val="clear" w:color="auto" w:fill="53C072"/>
          </w:tcPr>
          <w:p>
            <w:pPr>
              <w:jc w:val="right"/>
              <w:ind w:right="73"/>
              <w:spacing w:after="0"/>
              <w:rPr>
                <w:sz w:val="20"/>
                <w:szCs w:val="20"/>
                <w:color w:val="auto"/>
              </w:rPr>
            </w:pPr>
            <w:r>
              <w:rPr>
                <w:rFonts w:ascii="Arial" w:cs="Arial" w:eastAsia="Arial" w:hAnsi="Arial"/>
                <w:sz w:val="14"/>
                <w:szCs w:val="14"/>
                <w:b w:val="1"/>
                <w:bCs w:val="1"/>
                <w:color w:val="FEFEFE"/>
              </w:rPr>
              <w:t>Total</w:t>
            </w:r>
          </w:p>
        </w:tc>
      </w:tr>
      <w:tr>
        <w:trPr>
          <w:trHeight w:val="185"/>
        </w:trPr>
        <w:tc>
          <w:tcPr>
            <w:tcW w:w="364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Name</w:t>
            </w:r>
          </w:p>
        </w:tc>
        <w:tc>
          <w:tcPr>
            <w:tcW w:w="3040" w:type="dxa"/>
            <w:vAlign w:val="bottom"/>
            <w:gridSpan w:val="2"/>
            <w:shd w:val="clear" w:color="auto" w:fill="53C072"/>
          </w:tcPr>
          <w:p>
            <w:pPr>
              <w:ind w:left="2740"/>
              <w:spacing w:after="0"/>
              <w:rPr>
                <w:sz w:val="20"/>
                <w:szCs w:val="20"/>
                <w:color w:val="auto"/>
              </w:rPr>
            </w:pPr>
            <w:r>
              <w:rPr>
                <w:rFonts w:ascii="Arial" w:cs="Arial" w:eastAsia="Arial" w:hAnsi="Arial"/>
                <w:sz w:val="14"/>
                <w:szCs w:val="14"/>
                <w:b w:val="1"/>
                <w:bCs w:val="1"/>
                <w:color w:val="FEFEFE"/>
              </w:rPr>
              <w:t>($)</w:t>
            </w:r>
          </w:p>
        </w:tc>
        <w:tc>
          <w:tcPr>
            <w:tcW w:w="520" w:type="dxa"/>
            <w:vAlign w:val="bottom"/>
            <w:shd w:val="clear" w:color="auto" w:fill="53C072"/>
          </w:tcPr>
          <w:p>
            <w:pPr>
              <w:spacing w:after="0"/>
              <w:rPr>
                <w:sz w:val="16"/>
                <w:szCs w:val="16"/>
                <w:color w:val="auto"/>
              </w:rPr>
            </w:pPr>
          </w:p>
        </w:tc>
        <w:tc>
          <w:tcPr>
            <w:tcW w:w="5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140" w:type="dxa"/>
            <w:vAlign w:val="bottom"/>
            <w:shd w:val="clear" w:color="auto" w:fill="53C072"/>
          </w:tcPr>
          <w:p>
            <w:pPr>
              <w:spacing w:after="0"/>
              <w:rPr>
                <w:sz w:val="16"/>
                <w:szCs w:val="16"/>
                <w:color w:val="auto"/>
              </w:rPr>
            </w:pPr>
          </w:p>
        </w:tc>
        <w:tc>
          <w:tcPr>
            <w:tcW w:w="860" w:type="dxa"/>
            <w:vAlign w:val="bottom"/>
            <w:shd w:val="clear" w:color="auto" w:fill="53C072"/>
          </w:tcPr>
          <w:p>
            <w:pPr>
              <w:jc w:val="right"/>
              <w:ind w:right="33"/>
              <w:spacing w:after="0"/>
              <w:rPr>
                <w:sz w:val="20"/>
                <w:szCs w:val="20"/>
                <w:color w:val="auto"/>
              </w:rPr>
            </w:pPr>
            <w:r>
              <w:rPr>
                <w:rFonts w:ascii="Arial" w:cs="Arial" w:eastAsia="Arial" w:hAnsi="Arial"/>
                <w:sz w:val="14"/>
                <w:szCs w:val="14"/>
                <w:b w:val="1"/>
                <w:bCs w:val="1"/>
                <w:color w:val="FEFEFE"/>
              </w:rPr>
              <w:t>($)</w:t>
            </w:r>
          </w:p>
        </w:tc>
      </w:tr>
      <w:tr>
        <w:trPr>
          <w:trHeight w:val="256"/>
        </w:trPr>
        <w:tc>
          <w:tcPr>
            <w:tcW w:w="3640" w:type="dxa"/>
            <w:vAlign w:val="bottom"/>
          </w:tcPr>
          <w:p>
            <w:pPr>
              <w:ind w:left="120"/>
              <w:spacing w:after="0"/>
              <w:rPr>
                <w:sz w:val="20"/>
                <w:szCs w:val="20"/>
                <w:color w:val="auto"/>
              </w:rPr>
            </w:pPr>
            <w:r>
              <w:rPr>
                <w:rFonts w:ascii="Arial" w:cs="Arial" w:eastAsia="Arial" w:hAnsi="Arial"/>
                <w:sz w:val="18"/>
                <w:szCs w:val="18"/>
                <w:color w:val="auto"/>
              </w:rPr>
              <w:t>Rodney C. Adkins</w:t>
            </w:r>
          </w:p>
        </w:tc>
        <w:tc>
          <w:tcPr>
            <w:tcW w:w="2880" w:type="dxa"/>
            <w:vAlign w:val="bottom"/>
          </w:tcPr>
          <w:p>
            <w:pPr>
              <w:ind w:left="2020"/>
              <w:spacing w:after="0"/>
              <w:rPr>
                <w:sz w:val="20"/>
                <w:szCs w:val="20"/>
                <w:color w:val="auto"/>
              </w:rPr>
            </w:pPr>
            <w:r>
              <w:rPr>
                <w:rFonts w:ascii="Arial" w:cs="Arial" w:eastAsia="Arial" w:hAnsi="Arial"/>
                <w:sz w:val="18"/>
                <w:szCs w:val="18"/>
                <w:color w:val="auto"/>
              </w:rPr>
              <w:t>​285,000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
              <w:spacing w:after="0"/>
              <w:rPr>
                <w:sz w:val="20"/>
                <w:szCs w:val="20"/>
                <w:color w:val="auto"/>
              </w:rPr>
            </w:pPr>
            <w:r>
              <w:rPr>
                <w:rFonts w:ascii="Arial" w:cs="Arial" w:eastAsia="Arial" w:hAnsi="Arial"/>
                <w:sz w:val="18"/>
                <w:szCs w:val="18"/>
                <w:color w:val="auto"/>
              </w:rPr>
              <w:t>​180,000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465,000</w:t>
            </w:r>
          </w:p>
        </w:tc>
      </w:tr>
      <w:tr>
        <w:trPr>
          <w:trHeight w:val="284"/>
        </w:trPr>
        <w:tc>
          <w:tcPr>
            <w:tcW w:w="36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Carlo Bozotti</w:t>
            </w:r>
            <w:r>
              <w:rPr>
                <w:rFonts w:ascii="Arial" w:cs="Arial" w:eastAsia="Arial" w:hAnsi="Arial"/>
                <w:sz w:val="23"/>
                <w:szCs w:val="23"/>
                <w:color w:val="auto"/>
                <w:vertAlign w:val="superscript"/>
              </w:rPr>
              <w:t>(1)</w:t>
            </w:r>
          </w:p>
        </w:tc>
        <w:tc>
          <w:tcPr>
            <w:tcW w:w="2880" w:type="dxa"/>
            <w:vAlign w:val="bottom"/>
            <w:shd w:val="clear" w:color="auto" w:fill="CBECD5"/>
          </w:tcPr>
          <w:p>
            <w:pPr>
              <w:ind w:left="2020"/>
              <w:spacing w:after="0"/>
              <w:rPr>
                <w:sz w:val="20"/>
                <w:szCs w:val="20"/>
                <w:color w:val="auto"/>
              </w:rPr>
            </w:pPr>
            <w:r>
              <w:rPr>
                <w:rFonts w:ascii="Arial" w:cs="Arial" w:eastAsia="Arial" w:hAnsi="Arial"/>
                <w:sz w:val="18"/>
                <w:szCs w:val="18"/>
                <w:color w:val="auto"/>
              </w:rPr>
              <w:t>​ 53,750</w:t>
            </w:r>
          </w:p>
        </w:tc>
        <w:tc>
          <w:tcPr>
            <w:tcW w:w="1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BECD5"/>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BECD5"/>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53,750</w:t>
            </w:r>
          </w:p>
        </w:tc>
      </w:tr>
      <w:tr>
        <w:trPr>
          <w:trHeight w:val="256"/>
        </w:trPr>
        <w:tc>
          <w:tcPr>
            <w:tcW w:w="3640" w:type="dxa"/>
            <w:vAlign w:val="bottom"/>
          </w:tcPr>
          <w:p>
            <w:pPr>
              <w:ind w:left="120"/>
              <w:spacing w:after="0"/>
              <w:rPr>
                <w:sz w:val="20"/>
                <w:szCs w:val="20"/>
                <w:color w:val="auto"/>
              </w:rPr>
            </w:pPr>
            <w:r>
              <w:rPr>
                <w:rFonts w:ascii="Arial" w:cs="Arial" w:eastAsia="Arial" w:hAnsi="Arial"/>
                <w:sz w:val="18"/>
                <w:szCs w:val="18"/>
                <w:color w:val="auto"/>
              </w:rPr>
              <w:t>Brenda L. Freeman</w:t>
            </w:r>
          </w:p>
        </w:tc>
        <w:tc>
          <w:tcPr>
            <w:tcW w:w="2880" w:type="dxa"/>
            <w:vAlign w:val="bottom"/>
          </w:tcPr>
          <w:p>
            <w:pPr>
              <w:ind w:left="2020"/>
              <w:spacing w:after="0"/>
              <w:rPr>
                <w:sz w:val="20"/>
                <w:szCs w:val="20"/>
                <w:color w:val="auto"/>
              </w:rPr>
            </w:pPr>
            <w:r>
              <w:rPr>
                <w:rFonts w:ascii="Arial" w:cs="Arial" w:eastAsia="Arial" w:hAnsi="Arial"/>
                <w:sz w:val="18"/>
                <w:szCs w:val="18"/>
                <w:color w:val="auto"/>
              </w:rPr>
              <w:t>​103,750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
              <w:spacing w:after="0"/>
              <w:rPr>
                <w:sz w:val="20"/>
                <w:szCs w:val="20"/>
                <w:color w:val="auto"/>
              </w:rPr>
            </w:pPr>
            <w:r>
              <w:rPr>
                <w:rFonts w:ascii="Arial" w:cs="Arial" w:eastAsia="Arial" w:hAnsi="Arial"/>
                <w:sz w:val="18"/>
                <w:szCs w:val="18"/>
                <w:color w:val="auto"/>
              </w:rPr>
              <w:t>​180,000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283,750</w:t>
            </w:r>
          </w:p>
        </w:tc>
      </w:tr>
      <w:tr>
        <w:trPr>
          <w:trHeight w:val="283"/>
        </w:trPr>
        <w:tc>
          <w:tcPr>
            <w:tcW w:w="36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Helmut Gassel</w:t>
            </w:r>
            <w:r>
              <w:rPr>
                <w:rFonts w:ascii="Arial" w:cs="Arial" w:eastAsia="Arial" w:hAnsi="Arial"/>
                <w:sz w:val="23"/>
                <w:szCs w:val="23"/>
                <w:color w:val="auto"/>
                <w:vertAlign w:val="superscript"/>
              </w:rPr>
              <w:t>(2)</w:t>
            </w:r>
          </w:p>
        </w:tc>
        <w:tc>
          <w:tcPr>
            <w:tcW w:w="2880" w:type="dxa"/>
            <w:vAlign w:val="bottom"/>
            <w:shd w:val="clear" w:color="auto" w:fill="CBECD5"/>
          </w:tcPr>
          <w:p>
            <w:pPr>
              <w:ind w:left="2020"/>
              <w:spacing w:after="0"/>
              <w:rPr>
                <w:sz w:val="20"/>
                <w:szCs w:val="20"/>
                <w:color w:val="auto"/>
              </w:rPr>
            </w:pPr>
            <w:r>
              <w:rPr>
                <w:rFonts w:ascii="Arial" w:cs="Arial" w:eastAsia="Arial" w:hAnsi="Arial"/>
                <w:sz w:val="18"/>
                <w:szCs w:val="18"/>
                <w:color w:val="auto"/>
              </w:rPr>
              <w:t>​ 94,355</w:t>
            </w:r>
          </w:p>
        </w:tc>
        <w:tc>
          <w:tcPr>
            <w:tcW w:w="1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BECD5"/>
          </w:tcPr>
          <w:p>
            <w:pPr>
              <w:jc w:val="right"/>
              <w:ind w:right="56"/>
              <w:spacing w:after="0"/>
              <w:rPr>
                <w:sz w:val="20"/>
                <w:szCs w:val="20"/>
                <w:color w:val="auto"/>
              </w:rPr>
            </w:pPr>
            <w:r>
              <w:rPr>
                <w:rFonts w:ascii="Arial" w:cs="Arial" w:eastAsia="Arial" w:hAnsi="Arial"/>
                <w:sz w:val="18"/>
                <w:szCs w:val="18"/>
                <w:color w:val="auto"/>
              </w:rPr>
              <w:t>​248,361</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342,716</w:t>
            </w:r>
          </w:p>
        </w:tc>
      </w:tr>
      <w:tr>
        <w:trPr>
          <w:trHeight w:val="284"/>
        </w:trPr>
        <w:tc>
          <w:tcPr>
            <w:tcW w:w="3640" w:type="dxa"/>
            <w:vAlign w:val="bottom"/>
          </w:tcPr>
          <w:p>
            <w:pPr>
              <w:ind w:left="120"/>
              <w:spacing w:after="0"/>
              <w:rPr>
                <w:sz w:val="20"/>
                <w:szCs w:val="20"/>
                <w:color w:val="auto"/>
              </w:rPr>
            </w:pPr>
            <w:r>
              <w:rPr>
                <w:rFonts w:ascii="Arial" w:cs="Arial" w:eastAsia="Arial" w:hAnsi="Arial"/>
                <w:sz w:val="18"/>
                <w:szCs w:val="18"/>
                <w:color w:val="auto"/>
              </w:rPr>
              <w:t>Virginia L. Henkels</w:t>
            </w:r>
            <w:r>
              <w:rPr>
                <w:rFonts w:ascii="Arial" w:cs="Arial" w:eastAsia="Arial" w:hAnsi="Arial"/>
                <w:sz w:val="23"/>
                <w:szCs w:val="23"/>
                <w:color w:val="auto"/>
                <w:vertAlign w:val="superscript"/>
              </w:rPr>
              <w:t>(2)</w:t>
            </w:r>
          </w:p>
        </w:tc>
        <w:tc>
          <w:tcPr>
            <w:tcW w:w="2880" w:type="dxa"/>
            <w:vAlign w:val="bottom"/>
          </w:tcPr>
          <w:p>
            <w:pPr>
              <w:ind w:left="2020"/>
              <w:spacing w:after="0"/>
              <w:rPr>
                <w:sz w:val="20"/>
                <w:szCs w:val="20"/>
                <w:color w:val="auto"/>
              </w:rPr>
            </w:pPr>
            <w:r>
              <w:rPr>
                <w:rFonts w:ascii="Arial" w:cs="Arial" w:eastAsia="Arial" w:hAnsi="Arial"/>
                <w:sz w:val="18"/>
                <w:szCs w:val="18"/>
                <w:color w:val="auto"/>
              </w:rPr>
              <w:t>​ 94,355</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
              <w:spacing w:after="0"/>
              <w:rPr>
                <w:sz w:val="20"/>
                <w:szCs w:val="20"/>
                <w:color w:val="auto"/>
              </w:rPr>
            </w:pPr>
            <w:r>
              <w:rPr>
                <w:rFonts w:ascii="Arial" w:cs="Arial" w:eastAsia="Arial" w:hAnsi="Arial"/>
                <w:sz w:val="18"/>
                <w:szCs w:val="18"/>
                <w:color w:val="auto"/>
              </w:rPr>
              <w:t>​248,361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342,716</w:t>
            </w:r>
          </w:p>
        </w:tc>
      </w:tr>
      <w:tr>
        <w:trPr>
          <w:trHeight w:val="256"/>
        </w:trPr>
        <w:tc>
          <w:tcPr>
            <w:tcW w:w="36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Jo Ann Jenkins</w:t>
            </w:r>
          </w:p>
        </w:tc>
        <w:tc>
          <w:tcPr>
            <w:tcW w:w="2880" w:type="dxa"/>
            <w:vAlign w:val="bottom"/>
            <w:shd w:val="clear" w:color="auto" w:fill="CBECD5"/>
          </w:tcPr>
          <w:p>
            <w:pPr>
              <w:ind w:left="2020"/>
              <w:spacing w:after="0"/>
              <w:rPr>
                <w:sz w:val="20"/>
                <w:szCs w:val="20"/>
                <w:color w:val="auto"/>
              </w:rPr>
            </w:pPr>
            <w:r>
              <w:rPr>
                <w:rFonts w:ascii="Arial" w:cs="Arial" w:eastAsia="Arial" w:hAnsi="Arial"/>
                <w:sz w:val="18"/>
                <w:szCs w:val="18"/>
                <w:color w:val="auto"/>
              </w:rPr>
              <w:t>​120,000</w:t>
            </w:r>
          </w:p>
        </w:tc>
        <w:tc>
          <w:tcPr>
            <w:tcW w:w="1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BECD5"/>
          </w:tcPr>
          <w:p>
            <w:pPr>
              <w:jc w:val="right"/>
              <w:ind w:right="56"/>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300,000</w:t>
            </w:r>
          </w:p>
        </w:tc>
      </w:tr>
      <w:tr>
        <w:trPr>
          <w:trHeight w:val="257"/>
        </w:trPr>
        <w:tc>
          <w:tcPr>
            <w:tcW w:w="3640" w:type="dxa"/>
            <w:vAlign w:val="bottom"/>
          </w:tcPr>
          <w:p>
            <w:pPr>
              <w:ind w:left="120"/>
              <w:spacing w:after="0"/>
              <w:rPr>
                <w:sz w:val="20"/>
                <w:szCs w:val="20"/>
                <w:color w:val="auto"/>
              </w:rPr>
            </w:pPr>
            <w:r>
              <w:rPr>
                <w:rFonts w:ascii="Arial" w:cs="Arial" w:eastAsia="Arial" w:hAnsi="Arial"/>
                <w:sz w:val="18"/>
                <w:szCs w:val="18"/>
                <w:color w:val="auto"/>
              </w:rPr>
              <w:t>Oleg Khaykin</w:t>
            </w:r>
          </w:p>
        </w:tc>
        <w:tc>
          <w:tcPr>
            <w:tcW w:w="2880" w:type="dxa"/>
            <w:vAlign w:val="bottom"/>
          </w:tcPr>
          <w:p>
            <w:pPr>
              <w:ind w:left="2020"/>
              <w:spacing w:after="0"/>
              <w:rPr>
                <w:sz w:val="20"/>
                <w:szCs w:val="20"/>
                <w:color w:val="auto"/>
              </w:rPr>
            </w:pPr>
            <w:r>
              <w:rPr>
                <w:rFonts w:ascii="Arial" w:cs="Arial" w:eastAsia="Arial" w:hAnsi="Arial"/>
                <w:sz w:val="18"/>
                <w:szCs w:val="18"/>
                <w:color w:val="auto"/>
              </w:rPr>
              <w:t>​122,500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
              <w:spacing w:after="0"/>
              <w:rPr>
                <w:sz w:val="20"/>
                <w:szCs w:val="20"/>
                <w:color w:val="auto"/>
              </w:rPr>
            </w:pPr>
            <w:r>
              <w:rPr>
                <w:rFonts w:ascii="Arial" w:cs="Arial" w:eastAsia="Arial" w:hAnsi="Arial"/>
                <w:sz w:val="18"/>
                <w:szCs w:val="18"/>
                <w:color w:val="auto"/>
              </w:rPr>
              <w:t>​180,000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302,500</w:t>
            </w:r>
          </w:p>
        </w:tc>
      </w:tr>
      <w:tr>
        <w:trPr>
          <w:trHeight w:val="283"/>
        </w:trPr>
        <w:tc>
          <w:tcPr>
            <w:tcW w:w="36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James A. Lawrence</w:t>
            </w:r>
            <w:r>
              <w:rPr>
                <w:rFonts w:ascii="Arial" w:cs="Arial" w:eastAsia="Arial" w:hAnsi="Arial"/>
                <w:sz w:val="23"/>
                <w:szCs w:val="23"/>
                <w:color w:val="auto"/>
                <w:vertAlign w:val="superscript"/>
              </w:rPr>
              <w:t>(1)</w:t>
            </w:r>
          </w:p>
        </w:tc>
        <w:tc>
          <w:tcPr>
            <w:tcW w:w="2880" w:type="dxa"/>
            <w:vAlign w:val="bottom"/>
            <w:shd w:val="clear" w:color="auto" w:fill="CBECD5"/>
          </w:tcPr>
          <w:p>
            <w:pPr>
              <w:ind w:left="2020"/>
              <w:spacing w:after="0"/>
              <w:rPr>
                <w:sz w:val="20"/>
                <w:szCs w:val="20"/>
                <w:color w:val="auto"/>
              </w:rPr>
            </w:pPr>
            <w:r>
              <w:rPr>
                <w:rFonts w:ascii="Arial" w:cs="Arial" w:eastAsia="Arial" w:hAnsi="Arial"/>
                <w:sz w:val="18"/>
                <w:szCs w:val="18"/>
                <w:color w:val="auto"/>
              </w:rPr>
              <w:t>​ 50,000</w:t>
            </w:r>
          </w:p>
        </w:tc>
        <w:tc>
          <w:tcPr>
            <w:tcW w:w="1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BECD5"/>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BECD5"/>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50,000</w:t>
            </w:r>
          </w:p>
        </w:tc>
      </w:tr>
      <w:tr>
        <w:trPr>
          <w:trHeight w:val="257"/>
        </w:trPr>
        <w:tc>
          <w:tcPr>
            <w:tcW w:w="3640" w:type="dxa"/>
            <w:vAlign w:val="bottom"/>
          </w:tcPr>
          <w:p>
            <w:pPr>
              <w:ind w:left="120"/>
              <w:spacing w:after="0"/>
              <w:rPr>
                <w:sz w:val="20"/>
                <w:szCs w:val="20"/>
                <w:color w:val="auto"/>
              </w:rPr>
            </w:pPr>
            <w:r>
              <w:rPr>
                <w:rFonts w:ascii="Arial" w:cs="Arial" w:eastAsia="Arial" w:hAnsi="Arial"/>
                <w:sz w:val="18"/>
                <w:szCs w:val="18"/>
                <w:color w:val="auto"/>
              </w:rPr>
              <w:t>Ernest E. Maddock</w:t>
            </w:r>
          </w:p>
        </w:tc>
        <w:tc>
          <w:tcPr>
            <w:tcW w:w="2880" w:type="dxa"/>
            <w:vAlign w:val="bottom"/>
          </w:tcPr>
          <w:p>
            <w:pPr>
              <w:ind w:left="2020"/>
              <w:spacing w:after="0"/>
              <w:rPr>
                <w:sz w:val="20"/>
                <w:szCs w:val="20"/>
                <w:color w:val="auto"/>
              </w:rPr>
            </w:pPr>
            <w:r>
              <w:rPr>
                <w:rFonts w:ascii="Arial" w:cs="Arial" w:eastAsia="Arial" w:hAnsi="Arial"/>
                <w:sz w:val="18"/>
                <w:szCs w:val="18"/>
                <w:color w:val="auto"/>
              </w:rPr>
              <w:t>​125,000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
              <w:spacing w:after="0"/>
              <w:rPr>
                <w:sz w:val="20"/>
                <w:szCs w:val="20"/>
                <w:color w:val="auto"/>
              </w:rPr>
            </w:pPr>
            <w:r>
              <w:rPr>
                <w:rFonts w:ascii="Arial" w:cs="Arial" w:eastAsia="Arial" w:hAnsi="Arial"/>
                <w:sz w:val="18"/>
                <w:szCs w:val="18"/>
                <w:color w:val="auto"/>
              </w:rPr>
              <w:t>​180,000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305,000</w:t>
            </w:r>
          </w:p>
        </w:tc>
      </w:tr>
      <w:tr>
        <w:trPr>
          <w:trHeight w:val="257"/>
        </w:trPr>
        <w:tc>
          <w:tcPr>
            <w:tcW w:w="36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Avid Modjtabai</w:t>
            </w:r>
          </w:p>
        </w:tc>
        <w:tc>
          <w:tcPr>
            <w:tcW w:w="2880" w:type="dxa"/>
            <w:vAlign w:val="bottom"/>
            <w:shd w:val="clear" w:color="auto" w:fill="CBECD5"/>
          </w:tcPr>
          <w:p>
            <w:pPr>
              <w:ind w:left="2020"/>
              <w:spacing w:after="0"/>
              <w:rPr>
                <w:sz w:val="20"/>
                <w:szCs w:val="20"/>
                <w:color w:val="auto"/>
              </w:rPr>
            </w:pPr>
            <w:r>
              <w:rPr>
                <w:rFonts w:ascii="Arial" w:cs="Arial" w:eastAsia="Arial" w:hAnsi="Arial"/>
                <w:sz w:val="18"/>
                <w:szCs w:val="18"/>
                <w:color w:val="auto"/>
              </w:rPr>
              <w:t>​107,500</w:t>
            </w:r>
          </w:p>
        </w:tc>
        <w:tc>
          <w:tcPr>
            <w:tcW w:w="1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BECD5"/>
          </w:tcPr>
          <w:p>
            <w:pPr>
              <w:jc w:val="right"/>
              <w:ind w:right="56"/>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287,500</w:t>
            </w:r>
          </w:p>
        </w:tc>
      </w:tr>
      <w:tr>
        <w:trPr>
          <w:trHeight w:val="290"/>
        </w:trPr>
        <w:tc>
          <w:tcPr>
            <w:tcW w:w="3640" w:type="dxa"/>
            <w:vAlign w:val="bottom"/>
            <w:tcBorders>
              <w:bottom w:val="single" w:sz="8" w:color="53C072"/>
            </w:tcBorders>
          </w:tcPr>
          <w:p>
            <w:pPr>
              <w:ind w:left="120"/>
              <w:spacing w:after="0"/>
              <w:rPr>
                <w:sz w:val="20"/>
                <w:szCs w:val="20"/>
                <w:color w:val="auto"/>
              </w:rPr>
            </w:pPr>
            <w:r>
              <w:rPr>
                <w:rFonts w:ascii="Arial" w:cs="Arial" w:eastAsia="Arial" w:hAnsi="Arial"/>
                <w:sz w:val="18"/>
                <w:szCs w:val="18"/>
                <w:color w:val="auto"/>
              </w:rPr>
              <w:t>Adalio T. Sanchez</w:t>
            </w:r>
          </w:p>
        </w:tc>
        <w:tc>
          <w:tcPr>
            <w:tcW w:w="2880" w:type="dxa"/>
            <w:vAlign w:val="bottom"/>
            <w:tcBorders>
              <w:bottom w:val="single" w:sz="8" w:color="53C072"/>
            </w:tcBorders>
          </w:tcPr>
          <w:p>
            <w:pPr>
              <w:ind w:left="20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107,500</w:t>
            </w:r>
          </w:p>
        </w:tc>
        <w:tc>
          <w:tcPr>
            <w:tcW w:w="160" w:type="dxa"/>
            <w:vAlign w:val="bottom"/>
            <w:tcBorders>
              <w:bottom w:val="single" w:sz="8" w:color="53C072"/>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53C072"/>
            </w:tcBorders>
            <w:gridSpan w:val="2"/>
          </w:tcPr>
          <w:p>
            <w:pPr>
              <w:jc w:val="right"/>
              <w:ind w:right="56"/>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180,000</w:t>
            </w:r>
          </w:p>
        </w:tc>
        <w:tc>
          <w:tcPr>
            <w:tcW w:w="14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53C072"/>
            </w:tcBorders>
          </w:tcPr>
          <w:p>
            <w:pPr>
              <w:jc w:val="right"/>
              <w:ind w:right="33"/>
              <w:spacing w:after="0"/>
              <w:rPr>
                <w:sz w:val="20"/>
                <w:szCs w:val="20"/>
                <w:color w:val="auto"/>
              </w:rPr>
            </w:pPr>
            <w:r>
              <w:rPr>
                <w:rFonts w:ascii="Arial" w:cs="Arial" w:eastAsia="Arial" w:hAnsi="Arial"/>
                <w:sz w:val="18"/>
                <w:szCs w:val="18"/>
                <w:color w:val="auto"/>
              </w:rPr>
              <w:t>287,500</w:t>
            </w:r>
          </w:p>
        </w:tc>
      </w:tr>
    </w:tbl>
    <w:p>
      <w:pPr>
        <w:spacing w:after="0" w:line="49" w:lineRule="exact"/>
        <w:rPr>
          <w:sz w:val="20"/>
          <w:szCs w:val="20"/>
          <w:color w:val="auto"/>
        </w:rPr>
      </w:pPr>
    </w:p>
    <w:p>
      <w:pPr>
        <w:ind w:left="2080" w:right="779" w:hanging="730"/>
        <w:spacing w:after="0" w:line="287" w:lineRule="auto"/>
        <w:tabs>
          <w:tab w:leader="none" w:pos="2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Messrs. Bozotti and Lawrence received two quarterly cash retainer payments prior to their retirement from the Board on November 22, 2024.</w:t>
      </w:r>
    </w:p>
    <w:p>
      <w:pPr>
        <w:spacing w:after="0" w:line="85" w:lineRule="exact"/>
        <w:rPr>
          <w:rFonts w:ascii="Arial" w:cs="Arial" w:eastAsia="Arial" w:hAnsi="Arial"/>
          <w:sz w:val="18"/>
          <w:szCs w:val="18"/>
          <w:color w:val="auto"/>
        </w:rPr>
      </w:pPr>
    </w:p>
    <w:p>
      <w:pPr>
        <w:ind w:left="2080" w:right="419" w:hanging="730"/>
        <w:spacing w:after="0" w:line="287" w:lineRule="auto"/>
        <w:tabs>
          <w:tab w:leader="none" w:pos="2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Ms. Henkels and Mr. Gassel were elected to the Board on August 15, 2024, and their retainers and stock awards are prorated.</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PROCESS FOR REVIEWING NON-EMPLOYEE DIRECTOR COMPENSATION</w:t>
      </w:r>
    </w:p>
    <w:p>
      <w:pPr>
        <w:spacing w:after="0" w:line="162" w:lineRule="exact"/>
        <w:rPr>
          <w:sz w:val="20"/>
          <w:szCs w:val="20"/>
          <w:color w:val="auto"/>
        </w:rPr>
      </w:pPr>
    </w:p>
    <w:p>
      <w:pPr>
        <w:ind w:left="1000" w:right="179"/>
        <w:spacing w:after="0" w:line="259" w:lineRule="auto"/>
        <w:rPr>
          <w:sz w:val="20"/>
          <w:szCs w:val="20"/>
          <w:color w:val="auto"/>
        </w:rPr>
      </w:pPr>
      <w:r>
        <w:rPr>
          <w:rFonts w:ascii="Arial" w:cs="Arial" w:eastAsia="Arial" w:hAnsi="Arial"/>
          <w:sz w:val="18"/>
          <w:szCs w:val="18"/>
          <w:color w:val="auto"/>
        </w:rPr>
        <w:t>The Board’s practice is to review the Company’s non-employee Director compensation program periodically based on recommendations from the Compensation and Leadership Development Committee, and any changes are generally made effective as of January 1 of the following calendar year. The committee typically performs a comprehensive benchmarking review of the program every two years, including each element of the program and the compensation in total.</w:t>
      </w:r>
    </w:p>
    <w:p>
      <w:pPr>
        <w:spacing w:after="0" w:line="98" w:lineRule="exact"/>
        <w:rPr>
          <w:sz w:val="20"/>
          <w:szCs w:val="20"/>
          <w:color w:val="auto"/>
        </w:rPr>
      </w:pPr>
    </w:p>
    <w:p>
      <w:pPr>
        <w:ind w:left="1000" w:right="239"/>
        <w:spacing w:after="0" w:line="287" w:lineRule="auto"/>
        <w:rPr>
          <w:sz w:val="20"/>
          <w:szCs w:val="20"/>
          <w:color w:val="auto"/>
        </w:rPr>
      </w:pPr>
      <w:r>
        <w:rPr>
          <w:rFonts w:ascii="Arial" w:cs="Arial" w:eastAsia="Arial" w:hAnsi="Arial"/>
          <w:sz w:val="18"/>
          <w:szCs w:val="18"/>
          <w:color w:val="auto"/>
        </w:rPr>
        <w:t>The Board did not make, and the Compensation and Leadership Development Committee did not recommend, any changes to non-employee Director Compensation for fiscal 2025.</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DEFERRED COMPENSATION PLAN</w:t>
      </w:r>
    </w:p>
    <w:p>
      <w:pPr>
        <w:spacing w:after="0" w:line="148" w:lineRule="exact"/>
        <w:rPr>
          <w:sz w:val="20"/>
          <w:szCs w:val="20"/>
          <w:color w:val="auto"/>
        </w:rPr>
      </w:pPr>
    </w:p>
    <w:p>
      <w:pPr>
        <w:ind w:left="1000" w:right="419"/>
        <w:spacing w:after="0" w:line="278" w:lineRule="auto"/>
        <w:rPr>
          <w:sz w:val="20"/>
          <w:szCs w:val="20"/>
          <w:color w:val="auto"/>
        </w:rPr>
      </w:pPr>
      <w:r>
        <w:rPr>
          <w:rFonts w:ascii="Arial" w:cs="Arial" w:eastAsia="Arial" w:hAnsi="Arial"/>
          <w:sz w:val="17"/>
          <w:szCs w:val="17"/>
          <w:color w:val="auto"/>
        </w:rPr>
        <w:t>Under the Avnet Deferred Compensation Plan for Outside Directors, a non-employee Director may elect to defer all or a portion of annual equity compensation and receive phantom stock units instead. Each phantom stock unit is the equivalent of one share of Common Stock and is settled in Common Stock on a one-for-one basis with fractional shares payable in cash. Phantom stock units will be settled when the Director no longer serves on the Board or upon a change of control of the Company, as provided under the plan.</w:t>
      </w:r>
    </w:p>
    <w:p>
      <w:pPr>
        <w:spacing w:after="0" w:line="96" w:lineRule="exact"/>
        <w:rPr>
          <w:sz w:val="20"/>
          <w:szCs w:val="20"/>
          <w:color w:val="auto"/>
        </w:rPr>
      </w:pPr>
    </w:p>
    <w:p>
      <w:pPr>
        <w:ind w:left="1000" w:right="619"/>
        <w:spacing w:after="0" w:line="268" w:lineRule="auto"/>
        <w:rPr>
          <w:sz w:val="20"/>
          <w:szCs w:val="20"/>
          <w:color w:val="auto"/>
        </w:rPr>
      </w:pPr>
      <w:r>
        <w:rPr>
          <w:rFonts w:ascii="Arial" w:cs="Arial" w:eastAsia="Arial" w:hAnsi="Arial"/>
          <w:sz w:val="18"/>
          <w:szCs w:val="18"/>
          <w:color w:val="auto"/>
        </w:rPr>
        <w:t>The number of phantom stock units is determined by dividing the grant date fair value of the annual equity compensation by the average price of the Common Stock on the first business day in January and then multiplying by the percentage of the equity compensation deferred.</w:t>
      </w:r>
    </w:p>
    <w:p>
      <w:pPr>
        <w:spacing w:after="0" w:line="103" w:lineRule="exact"/>
        <w:rPr>
          <w:sz w:val="20"/>
          <w:szCs w:val="20"/>
          <w:color w:val="auto"/>
        </w:rPr>
      </w:pPr>
    </w:p>
    <w:p>
      <w:pPr>
        <w:jc w:val="both"/>
        <w:ind w:left="1000" w:right="239"/>
        <w:spacing w:after="0" w:line="272" w:lineRule="auto"/>
        <w:rPr>
          <w:sz w:val="20"/>
          <w:szCs w:val="20"/>
          <w:color w:val="auto"/>
        </w:rPr>
      </w:pPr>
      <w:r>
        <w:rPr>
          <w:rFonts w:ascii="Arial" w:cs="Arial" w:eastAsia="Arial" w:hAnsi="Arial"/>
          <w:sz w:val="17"/>
          <w:szCs w:val="17"/>
          <w:color w:val="auto"/>
        </w:rPr>
        <w:t>In addition, a non-employee Director may elect to defer all or a portion of cash compensation, either as cash or phantom stock units. Cash compensation deferred as cash is credited to a cash account established under the plan for the Director at the beginning of each quarter and earns monthly interest at the interest rate on U.S.</w:t>
      </w:r>
    </w:p>
    <w:p>
      <w:pPr>
        <w:spacing w:after="0" w:line="1" w:lineRule="exact"/>
        <w:rPr>
          <w:sz w:val="20"/>
          <w:szCs w:val="20"/>
          <w:color w:val="auto"/>
        </w:rPr>
      </w:pPr>
    </w:p>
    <w:p>
      <w:pPr>
        <w:ind w:left="1000" w:right="199"/>
        <w:spacing w:after="0" w:line="258" w:lineRule="auto"/>
        <w:rPr>
          <w:sz w:val="20"/>
          <w:szCs w:val="20"/>
          <w:color w:val="auto"/>
        </w:rPr>
      </w:pPr>
      <w:r>
        <w:rPr>
          <w:rFonts w:ascii="Arial" w:cs="Arial" w:eastAsia="Arial" w:hAnsi="Arial"/>
          <w:sz w:val="18"/>
          <w:szCs w:val="18"/>
          <w:color w:val="auto"/>
        </w:rPr>
        <w:t>Treasury 10-year notes on the first day of the month. During fiscal 2025, there were no “above market” earnings. The cash account is payable to the Director when the Director no longer serves on the Board or upon a change of control of the Company.</w:t>
      </w:r>
    </w:p>
    <w:p>
      <w:pPr>
        <w:spacing w:after="0" w:line="119"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252730</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32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420" w:type="dxa"/>
            <w:vAlign w:val="bottom"/>
            <w:vMerge w:val="restart"/>
          </w:tcPr>
          <w:p>
            <w:pPr>
              <w:ind w:left="2960"/>
              <w:spacing w:after="0"/>
              <w:rPr>
                <w:sz w:val="20"/>
                <w:szCs w:val="20"/>
                <w:color w:val="auto"/>
              </w:rPr>
            </w:pPr>
            <w:r>
              <w:rPr>
                <w:rFonts w:ascii="Arial" w:cs="Arial" w:eastAsia="Arial" w:hAnsi="Arial"/>
                <w:sz w:val="14"/>
                <w:szCs w:val="14"/>
                <w:color w:val="auto"/>
              </w:rPr>
              <w:t>Director Compensation</w:t>
            </w:r>
          </w:p>
        </w:tc>
        <w:tc>
          <w:tcPr>
            <w:tcW w:w="0" w:type="dxa"/>
            <w:vAlign w:val="bottom"/>
          </w:tcPr>
          <w:p>
            <w:pPr>
              <w:spacing w:after="0"/>
              <w:rPr>
                <w:sz w:val="1"/>
                <w:szCs w:val="1"/>
                <w:color w:val="auto"/>
              </w:rPr>
            </w:pPr>
          </w:p>
        </w:tc>
      </w:tr>
      <w:tr>
        <w:trPr>
          <w:trHeight w:val="89"/>
        </w:trPr>
        <w:tc>
          <w:tcPr>
            <w:tcW w:w="53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320" w:type="dxa"/>
            <w:vAlign w:val="bottom"/>
            <w:vMerge w:val="continue"/>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239"/>
        <w:spacing w:after="0" w:line="259" w:lineRule="auto"/>
        <w:rPr>
          <w:sz w:val="20"/>
          <w:szCs w:val="20"/>
          <w:color w:val="auto"/>
        </w:rPr>
      </w:pPr>
      <w:r>
        <w:rPr>
          <w:rFonts w:ascii="Arial" w:cs="Arial" w:eastAsia="Arial" w:hAnsi="Arial"/>
          <w:sz w:val="18"/>
          <w:szCs w:val="18"/>
          <w:color w:val="auto"/>
        </w:rPr>
        <w:t>Except in connection with a change of control, the settlement of phantom stock units with Common Stock and payment of the cash account in cash will be made in ten annual installments, unless the Director elects to receive in a single lump sum or less than ten annual installments. In connection with a change of control, the settlement and payment will be made in a single lump sum. If a Director dies, any remaining payments shall be made to the Director’s designated beneficiary.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D&amp;O INSURANCE</w:t>
      </w:r>
    </w:p>
    <w:p>
      <w:pPr>
        <w:spacing w:after="0" w:line="162" w:lineRule="exact"/>
        <w:rPr>
          <w:sz w:val="20"/>
          <w:szCs w:val="20"/>
          <w:color w:val="auto"/>
        </w:rPr>
      </w:pPr>
    </w:p>
    <w:p>
      <w:pPr>
        <w:ind w:left="1000" w:right="179"/>
        <w:spacing w:after="0" w:line="254" w:lineRule="auto"/>
        <w:rPr>
          <w:sz w:val="20"/>
          <w:szCs w:val="20"/>
          <w:color w:val="auto"/>
        </w:rPr>
      </w:pPr>
      <w:r>
        <w:rPr>
          <w:rFonts w:ascii="Arial" w:cs="Arial" w:eastAsia="Arial" w:hAnsi="Arial"/>
          <w:sz w:val="18"/>
          <w:szCs w:val="18"/>
          <w:color w:val="auto"/>
        </w:rPr>
        <w:t>As permitted by Section 726 of the Business Corporation Law of New York, the Company has in force directors’ and officers’ liability insurance and corporate reimbursement insurance. The policy insures the Company against losses from claims against its Directors and officers when they are entitled to indemnification by the Company, and insures the Company’s Directors and officers against certain losses from claims against them in their official capacities. All duly elected Directors and officers of the Company and its subsidiaries are covered under this insurance. The primary insurer is Federal Insurance Company, a Chubb Group insurance company. Excess insurers include XL Specialty Insurance Company, Zurich American Insurance Company, Old Republic Insurance Company, AmTrust Insurance, Sompo America Insurance Company, Beazley Insurance Company, and Lloyd’s of London. The coverage was renewed effective August 1, 2025, for a one-year term. The total premium paid for both primary and excess insurance was $771,563. No claims were made or sums paid out under such insurance policies during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32     </w:t>
      </w:r>
      <w:r>
        <w:rPr>
          <w:sz w:val="1"/>
          <w:szCs w:val="1"/>
          <w:color w:val="auto"/>
        </w:rPr>
        <w:drawing>
          <wp:inline distT="0" distB="0" distL="0" distR="0">
            <wp:extent cx="1242695" cy="24003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252730</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40"/>
        <w:spacing w:after="0"/>
        <w:rPr>
          <w:sz w:val="20"/>
          <w:szCs w:val="20"/>
          <w:color w:val="auto"/>
        </w:rPr>
      </w:pPr>
      <w:r>
        <w:rPr>
          <w:rFonts w:ascii="Arial" w:cs="Arial" w:eastAsia="Arial" w:hAnsi="Arial"/>
          <w:sz w:val="40"/>
          <w:szCs w:val="40"/>
          <w:b w:val="1"/>
          <w:bCs w:val="1"/>
          <w:color w:val="FEFEFE"/>
        </w:rPr>
        <w:t>EXECUTIVE OFFICERS OF THE COMPANY</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jc w:val="both"/>
        <w:ind w:left="1000" w:right="319"/>
        <w:spacing w:after="0" w:line="276" w:lineRule="auto"/>
        <w:rPr>
          <w:sz w:val="20"/>
          <w:szCs w:val="20"/>
          <w:color w:val="auto"/>
        </w:rPr>
      </w:pPr>
      <w:r>
        <w:rPr>
          <w:rFonts w:ascii="Arial" w:cs="Arial" w:eastAsia="Arial" w:hAnsi="Arial"/>
          <w:sz w:val="18"/>
          <w:szCs w:val="18"/>
          <w:color w:val="auto"/>
        </w:rPr>
        <w:t>Below are the names, ages, and titles of the Company’s current executive officers as of September 22, 2025, as well as a summary of their backgrounds and business experience, except that Mr. Gallagher’s biography is listed earlier under Proposal 1: Election of Directors — Nominees.</w:t>
      </w:r>
    </w:p>
    <w:p>
      <w:pPr>
        <w:spacing w:after="0" w:line="109" w:lineRule="exact"/>
        <w:rPr>
          <w:sz w:val="20"/>
          <w:szCs w:val="20"/>
          <w:color w:val="auto"/>
        </w:rPr>
      </w:pPr>
    </w:p>
    <w:p>
      <w:pPr>
        <w:ind w:left="1000" w:right="219"/>
        <w:spacing w:after="0" w:line="287" w:lineRule="auto"/>
        <w:rPr>
          <w:sz w:val="20"/>
          <w:szCs w:val="20"/>
          <w:color w:val="auto"/>
        </w:rPr>
      </w:pPr>
      <w:r>
        <w:rPr>
          <w:rFonts w:ascii="Arial" w:cs="Arial" w:eastAsia="Arial" w:hAnsi="Arial"/>
          <w:sz w:val="18"/>
          <w:szCs w:val="18"/>
          <w:color w:val="auto"/>
        </w:rPr>
        <w:t>Executive officers are generally appointed each year by the Board at a meeting following the annual meeting of shareholders.</w:t>
      </w:r>
    </w:p>
    <w:p>
      <w:pPr>
        <w:spacing w:after="0" w:line="145" w:lineRule="exact"/>
        <w:rPr>
          <w:sz w:val="20"/>
          <w:szCs w:val="20"/>
          <w:color w:val="auto"/>
        </w:rPr>
      </w:pPr>
    </w:p>
    <w:tbl>
      <w:tblPr>
        <w:tblLayout w:type="fixed"/>
        <w:tblInd w:w="990" w:type="dxa"/>
        <w:tblCellMar>
          <w:top w:w="0" w:type="dxa"/>
          <w:left w:w="0" w:type="dxa"/>
          <w:bottom w:w="0" w:type="dxa"/>
          <w:right w:w="0" w:type="dxa"/>
        </w:tblCellMar>
      </w:tblPr>
      <w:tr>
        <w:trPr>
          <w:trHeight w:val="229"/>
        </w:trPr>
        <w:tc>
          <w:tcPr>
            <w:tcW w:w="2080" w:type="dxa"/>
            <w:vAlign w:val="bottom"/>
            <w:tcBorders>
              <w:left w:val="single" w:sz="8" w:color="53C072"/>
              <w:right w:val="single" w:sz="8" w:color="53C072"/>
            </w:tcBorders>
            <w:shd w:val="clear" w:color="auto" w:fill="53C072"/>
          </w:tcPr>
          <w:p>
            <w:pPr>
              <w:ind w:left="120"/>
              <w:spacing w:after="0"/>
              <w:rPr>
                <w:sz w:val="20"/>
                <w:szCs w:val="20"/>
                <w:color w:val="auto"/>
              </w:rPr>
            </w:pPr>
            <w:r>
              <w:rPr>
                <w:rFonts w:ascii="Arial" w:cs="Arial" w:eastAsia="Arial" w:hAnsi="Arial"/>
                <w:sz w:val="14"/>
                <w:szCs w:val="14"/>
                <w:b w:val="1"/>
                <w:bCs w:val="1"/>
                <w:color w:val="FFFFFF"/>
              </w:rPr>
              <w:t>Name</w:t>
            </w:r>
          </w:p>
        </w:tc>
        <w:tc>
          <w:tcPr>
            <w:tcW w:w="100" w:type="dxa"/>
            <w:vAlign w:val="bottom"/>
            <w:shd w:val="clear" w:color="auto" w:fill="53C072"/>
          </w:tcPr>
          <w:p>
            <w:pPr>
              <w:spacing w:after="0"/>
              <w:rPr>
                <w:sz w:val="19"/>
                <w:szCs w:val="19"/>
                <w:color w:val="auto"/>
              </w:rPr>
            </w:pPr>
          </w:p>
        </w:tc>
        <w:tc>
          <w:tcPr>
            <w:tcW w:w="760" w:type="dxa"/>
            <w:vAlign w:val="bottom"/>
            <w:shd w:val="clear" w:color="auto" w:fill="53C072"/>
          </w:tcPr>
          <w:p>
            <w:pPr>
              <w:ind w:left="380"/>
              <w:spacing w:after="0"/>
              <w:rPr>
                <w:sz w:val="20"/>
                <w:szCs w:val="20"/>
                <w:color w:val="auto"/>
              </w:rPr>
            </w:pPr>
            <w:r>
              <w:rPr>
                <w:rFonts w:ascii="Arial" w:cs="Arial" w:eastAsia="Arial" w:hAnsi="Arial"/>
                <w:sz w:val="14"/>
                <w:szCs w:val="14"/>
                <w:b w:val="1"/>
                <w:bCs w:val="1"/>
                <w:color w:val="FFFFFF"/>
              </w:rPr>
              <w:t>Age</w:t>
            </w:r>
          </w:p>
        </w:tc>
        <w:tc>
          <w:tcPr>
            <w:tcW w:w="572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FFFFF"/>
              </w:rPr>
              <w:t>Office</w:t>
            </w:r>
          </w:p>
        </w:tc>
        <w:tc>
          <w:tcPr>
            <w:tcW w:w="80" w:type="dxa"/>
            <w:vAlign w:val="bottom"/>
            <w:shd w:val="clear" w:color="auto" w:fill="53C072"/>
          </w:tcPr>
          <w:p>
            <w:pPr>
              <w:spacing w:after="0"/>
              <w:rPr>
                <w:sz w:val="19"/>
                <w:szCs w:val="19"/>
                <w:color w:val="auto"/>
              </w:rPr>
            </w:pPr>
          </w:p>
        </w:tc>
        <w:tc>
          <w:tcPr>
            <w:tcW w:w="20" w:type="dxa"/>
            <w:vAlign w:val="bottom"/>
            <w:shd w:val="clear" w:color="auto" w:fill="53C072"/>
          </w:tcPr>
          <w:p>
            <w:pPr>
              <w:spacing w:after="0"/>
              <w:rPr>
                <w:sz w:val="19"/>
                <w:szCs w:val="19"/>
                <w:color w:val="auto"/>
              </w:rPr>
            </w:pPr>
          </w:p>
        </w:tc>
      </w:tr>
      <w:tr>
        <w:trPr>
          <w:trHeight w:val="265"/>
        </w:trPr>
        <w:tc>
          <w:tcPr>
            <w:tcW w:w="2080" w:type="dxa"/>
            <w:vAlign w:val="bottom"/>
          </w:tcPr>
          <w:p>
            <w:pPr>
              <w:ind w:left="120"/>
              <w:spacing w:after="0"/>
              <w:rPr>
                <w:sz w:val="20"/>
                <w:szCs w:val="20"/>
                <w:color w:val="auto"/>
              </w:rPr>
            </w:pPr>
            <w:r>
              <w:rPr>
                <w:rFonts w:ascii="Arial" w:cs="Arial" w:eastAsia="Arial" w:hAnsi="Arial"/>
                <w:sz w:val="18"/>
                <w:szCs w:val="18"/>
                <w:color w:val="auto"/>
              </w:rPr>
              <w:t>Philip R. Gallagher</w:t>
            </w:r>
          </w:p>
        </w:tc>
        <w:tc>
          <w:tcPr>
            <w:tcW w:w="100" w:type="dxa"/>
            <w:vAlign w:val="bottom"/>
          </w:tcPr>
          <w:p>
            <w:pPr>
              <w:spacing w:after="0"/>
              <w:rPr>
                <w:sz w:val="23"/>
                <w:szCs w:val="23"/>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64   Chief Executive Officer and President, Electronic Components</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5"/>
        </w:trPr>
        <w:tc>
          <w:tcPr>
            <w:tcW w:w="2080" w:type="dxa"/>
            <w:vAlign w:val="bottom"/>
            <w:tcBorders>
              <w:left w:val="single" w:sz="8" w:color="CBECD5"/>
              <w:right w:val="single" w:sz="8" w:color="CBECD5"/>
            </w:tcBorders>
            <w:shd w:val="clear" w:color="auto" w:fill="CBECD5"/>
          </w:tcPr>
          <w:p>
            <w:pPr>
              <w:ind w:left="120"/>
              <w:spacing w:after="0"/>
              <w:rPr>
                <w:sz w:val="20"/>
                <w:szCs w:val="20"/>
                <w:color w:val="auto"/>
              </w:rPr>
            </w:pPr>
            <w:r>
              <w:rPr>
                <w:rFonts w:ascii="Arial" w:cs="Arial" w:eastAsia="Arial" w:hAnsi="Arial"/>
                <w:sz w:val="18"/>
                <w:szCs w:val="18"/>
                <w:color w:val="auto"/>
              </w:rPr>
              <w:t>Kenneth A. Jacobson</w:t>
            </w:r>
          </w:p>
        </w:tc>
        <w:tc>
          <w:tcPr>
            <w:tcW w:w="860" w:type="dxa"/>
            <w:vAlign w:val="bottom"/>
            <w:gridSpan w:val="2"/>
            <w:shd w:val="clear" w:color="auto" w:fill="CBECD5"/>
          </w:tcPr>
          <w:p>
            <w:pPr>
              <w:ind w:left="520"/>
              <w:spacing w:after="0"/>
              <w:rPr>
                <w:sz w:val="20"/>
                <w:szCs w:val="20"/>
                <w:color w:val="auto"/>
              </w:rPr>
            </w:pPr>
            <w:r>
              <w:rPr>
                <w:rFonts w:ascii="Arial" w:cs="Arial" w:eastAsia="Arial" w:hAnsi="Arial"/>
                <w:sz w:val="18"/>
                <w:szCs w:val="18"/>
                <w:color w:val="auto"/>
              </w:rPr>
              <w:t>47</w:t>
            </w:r>
          </w:p>
        </w:tc>
        <w:tc>
          <w:tcPr>
            <w:tcW w:w="5720" w:type="dxa"/>
            <w:vAlign w:val="bottom"/>
            <w:shd w:val="clear" w:color="auto" w:fill="CBECD5"/>
          </w:tcPr>
          <w:p>
            <w:pPr>
              <w:ind w:left="100"/>
              <w:spacing w:after="0"/>
              <w:rPr>
                <w:sz w:val="20"/>
                <w:szCs w:val="20"/>
                <w:color w:val="auto"/>
              </w:rPr>
            </w:pPr>
            <w:r>
              <w:rPr>
                <w:rFonts w:ascii="Arial" w:cs="Arial" w:eastAsia="Arial" w:hAnsi="Arial"/>
                <w:sz w:val="18"/>
                <w:szCs w:val="18"/>
                <w:color w:val="auto"/>
              </w:rPr>
              <w:t>Chief Financial Officer</w:t>
            </w:r>
          </w:p>
        </w:tc>
        <w:tc>
          <w:tcPr>
            <w:tcW w:w="80" w:type="dxa"/>
            <w:vAlign w:val="bottom"/>
            <w:shd w:val="clear" w:color="auto" w:fill="CBECD5"/>
          </w:tcPr>
          <w:p>
            <w:pPr>
              <w:spacing w:after="0"/>
              <w:rPr>
                <w:sz w:val="23"/>
                <w:szCs w:val="23"/>
                <w:color w:val="auto"/>
              </w:rPr>
            </w:pPr>
          </w:p>
        </w:tc>
        <w:tc>
          <w:tcPr>
            <w:tcW w:w="20" w:type="dxa"/>
            <w:vAlign w:val="bottom"/>
            <w:shd w:val="clear" w:color="auto" w:fill="CBECD5"/>
          </w:tcPr>
          <w:p>
            <w:pPr>
              <w:spacing w:after="0"/>
              <w:rPr>
                <w:sz w:val="23"/>
                <w:szCs w:val="23"/>
                <w:color w:val="auto"/>
              </w:rPr>
            </w:pPr>
          </w:p>
        </w:tc>
      </w:tr>
      <w:tr>
        <w:trPr>
          <w:trHeight w:val="265"/>
        </w:trPr>
        <w:tc>
          <w:tcPr>
            <w:tcW w:w="2080" w:type="dxa"/>
            <w:vAlign w:val="bottom"/>
          </w:tcPr>
          <w:p>
            <w:pPr>
              <w:ind w:left="120"/>
              <w:spacing w:after="0"/>
              <w:rPr>
                <w:sz w:val="20"/>
                <w:szCs w:val="20"/>
                <w:color w:val="auto"/>
              </w:rPr>
            </w:pPr>
            <w:r>
              <w:rPr>
                <w:rFonts w:ascii="Arial" w:cs="Arial" w:eastAsia="Arial" w:hAnsi="Arial"/>
                <w:sz w:val="18"/>
                <w:szCs w:val="18"/>
                <w:color w:val="auto"/>
              </w:rPr>
              <w:t>Ken E. Arnold</w:t>
            </w:r>
          </w:p>
        </w:tc>
        <w:tc>
          <w:tcPr>
            <w:tcW w:w="100" w:type="dxa"/>
            <w:vAlign w:val="bottom"/>
          </w:tcPr>
          <w:p>
            <w:pPr>
              <w:spacing w:after="0"/>
              <w:rPr>
                <w:sz w:val="23"/>
                <w:szCs w:val="23"/>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61   Senior Vice President and Chief People Officer</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5"/>
        </w:trPr>
        <w:tc>
          <w:tcPr>
            <w:tcW w:w="2080" w:type="dxa"/>
            <w:vAlign w:val="bottom"/>
            <w:tcBorders>
              <w:left w:val="single" w:sz="8" w:color="CBECD5"/>
              <w:right w:val="single" w:sz="8" w:color="CBECD5"/>
            </w:tcBorders>
            <w:shd w:val="clear" w:color="auto" w:fill="CBECD5"/>
          </w:tcPr>
          <w:p>
            <w:pPr>
              <w:ind w:left="120"/>
              <w:spacing w:after="0"/>
              <w:rPr>
                <w:sz w:val="20"/>
                <w:szCs w:val="20"/>
                <w:color w:val="auto"/>
              </w:rPr>
            </w:pPr>
            <w:r>
              <w:rPr>
                <w:rFonts w:ascii="Arial" w:cs="Arial" w:eastAsia="Arial" w:hAnsi="Arial"/>
                <w:sz w:val="18"/>
                <w:szCs w:val="18"/>
                <w:color w:val="auto"/>
              </w:rPr>
              <w:t>Michael R. McCoy</w:t>
            </w:r>
          </w:p>
        </w:tc>
        <w:tc>
          <w:tcPr>
            <w:tcW w:w="100" w:type="dxa"/>
            <w:vAlign w:val="bottom"/>
            <w:shd w:val="clear" w:color="auto" w:fill="CBECD5"/>
          </w:tcPr>
          <w:p>
            <w:pPr>
              <w:spacing w:after="0"/>
              <w:rPr>
                <w:sz w:val="23"/>
                <w:szCs w:val="23"/>
                <w:color w:val="auto"/>
              </w:rPr>
            </w:pPr>
          </w:p>
        </w:tc>
        <w:tc>
          <w:tcPr>
            <w:tcW w:w="6480" w:type="dxa"/>
            <w:vAlign w:val="bottom"/>
            <w:gridSpan w:val="2"/>
            <w:shd w:val="clear" w:color="auto" w:fill="CBECD5"/>
          </w:tcPr>
          <w:p>
            <w:pPr>
              <w:ind w:left="420"/>
              <w:spacing w:after="0"/>
              <w:rPr>
                <w:sz w:val="20"/>
                <w:szCs w:val="20"/>
                <w:color w:val="auto"/>
              </w:rPr>
            </w:pPr>
            <w:r>
              <w:rPr>
                <w:rFonts w:ascii="Arial" w:cs="Arial" w:eastAsia="Arial" w:hAnsi="Arial"/>
                <w:sz w:val="18"/>
                <w:szCs w:val="18"/>
                <w:color w:val="auto"/>
              </w:rPr>
              <w:t>49   Senior Vice President, General Counsel and Chief Legal Officer</w:t>
            </w:r>
          </w:p>
        </w:tc>
        <w:tc>
          <w:tcPr>
            <w:tcW w:w="80" w:type="dxa"/>
            <w:vAlign w:val="bottom"/>
            <w:shd w:val="clear" w:color="auto" w:fill="CBECD5"/>
          </w:tcPr>
          <w:p>
            <w:pPr>
              <w:spacing w:after="0"/>
              <w:rPr>
                <w:sz w:val="23"/>
                <w:szCs w:val="23"/>
                <w:color w:val="auto"/>
              </w:rPr>
            </w:pPr>
          </w:p>
        </w:tc>
        <w:tc>
          <w:tcPr>
            <w:tcW w:w="20" w:type="dxa"/>
            <w:vAlign w:val="bottom"/>
            <w:shd w:val="clear" w:color="auto" w:fill="CBECD5"/>
          </w:tcPr>
          <w:p>
            <w:pPr>
              <w:spacing w:after="0"/>
              <w:rPr>
                <w:sz w:val="23"/>
                <w:szCs w:val="23"/>
                <w:color w:val="auto"/>
              </w:rPr>
            </w:pPr>
          </w:p>
        </w:tc>
      </w:tr>
      <w:tr>
        <w:trPr>
          <w:trHeight w:val="265"/>
        </w:trPr>
        <w:tc>
          <w:tcPr>
            <w:tcW w:w="2080" w:type="dxa"/>
            <w:vAlign w:val="bottom"/>
          </w:tcPr>
          <w:p>
            <w:pPr>
              <w:ind w:left="120"/>
              <w:spacing w:after="0"/>
              <w:rPr>
                <w:sz w:val="20"/>
                <w:szCs w:val="20"/>
                <w:color w:val="auto"/>
              </w:rPr>
            </w:pPr>
            <w:r>
              <w:rPr>
                <w:rFonts w:ascii="Arial" w:cs="Arial" w:eastAsia="Arial" w:hAnsi="Arial"/>
                <w:sz w:val="18"/>
                <w:szCs w:val="18"/>
                <w:color w:val="auto"/>
              </w:rPr>
              <w:t>Leng Jin (Max) Chan</w:t>
            </w:r>
          </w:p>
        </w:tc>
        <w:tc>
          <w:tcPr>
            <w:tcW w:w="100" w:type="dxa"/>
            <w:vAlign w:val="bottom"/>
          </w:tcPr>
          <w:p>
            <w:pPr>
              <w:spacing w:after="0"/>
              <w:rPr>
                <w:sz w:val="23"/>
                <w:szCs w:val="23"/>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53   Senior Vice President and Chief Information Officer</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5"/>
        </w:trPr>
        <w:tc>
          <w:tcPr>
            <w:tcW w:w="2080" w:type="dxa"/>
            <w:vAlign w:val="bottom"/>
            <w:tcBorders>
              <w:left w:val="single" w:sz="8" w:color="CBECD5"/>
              <w:right w:val="single" w:sz="8" w:color="CBECD5"/>
            </w:tcBorders>
            <w:shd w:val="clear" w:color="auto" w:fill="CBECD5"/>
          </w:tcPr>
          <w:p>
            <w:pPr>
              <w:ind w:left="120"/>
              <w:spacing w:after="0"/>
              <w:rPr>
                <w:sz w:val="20"/>
                <w:szCs w:val="20"/>
                <w:color w:val="auto"/>
              </w:rPr>
            </w:pPr>
            <w:r>
              <w:rPr>
                <w:rFonts w:ascii="Arial" w:cs="Arial" w:eastAsia="Arial" w:hAnsi="Arial"/>
                <w:sz w:val="18"/>
                <w:szCs w:val="18"/>
                <w:color w:val="auto"/>
              </w:rPr>
              <w:t>Dave Youngblood</w:t>
            </w:r>
          </w:p>
        </w:tc>
        <w:tc>
          <w:tcPr>
            <w:tcW w:w="100" w:type="dxa"/>
            <w:vAlign w:val="bottom"/>
            <w:shd w:val="clear" w:color="auto" w:fill="CBECD5"/>
          </w:tcPr>
          <w:p>
            <w:pPr>
              <w:spacing w:after="0"/>
              <w:rPr>
                <w:sz w:val="23"/>
                <w:szCs w:val="23"/>
                <w:color w:val="auto"/>
              </w:rPr>
            </w:pPr>
          </w:p>
        </w:tc>
        <w:tc>
          <w:tcPr>
            <w:tcW w:w="6480" w:type="dxa"/>
            <w:vAlign w:val="bottom"/>
            <w:gridSpan w:val="2"/>
            <w:shd w:val="clear" w:color="auto" w:fill="CBECD5"/>
          </w:tcPr>
          <w:p>
            <w:pPr>
              <w:ind w:left="420"/>
              <w:spacing w:after="0"/>
              <w:rPr>
                <w:sz w:val="20"/>
                <w:szCs w:val="20"/>
                <w:color w:val="auto"/>
              </w:rPr>
            </w:pPr>
            <w:r>
              <w:rPr>
                <w:rFonts w:ascii="Arial" w:cs="Arial" w:eastAsia="Arial" w:hAnsi="Arial"/>
                <w:sz w:val="18"/>
                <w:szCs w:val="18"/>
                <w:color w:val="auto"/>
              </w:rPr>
              <w:t>51   Senior Vice President and Chief Digital Officer</w:t>
            </w:r>
          </w:p>
        </w:tc>
        <w:tc>
          <w:tcPr>
            <w:tcW w:w="80" w:type="dxa"/>
            <w:vAlign w:val="bottom"/>
            <w:shd w:val="clear" w:color="auto" w:fill="CBECD5"/>
          </w:tcPr>
          <w:p>
            <w:pPr>
              <w:spacing w:after="0"/>
              <w:rPr>
                <w:sz w:val="23"/>
                <w:szCs w:val="23"/>
                <w:color w:val="auto"/>
              </w:rPr>
            </w:pPr>
          </w:p>
        </w:tc>
        <w:tc>
          <w:tcPr>
            <w:tcW w:w="20" w:type="dxa"/>
            <w:vAlign w:val="bottom"/>
            <w:shd w:val="clear" w:color="auto" w:fill="CBECD5"/>
          </w:tcPr>
          <w:p>
            <w:pPr>
              <w:spacing w:after="0"/>
              <w:rPr>
                <w:sz w:val="23"/>
                <w:szCs w:val="23"/>
                <w:color w:val="auto"/>
              </w:rPr>
            </w:pPr>
          </w:p>
        </w:tc>
      </w:tr>
      <w:tr>
        <w:trPr>
          <w:trHeight w:val="223"/>
        </w:trPr>
        <w:tc>
          <w:tcPr>
            <w:tcW w:w="2080" w:type="dxa"/>
            <w:vAlign w:val="bottom"/>
            <w:tcBorders>
              <w:bottom w:val="single" w:sz="8" w:color="53C072"/>
            </w:tcBorders>
          </w:tcPr>
          <w:p>
            <w:pPr>
              <w:spacing w:after="0"/>
              <w:rPr>
                <w:sz w:val="19"/>
                <w:szCs w:val="19"/>
                <w:color w:val="auto"/>
              </w:rPr>
            </w:pPr>
          </w:p>
        </w:tc>
        <w:tc>
          <w:tcPr>
            <w:tcW w:w="100" w:type="dxa"/>
            <w:vAlign w:val="bottom"/>
            <w:tcBorders>
              <w:bottom w:val="single" w:sz="8" w:color="53C072"/>
            </w:tcBorders>
          </w:tcPr>
          <w:p>
            <w:pPr>
              <w:spacing w:after="0"/>
              <w:rPr>
                <w:sz w:val="19"/>
                <w:szCs w:val="19"/>
                <w:color w:val="auto"/>
              </w:rPr>
            </w:pPr>
          </w:p>
        </w:tc>
        <w:tc>
          <w:tcPr>
            <w:tcW w:w="6480" w:type="dxa"/>
            <w:vAlign w:val="bottom"/>
            <w:tcBorders>
              <w:bottom w:val="single" w:sz="8" w:color="53C072"/>
            </w:tcBorders>
            <w:gridSpan w:val="2"/>
          </w:tcPr>
          <w:p>
            <w:pPr>
              <w:spacing w:after="0"/>
              <w:rPr>
                <w:sz w:val="19"/>
                <w:szCs w:val="19"/>
                <w:color w:val="auto"/>
              </w:rPr>
            </w:pPr>
          </w:p>
        </w:tc>
        <w:tc>
          <w:tcPr>
            <w:tcW w:w="80" w:type="dxa"/>
            <w:vAlign w:val="bottom"/>
            <w:tcBorders>
              <w:bottom w:val="single" w:sz="8" w:color="53C072"/>
            </w:tcBorders>
          </w:tcPr>
          <w:p>
            <w:pPr>
              <w:spacing w:after="0"/>
              <w:rPr>
                <w:sz w:val="19"/>
                <w:szCs w:val="19"/>
                <w:color w:val="auto"/>
              </w:rPr>
            </w:pPr>
          </w:p>
        </w:tc>
        <w:tc>
          <w:tcPr>
            <w:tcW w:w="20" w:type="dxa"/>
            <w:vAlign w:val="bottom"/>
            <w:tcBorders>
              <w:bottom w:val="single" w:sz="8" w:color="53C072"/>
            </w:tcBorders>
          </w:tcPr>
          <w:p>
            <w:pPr>
              <w:spacing w:after="0"/>
              <w:rPr>
                <w:sz w:val="19"/>
                <w:szCs w:val="19"/>
                <w:color w:val="auto"/>
              </w:rPr>
            </w:pPr>
          </w:p>
        </w:tc>
      </w:tr>
      <w:tr>
        <w:trPr>
          <w:trHeight w:val="230"/>
        </w:trPr>
        <w:tc>
          <w:tcPr>
            <w:tcW w:w="2080" w:type="dxa"/>
            <w:vAlign w:val="bottom"/>
            <w:tcBorders>
              <w:left w:val="single" w:sz="8" w:color="53C072"/>
              <w:right w:val="single" w:sz="8" w:color="53C072"/>
            </w:tcBorders>
            <w:shd w:val="clear" w:color="auto" w:fill="CBECD5"/>
          </w:tcPr>
          <w:p>
            <w:pPr>
              <w:ind w:left="2020"/>
              <w:spacing w:after="0"/>
              <w:rPr>
                <w:sz w:val="20"/>
                <w:szCs w:val="20"/>
                <w:color w:val="auto"/>
              </w:rPr>
            </w:pPr>
            <w:r>
              <w:rPr>
                <w:rFonts w:ascii="Arial" w:cs="Arial" w:eastAsia="Arial" w:hAnsi="Arial"/>
                <w:sz w:val="17"/>
                <w:szCs w:val="17"/>
                <w:color w:val="auto"/>
              </w:rPr>
              <w:t>​</w:t>
            </w:r>
          </w:p>
        </w:tc>
        <w:tc>
          <w:tcPr>
            <w:tcW w:w="100" w:type="dxa"/>
            <w:vAlign w:val="bottom"/>
            <w:shd w:val="clear" w:color="auto" w:fill="53C072"/>
          </w:tcPr>
          <w:p>
            <w:pPr>
              <w:ind w:left="60"/>
              <w:spacing w:after="0"/>
              <w:rPr>
                <w:sz w:val="20"/>
                <w:szCs w:val="20"/>
                <w:color w:val="auto"/>
              </w:rPr>
            </w:pPr>
            <w:r>
              <w:rPr>
                <w:rFonts w:ascii="Arial" w:cs="Arial" w:eastAsia="Arial" w:hAnsi="Arial"/>
                <w:sz w:val="17"/>
                <w:szCs w:val="17"/>
                <w:color w:val="auto"/>
              </w:rPr>
              <w:t>​</w:t>
            </w:r>
          </w:p>
        </w:tc>
        <w:tc>
          <w:tcPr>
            <w:tcW w:w="6480" w:type="dxa"/>
            <w:vAlign w:val="bottom"/>
            <w:gridSpan w:val="2"/>
            <w:shd w:val="clear" w:color="auto" w:fill="53C072"/>
          </w:tcPr>
          <w:p>
            <w:pPr>
              <w:spacing w:after="0"/>
              <w:rPr>
                <w:sz w:val="20"/>
                <w:szCs w:val="20"/>
                <w:color w:val="auto"/>
              </w:rPr>
            </w:pPr>
            <w:r>
              <w:rPr>
                <w:rFonts w:ascii="Arial" w:cs="Arial" w:eastAsia="Arial" w:hAnsi="Arial"/>
                <w:sz w:val="18"/>
                <w:szCs w:val="18"/>
                <w:b w:val="1"/>
                <w:bCs w:val="1"/>
                <w:color w:val="FEFEFE"/>
              </w:rPr>
              <w:t>KENNETH A. JACOBSON</w:t>
            </w:r>
            <w:r>
              <w:rPr>
                <w:rFonts w:ascii="Arial" w:cs="Arial" w:eastAsia="Arial" w:hAnsi="Arial"/>
                <w:sz w:val="17"/>
                <w:szCs w:val="17"/>
                <w:color w:val="FEFEFE"/>
              </w:rPr>
              <w:t>​</w:t>
            </w:r>
          </w:p>
        </w:tc>
        <w:tc>
          <w:tcPr>
            <w:tcW w:w="80" w:type="dxa"/>
            <w:vAlign w:val="bottom"/>
            <w:shd w:val="clear" w:color="auto" w:fill="53C072"/>
          </w:tcPr>
          <w:p>
            <w:pPr>
              <w:ind w:left="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75"/>
        </w:trPr>
        <w:tc>
          <w:tcPr>
            <w:tcW w:w="2080" w:type="dxa"/>
            <w:vAlign w:val="bottom"/>
            <w:tcBorders>
              <w:left w:val="single" w:sz="8" w:color="53C072"/>
              <w:right w:val="single" w:sz="8" w:color="53C072"/>
            </w:tcBorders>
            <w:shd w:val="clear" w:color="auto" w:fill="CBECD5"/>
          </w:tcPr>
          <w:p>
            <w:pPr>
              <w:spacing w:after="0"/>
              <w:rPr>
                <w:sz w:val="23"/>
                <w:szCs w:val="23"/>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rPr>
              <w:t>Kenneth A. Jacobson has served as Chief Financial Officer since September 6, 2022.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2080" w:type="dxa"/>
            <w:vAlign w:val="bottom"/>
            <w:tcBorders>
              <w:left w:val="single" w:sz="8" w:color="53C072"/>
              <w:right w:val="single" w:sz="8" w:color="53C072"/>
            </w:tcBorders>
            <w:shd w:val="clear" w:color="auto" w:fill="CBECD5"/>
          </w:tcPr>
          <w:p>
            <w:pPr>
              <w:spacing w:after="0"/>
              <w:rPr>
                <w:sz w:val="17"/>
                <w:szCs w:val="17"/>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rPr>
              <w:t>Prior to that he had served as the Corporate Controller since 2013 and Principal</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80" w:type="dxa"/>
            <w:vAlign w:val="bottom"/>
            <w:tcBorders>
              <w:left w:val="single" w:sz="8" w:color="53C072"/>
              <w:right w:val="single" w:sz="8" w:color="53C072"/>
            </w:tcBorders>
            <w:shd w:val="clear" w:color="auto" w:fill="CBECD5"/>
          </w:tcPr>
          <w:p>
            <w:pPr>
              <w:spacing w:after="0"/>
              <w:rPr>
                <w:sz w:val="17"/>
                <w:szCs w:val="17"/>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rPr>
              <w:t>Accounting Officer since 2018. From August 2017 to January 2018, Mr. Jacobson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80" w:type="dxa"/>
            <w:vAlign w:val="bottom"/>
            <w:tcBorders>
              <w:left w:val="single" w:sz="8" w:color="53C072"/>
              <w:right w:val="single" w:sz="8" w:color="53C072"/>
            </w:tcBorders>
            <w:shd w:val="clear" w:color="auto" w:fill="CBECD5"/>
          </w:tcPr>
          <w:p>
            <w:pPr>
              <w:spacing w:after="0"/>
              <w:rPr>
                <w:sz w:val="17"/>
                <w:szCs w:val="17"/>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rPr>
              <w:t>served as the Interim Chief Financial Officer. Prior to joining the Company,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80" w:type="dxa"/>
            <w:vAlign w:val="bottom"/>
            <w:tcBorders>
              <w:left w:val="single" w:sz="8" w:color="53C072"/>
              <w:right w:val="single" w:sz="8" w:color="53C072"/>
            </w:tcBorders>
            <w:shd w:val="clear" w:color="auto" w:fill="CBECD5"/>
          </w:tcPr>
          <w:p>
            <w:pPr>
              <w:spacing w:after="0"/>
              <w:rPr>
                <w:sz w:val="17"/>
                <w:szCs w:val="17"/>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rPr>
              <w:t>Mr. Jacobson served as the Director of External Reporting and Accounting Research</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80" w:type="dxa"/>
            <w:vAlign w:val="bottom"/>
            <w:tcBorders>
              <w:left w:val="single" w:sz="8" w:color="53C072"/>
              <w:right w:val="single" w:sz="8" w:color="53C072"/>
            </w:tcBorders>
            <w:shd w:val="clear" w:color="auto" w:fill="CBECD5"/>
          </w:tcPr>
          <w:p>
            <w:pPr>
              <w:spacing w:after="0"/>
              <w:rPr>
                <w:sz w:val="17"/>
                <w:szCs w:val="17"/>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rPr>
              <w:t>for First Solar Inc. from 2011 to 2013, where he led external reporting and provided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80" w:type="dxa"/>
            <w:vAlign w:val="bottom"/>
            <w:tcBorders>
              <w:left w:val="single" w:sz="8" w:color="53C072"/>
              <w:right w:val="single" w:sz="8" w:color="53C072"/>
            </w:tcBorders>
            <w:shd w:val="clear" w:color="auto" w:fill="CBECD5"/>
          </w:tcPr>
          <w:p>
            <w:pPr>
              <w:spacing w:after="0"/>
              <w:rPr>
                <w:sz w:val="18"/>
                <w:szCs w:val="18"/>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rPr>
              <w:t>accounting support for acquisitions and sales of solar power projects. Mr. Jacobson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2080" w:type="dxa"/>
            <w:vAlign w:val="bottom"/>
            <w:tcBorders>
              <w:left w:val="single" w:sz="8" w:color="53C072"/>
              <w:right w:val="single" w:sz="8" w:color="53C072"/>
            </w:tcBorders>
            <w:shd w:val="clear" w:color="auto" w:fill="CBECD5"/>
          </w:tcPr>
          <w:p>
            <w:pPr>
              <w:spacing w:after="0"/>
              <w:rPr>
                <w:sz w:val="17"/>
                <w:szCs w:val="17"/>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rPr>
              <w:t>began his career in public accounting with PricewaterhouseCoopers (PwC) for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2080" w:type="dxa"/>
            <w:vAlign w:val="bottom"/>
            <w:tcBorders>
              <w:left w:val="single" w:sz="8" w:color="53C072"/>
              <w:right w:val="single" w:sz="8" w:color="53C072"/>
            </w:tcBorders>
            <w:shd w:val="clear" w:color="auto" w:fill="CBECD5"/>
          </w:tcPr>
          <w:p>
            <w:pPr>
              <w:spacing w:after="0"/>
              <w:rPr>
                <w:sz w:val="19"/>
                <w:szCs w:val="19"/>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rPr>
              <w:t>ten years, where he worked with a variety of clients across various industries.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42"/>
        </w:trPr>
        <w:tc>
          <w:tcPr>
            <w:tcW w:w="2080" w:type="dxa"/>
            <w:vAlign w:val="bottom"/>
            <w:tcBorders>
              <w:left w:val="single" w:sz="8" w:color="53C072"/>
              <w:bottom w:val="single" w:sz="8" w:color="53C072"/>
              <w:right w:val="single" w:sz="8" w:color="53C072"/>
            </w:tcBorders>
            <w:shd w:val="clear" w:color="auto" w:fill="CBECD5"/>
          </w:tcPr>
          <w:p>
            <w:pPr>
              <w:spacing w:after="0"/>
              <w:rPr>
                <w:sz w:val="12"/>
                <w:szCs w:val="12"/>
                <w:color w:val="auto"/>
              </w:rPr>
            </w:pPr>
          </w:p>
        </w:tc>
        <w:tc>
          <w:tcPr>
            <w:tcW w:w="100" w:type="dxa"/>
            <w:vAlign w:val="bottom"/>
            <w:tcBorders>
              <w:bottom w:val="single" w:sz="8" w:color="53C072"/>
            </w:tcBorders>
          </w:tcPr>
          <w:p>
            <w:pPr>
              <w:spacing w:after="0"/>
              <w:rPr>
                <w:sz w:val="12"/>
                <w:szCs w:val="12"/>
                <w:color w:val="auto"/>
              </w:rPr>
            </w:pPr>
          </w:p>
        </w:tc>
        <w:tc>
          <w:tcPr>
            <w:tcW w:w="6480" w:type="dxa"/>
            <w:vAlign w:val="bottom"/>
            <w:tcBorders>
              <w:bottom w:val="single" w:sz="8" w:color="53C072"/>
            </w:tcBorders>
            <w:gridSpan w:val="2"/>
          </w:tcPr>
          <w:p>
            <w:pPr>
              <w:spacing w:after="0"/>
              <w:rPr>
                <w:sz w:val="12"/>
                <w:szCs w:val="12"/>
                <w:color w:val="auto"/>
              </w:rPr>
            </w:pPr>
          </w:p>
        </w:tc>
        <w:tc>
          <w:tcPr>
            <w:tcW w:w="80" w:type="dxa"/>
            <w:vAlign w:val="bottom"/>
            <w:tcBorders>
              <w:bottom w:val="single" w:sz="8" w:color="53C072"/>
            </w:tcBorders>
          </w:tcPr>
          <w:p>
            <w:pPr>
              <w:spacing w:after="0"/>
              <w:rPr>
                <w:sz w:val="12"/>
                <w:szCs w:val="12"/>
                <w:color w:val="auto"/>
              </w:rPr>
            </w:pPr>
          </w:p>
        </w:tc>
        <w:tc>
          <w:tcPr>
            <w:tcW w:w="20" w:type="dxa"/>
            <w:vAlign w:val="bottom"/>
            <w:tcBorders>
              <w:bottom w:val="single" w:sz="8" w:color="53C072"/>
            </w:tcBorders>
          </w:tcPr>
          <w:p>
            <w:pPr>
              <w:spacing w:after="0"/>
              <w:rPr>
                <w:sz w:val="12"/>
                <w:szCs w:val="12"/>
                <w:color w:val="auto"/>
              </w:rPr>
            </w:pPr>
          </w:p>
        </w:tc>
      </w:tr>
      <w:tr>
        <w:trPr>
          <w:trHeight w:val="223"/>
        </w:trPr>
        <w:tc>
          <w:tcPr>
            <w:tcW w:w="2080" w:type="dxa"/>
            <w:vAlign w:val="bottom"/>
            <w:tcBorders>
              <w:bottom w:val="single" w:sz="8" w:color="53C072"/>
            </w:tcBorders>
          </w:tcPr>
          <w:p>
            <w:pPr>
              <w:spacing w:after="0"/>
              <w:rPr>
                <w:sz w:val="19"/>
                <w:szCs w:val="19"/>
                <w:color w:val="auto"/>
              </w:rPr>
            </w:pPr>
          </w:p>
        </w:tc>
        <w:tc>
          <w:tcPr>
            <w:tcW w:w="6580" w:type="dxa"/>
            <w:vAlign w:val="bottom"/>
            <w:tcBorders>
              <w:bottom w:val="single" w:sz="8" w:color="53C072"/>
            </w:tcBorders>
            <w:gridSpan w:val="3"/>
          </w:tcPr>
          <w:p>
            <w:pPr>
              <w:spacing w:after="0"/>
              <w:rPr>
                <w:sz w:val="19"/>
                <w:szCs w:val="19"/>
                <w:color w:val="auto"/>
              </w:rPr>
            </w:pPr>
          </w:p>
        </w:tc>
        <w:tc>
          <w:tcPr>
            <w:tcW w:w="80" w:type="dxa"/>
            <w:vAlign w:val="bottom"/>
            <w:tcBorders>
              <w:bottom w:val="single" w:sz="8" w:color="53C072"/>
            </w:tcBorders>
          </w:tcPr>
          <w:p>
            <w:pPr>
              <w:spacing w:after="0"/>
              <w:rPr>
                <w:sz w:val="19"/>
                <w:szCs w:val="19"/>
                <w:color w:val="auto"/>
              </w:rPr>
            </w:pPr>
          </w:p>
        </w:tc>
        <w:tc>
          <w:tcPr>
            <w:tcW w:w="20" w:type="dxa"/>
            <w:vAlign w:val="bottom"/>
            <w:tcBorders>
              <w:bottom w:val="single" w:sz="8" w:color="53C072"/>
            </w:tcBorders>
          </w:tcPr>
          <w:p>
            <w:pPr>
              <w:spacing w:after="0"/>
              <w:rPr>
                <w:sz w:val="19"/>
                <w:szCs w:val="19"/>
                <w:color w:val="auto"/>
              </w:rPr>
            </w:pPr>
          </w:p>
        </w:tc>
      </w:tr>
      <w:tr>
        <w:trPr>
          <w:trHeight w:val="344"/>
        </w:trPr>
        <w:tc>
          <w:tcPr>
            <w:tcW w:w="2080" w:type="dxa"/>
            <w:vAlign w:val="bottom"/>
            <w:tcBorders>
              <w:left w:val="single" w:sz="8" w:color="53C072"/>
              <w:bottom w:val="single" w:sz="8" w:color="CBECD5"/>
              <w:right w:val="single" w:sz="8" w:color="53C072"/>
            </w:tcBorders>
            <w:shd w:val="clear" w:color="auto" w:fill="CBECD5"/>
          </w:tcPr>
          <w:p>
            <w:pPr>
              <w:ind w:left="20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53C072"/>
            </w:tcBorders>
            <w:shd w:val="clear" w:color="auto" w:fill="53C072"/>
          </w:tcPr>
          <w:p>
            <w:pPr>
              <w:ind w:left="60"/>
              <w:spacing w:after="0"/>
              <w:rPr>
                <w:sz w:val="20"/>
                <w:szCs w:val="20"/>
                <w:color w:val="auto"/>
              </w:rPr>
            </w:pPr>
            <w:r>
              <w:rPr>
                <w:rFonts w:ascii="Arial" w:cs="Arial" w:eastAsia="Arial" w:hAnsi="Arial"/>
                <w:sz w:val="17"/>
                <w:szCs w:val="17"/>
                <w:color w:val="auto"/>
              </w:rPr>
              <w:t>​</w:t>
            </w:r>
          </w:p>
        </w:tc>
        <w:tc>
          <w:tcPr>
            <w:tcW w:w="6480" w:type="dxa"/>
            <w:vAlign w:val="bottom"/>
            <w:tcBorders>
              <w:bottom w:val="single" w:sz="8" w:color="53C072"/>
            </w:tcBorders>
            <w:gridSpan w:val="2"/>
            <w:shd w:val="clear" w:color="auto" w:fill="53C072"/>
          </w:tcPr>
          <w:p>
            <w:pPr>
              <w:spacing w:after="0"/>
              <w:rPr>
                <w:sz w:val="20"/>
                <w:szCs w:val="20"/>
                <w:color w:val="auto"/>
              </w:rPr>
            </w:pPr>
            <w:r>
              <w:rPr>
                <w:rFonts w:ascii="Arial" w:cs="Arial" w:eastAsia="Arial" w:hAnsi="Arial"/>
                <w:sz w:val="18"/>
                <w:szCs w:val="18"/>
                <w:b w:val="1"/>
                <w:bCs w:val="1"/>
                <w:color w:val="FEFEFE"/>
              </w:rPr>
              <w:t>KEN E. ARNOLD</w:t>
            </w:r>
            <w:r>
              <w:rPr>
                <w:rFonts w:ascii="Arial" w:cs="Arial" w:eastAsia="Arial" w:hAnsi="Arial"/>
                <w:sz w:val="17"/>
                <w:szCs w:val="17"/>
                <w:color w:val="FEFEFE"/>
              </w:rPr>
              <w:t>​</w:t>
            </w:r>
          </w:p>
        </w:tc>
        <w:tc>
          <w:tcPr>
            <w:tcW w:w="80" w:type="dxa"/>
            <w:vAlign w:val="bottom"/>
            <w:tcBorders>
              <w:bottom w:val="single" w:sz="8" w:color="53C072"/>
            </w:tcBorders>
            <w:shd w:val="clear" w:color="auto" w:fill="53C072"/>
          </w:tcPr>
          <w:p>
            <w:pPr>
              <w:ind w:left="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r>
      <w:tr>
        <w:trPr>
          <w:trHeight w:val="275"/>
        </w:trPr>
        <w:tc>
          <w:tcPr>
            <w:tcW w:w="2080" w:type="dxa"/>
            <w:vAlign w:val="bottom"/>
            <w:tcBorders>
              <w:left w:val="single" w:sz="8" w:color="53C072"/>
              <w:right w:val="single" w:sz="8" w:color="53C072"/>
            </w:tcBorders>
            <w:shd w:val="clear" w:color="auto" w:fill="CBECD5"/>
          </w:tcPr>
          <w:p>
            <w:pPr>
              <w:spacing w:after="0"/>
              <w:rPr>
                <w:sz w:val="23"/>
                <w:szCs w:val="23"/>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rPr>
              <w:t>Ken E. Arnold has served as Senior Vice President and Chief People Officer since</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2080" w:type="dxa"/>
            <w:vAlign w:val="bottom"/>
            <w:tcBorders>
              <w:left w:val="single" w:sz="8" w:color="53C072"/>
              <w:right w:val="single" w:sz="8" w:color="53C072"/>
            </w:tcBorders>
            <w:shd w:val="clear" w:color="auto" w:fill="CBECD5"/>
          </w:tcPr>
          <w:p>
            <w:pPr>
              <w:spacing w:after="0"/>
              <w:rPr>
                <w:sz w:val="17"/>
                <w:szCs w:val="17"/>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rPr>
              <w:t>February 2019. He also oversees the company’s corporate marketing and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80" w:type="dxa"/>
            <w:vAlign w:val="bottom"/>
            <w:tcBorders>
              <w:left w:val="single" w:sz="8" w:color="53C072"/>
              <w:right w:val="single" w:sz="8" w:color="53C072"/>
            </w:tcBorders>
            <w:shd w:val="clear" w:color="auto" w:fill="CBECD5"/>
          </w:tcPr>
          <w:p>
            <w:pPr>
              <w:spacing w:after="0"/>
              <w:rPr>
                <w:sz w:val="17"/>
                <w:szCs w:val="17"/>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rPr>
              <w:t>communications function. He previously served in various human resource leadership</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80" w:type="dxa"/>
            <w:vAlign w:val="bottom"/>
            <w:tcBorders>
              <w:left w:val="single" w:sz="8" w:color="53C072"/>
              <w:right w:val="single" w:sz="8" w:color="53C072"/>
            </w:tcBorders>
            <w:shd w:val="clear" w:color="auto" w:fill="CBECD5"/>
          </w:tcPr>
          <w:p>
            <w:pPr>
              <w:spacing w:after="0"/>
              <w:rPr>
                <w:sz w:val="17"/>
                <w:szCs w:val="17"/>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rPr>
              <w:t>roles with the Company, including as Vice President, Human Resources from 2009 to</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80" w:type="dxa"/>
            <w:vAlign w:val="bottom"/>
            <w:tcBorders>
              <w:left w:val="single" w:sz="8" w:color="53C072"/>
              <w:right w:val="single" w:sz="8" w:color="53C072"/>
            </w:tcBorders>
            <w:shd w:val="clear" w:color="auto" w:fill="CBECD5"/>
          </w:tcPr>
          <w:p>
            <w:pPr>
              <w:spacing w:after="0"/>
              <w:rPr>
                <w:sz w:val="17"/>
                <w:szCs w:val="17"/>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w w:val="99"/>
              </w:rPr>
              <w:t>February 2019 and Director, Human Resources — Talent Acquisition and HR Services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2080" w:type="dxa"/>
            <w:vAlign w:val="bottom"/>
            <w:tcBorders>
              <w:left w:val="single" w:sz="8" w:color="53C072"/>
              <w:right w:val="single" w:sz="8" w:color="53C072"/>
            </w:tcBorders>
            <w:shd w:val="clear" w:color="auto" w:fill="CBECD5"/>
          </w:tcPr>
          <w:p>
            <w:pPr>
              <w:spacing w:after="0"/>
              <w:rPr>
                <w:sz w:val="19"/>
                <w:szCs w:val="19"/>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rPr>
              <w:t>from 2007 to 2009.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42"/>
        </w:trPr>
        <w:tc>
          <w:tcPr>
            <w:tcW w:w="2080" w:type="dxa"/>
            <w:vAlign w:val="bottom"/>
            <w:tcBorders>
              <w:left w:val="single" w:sz="8" w:color="53C072"/>
              <w:bottom w:val="single" w:sz="8" w:color="53C072"/>
              <w:right w:val="single" w:sz="8" w:color="53C072"/>
            </w:tcBorders>
            <w:shd w:val="clear" w:color="auto" w:fill="CBECD5"/>
          </w:tcPr>
          <w:p>
            <w:pPr>
              <w:spacing w:after="0"/>
              <w:rPr>
                <w:sz w:val="12"/>
                <w:szCs w:val="12"/>
                <w:color w:val="auto"/>
              </w:rPr>
            </w:pPr>
          </w:p>
        </w:tc>
        <w:tc>
          <w:tcPr>
            <w:tcW w:w="6580" w:type="dxa"/>
            <w:vAlign w:val="bottom"/>
            <w:tcBorders>
              <w:bottom w:val="single" w:sz="8" w:color="53C072"/>
            </w:tcBorders>
            <w:gridSpan w:val="3"/>
          </w:tcPr>
          <w:p>
            <w:pPr>
              <w:spacing w:after="0"/>
              <w:rPr>
                <w:sz w:val="12"/>
                <w:szCs w:val="12"/>
                <w:color w:val="auto"/>
              </w:rPr>
            </w:pPr>
          </w:p>
        </w:tc>
        <w:tc>
          <w:tcPr>
            <w:tcW w:w="100" w:type="dxa"/>
            <w:vAlign w:val="bottom"/>
            <w:tcBorders>
              <w:bottom w:val="single" w:sz="8" w:color="53C072"/>
            </w:tcBorders>
            <w:gridSpan w:val="2"/>
          </w:tcPr>
          <w:p>
            <w:pPr>
              <w:spacing w:after="0"/>
              <w:rPr>
                <w:sz w:val="12"/>
                <w:szCs w:val="12"/>
                <w:color w:val="auto"/>
              </w:rPr>
            </w:pPr>
          </w:p>
        </w:tc>
      </w:tr>
      <w:tr>
        <w:trPr>
          <w:trHeight w:val="223"/>
        </w:trPr>
        <w:tc>
          <w:tcPr>
            <w:tcW w:w="2080" w:type="dxa"/>
            <w:vAlign w:val="bottom"/>
            <w:tcBorders>
              <w:bottom w:val="single" w:sz="8" w:color="53C072"/>
            </w:tcBorders>
          </w:tcPr>
          <w:p>
            <w:pPr>
              <w:spacing w:after="0"/>
              <w:rPr>
                <w:sz w:val="19"/>
                <w:szCs w:val="19"/>
                <w:color w:val="auto"/>
              </w:rPr>
            </w:pPr>
          </w:p>
        </w:tc>
        <w:tc>
          <w:tcPr>
            <w:tcW w:w="6580" w:type="dxa"/>
            <w:vAlign w:val="bottom"/>
            <w:tcBorders>
              <w:bottom w:val="single" w:sz="8" w:color="53C072"/>
            </w:tcBorders>
            <w:gridSpan w:val="3"/>
          </w:tcPr>
          <w:p>
            <w:pPr>
              <w:spacing w:after="0"/>
              <w:rPr>
                <w:sz w:val="19"/>
                <w:szCs w:val="19"/>
                <w:color w:val="auto"/>
              </w:rPr>
            </w:pPr>
          </w:p>
        </w:tc>
        <w:tc>
          <w:tcPr>
            <w:tcW w:w="80" w:type="dxa"/>
            <w:vAlign w:val="bottom"/>
            <w:tcBorders>
              <w:bottom w:val="single" w:sz="8" w:color="53C072"/>
            </w:tcBorders>
          </w:tcPr>
          <w:p>
            <w:pPr>
              <w:spacing w:after="0"/>
              <w:rPr>
                <w:sz w:val="19"/>
                <w:szCs w:val="19"/>
                <w:color w:val="auto"/>
              </w:rPr>
            </w:pPr>
          </w:p>
        </w:tc>
        <w:tc>
          <w:tcPr>
            <w:tcW w:w="20" w:type="dxa"/>
            <w:vAlign w:val="bottom"/>
            <w:tcBorders>
              <w:bottom w:val="single" w:sz="8" w:color="53C072"/>
            </w:tcBorders>
          </w:tcPr>
          <w:p>
            <w:pPr>
              <w:spacing w:after="0"/>
              <w:rPr>
                <w:sz w:val="19"/>
                <w:szCs w:val="19"/>
                <w:color w:val="auto"/>
              </w:rPr>
            </w:pPr>
          </w:p>
        </w:tc>
      </w:tr>
      <w:tr>
        <w:trPr>
          <w:trHeight w:val="304"/>
        </w:trPr>
        <w:tc>
          <w:tcPr>
            <w:tcW w:w="2080" w:type="dxa"/>
            <w:vAlign w:val="bottom"/>
            <w:tcBorders>
              <w:left w:val="single" w:sz="8" w:color="53C072"/>
              <w:bottom w:val="single" w:sz="8" w:color="CBECD5"/>
              <w:right w:val="single" w:sz="8" w:color="53C072"/>
            </w:tcBorders>
            <w:shd w:val="clear" w:color="auto" w:fill="CBECD5"/>
          </w:tcPr>
          <w:p>
            <w:pPr>
              <w:ind w:left="20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53C072"/>
            </w:tcBorders>
            <w:shd w:val="clear" w:color="auto" w:fill="53C072"/>
          </w:tcPr>
          <w:p>
            <w:pPr>
              <w:ind w:left="60"/>
              <w:spacing w:after="0"/>
              <w:rPr>
                <w:sz w:val="20"/>
                <w:szCs w:val="20"/>
                <w:color w:val="auto"/>
              </w:rPr>
            </w:pPr>
            <w:r>
              <w:rPr>
                <w:rFonts w:ascii="Arial" w:cs="Arial" w:eastAsia="Arial" w:hAnsi="Arial"/>
                <w:sz w:val="17"/>
                <w:szCs w:val="17"/>
                <w:color w:val="auto"/>
              </w:rPr>
              <w:t>​</w:t>
            </w:r>
          </w:p>
        </w:tc>
        <w:tc>
          <w:tcPr>
            <w:tcW w:w="6480" w:type="dxa"/>
            <w:vAlign w:val="bottom"/>
            <w:tcBorders>
              <w:bottom w:val="single" w:sz="8" w:color="53C072"/>
            </w:tcBorders>
            <w:gridSpan w:val="2"/>
            <w:shd w:val="clear" w:color="auto" w:fill="53C072"/>
          </w:tcPr>
          <w:p>
            <w:pPr>
              <w:spacing w:after="0"/>
              <w:rPr>
                <w:sz w:val="20"/>
                <w:szCs w:val="20"/>
                <w:color w:val="auto"/>
              </w:rPr>
            </w:pPr>
            <w:r>
              <w:rPr>
                <w:rFonts w:ascii="Arial" w:cs="Arial" w:eastAsia="Arial" w:hAnsi="Arial"/>
                <w:sz w:val="18"/>
                <w:szCs w:val="18"/>
                <w:b w:val="1"/>
                <w:bCs w:val="1"/>
                <w:color w:val="FEFEFE"/>
              </w:rPr>
              <w:t>MICHAEL R. MCCOY</w:t>
            </w:r>
          </w:p>
        </w:tc>
        <w:tc>
          <w:tcPr>
            <w:tcW w:w="80" w:type="dxa"/>
            <w:vAlign w:val="bottom"/>
            <w:tcBorders>
              <w:bottom w:val="single" w:sz="8" w:color="53C072"/>
            </w:tcBorders>
            <w:shd w:val="clear" w:color="auto" w:fill="53C072"/>
          </w:tcPr>
          <w:p>
            <w:pPr>
              <w:ind w:left="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r>
      <w:tr>
        <w:trPr>
          <w:trHeight w:val="275"/>
        </w:trPr>
        <w:tc>
          <w:tcPr>
            <w:tcW w:w="2080" w:type="dxa"/>
            <w:vAlign w:val="bottom"/>
            <w:tcBorders>
              <w:left w:val="single" w:sz="8" w:color="53C072"/>
              <w:right w:val="single" w:sz="8" w:color="53C072"/>
            </w:tcBorders>
            <w:shd w:val="clear" w:color="auto" w:fill="CBECD5"/>
          </w:tcPr>
          <w:p>
            <w:pPr>
              <w:spacing w:after="0"/>
              <w:rPr>
                <w:sz w:val="23"/>
                <w:szCs w:val="23"/>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rPr>
              <w:t>Michael R. McCoy has served as Senior Vice President, General Counsel and Chief</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2080" w:type="dxa"/>
            <w:vAlign w:val="bottom"/>
            <w:tcBorders>
              <w:left w:val="single" w:sz="8" w:color="53C072"/>
              <w:right w:val="single" w:sz="8" w:color="53C072"/>
            </w:tcBorders>
            <w:shd w:val="clear" w:color="auto" w:fill="CBECD5"/>
          </w:tcPr>
          <w:p>
            <w:pPr>
              <w:spacing w:after="0"/>
              <w:rPr>
                <w:sz w:val="17"/>
                <w:szCs w:val="17"/>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rPr>
              <w:t>Legal Officer since April 2020. He joined the Company in 2010 and previously served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80" w:type="dxa"/>
            <w:vAlign w:val="bottom"/>
            <w:tcBorders>
              <w:left w:val="single" w:sz="8" w:color="53C072"/>
              <w:right w:val="single" w:sz="8" w:color="53C072"/>
            </w:tcBorders>
            <w:shd w:val="clear" w:color="auto" w:fill="CBECD5"/>
          </w:tcPr>
          <w:p>
            <w:pPr>
              <w:spacing w:after="0"/>
              <w:rPr>
                <w:sz w:val="17"/>
                <w:szCs w:val="17"/>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rPr>
              <w:t>as General Counsel, International from May 2019 to April 2020; Vice President,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80" w:type="dxa"/>
            <w:vAlign w:val="bottom"/>
            <w:tcBorders>
              <w:left w:val="single" w:sz="8" w:color="53C072"/>
              <w:right w:val="single" w:sz="8" w:color="53C072"/>
            </w:tcBorders>
            <w:shd w:val="clear" w:color="auto" w:fill="CBECD5"/>
          </w:tcPr>
          <w:p>
            <w:pPr>
              <w:spacing w:after="0"/>
              <w:rPr>
                <w:sz w:val="17"/>
                <w:szCs w:val="17"/>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w w:val="99"/>
              </w:rPr>
              <w:t>Assistant General Counsel, EMEA General Counsel from 2017 to 2019; and Secretary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80" w:type="dxa"/>
            <w:vAlign w:val="bottom"/>
            <w:tcBorders>
              <w:left w:val="single" w:sz="8" w:color="53C072"/>
              <w:right w:val="single" w:sz="8" w:color="53C072"/>
            </w:tcBorders>
            <w:shd w:val="clear" w:color="auto" w:fill="CBECD5"/>
          </w:tcPr>
          <w:p>
            <w:pPr>
              <w:spacing w:after="0"/>
              <w:rPr>
                <w:sz w:val="17"/>
                <w:szCs w:val="17"/>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rPr>
              <w:t>from 2013 to 2017. Prior to joining the Company, Mr. McCoy worked at two</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80" w:type="dxa"/>
            <w:vAlign w:val="bottom"/>
            <w:tcBorders>
              <w:left w:val="single" w:sz="8" w:color="53C072"/>
              <w:right w:val="single" w:sz="8" w:color="53C072"/>
            </w:tcBorders>
            <w:shd w:val="clear" w:color="auto" w:fill="CBECD5"/>
          </w:tcPr>
          <w:p>
            <w:pPr>
              <w:spacing w:after="0"/>
              <w:rPr>
                <w:sz w:val="17"/>
                <w:szCs w:val="17"/>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w w:val="99"/>
              </w:rPr>
              <w:t>international law firms and at the U.S. Securities and Exchange Commission’s Division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2080" w:type="dxa"/>
            <w:vAlign w:val="bottom"/>
            <w:tcBorders>
              <w:left w:val="single" w:sz="8" w:color="53C072"/>
              <w:right w:val="single" w:sz="8" w:color="53C072"/>
            </w:tcBorders>
            <w:shd w:val="clear" w:color="auto" w:fill="CBECD5"/>
          </w:tcPr>
          <w:p>
            <w:pPr>
              <w:spacing w:after="0"/>
              <w:rPr>
                <w:sz w:val="19"/>
                <w:szCs w:val="19"/>
                <w:color w:val="auto"/>
              </w:rPr>
            </w:pPr>
          </w:p>
        </w:tc>
        <w:tc>
          <w:tcPr>
            <w:tcW w:w="6580" w:type="dxa"/>
            <w:vAlign w:val="bottom"/>
            <w:gridSpan w:val="3"/>
          </w:tcPr>
          <w:p>
            <w:pPr>
              <w:ind w:left="100"/>
              <w:spacing w:after="0"/>
              <w:rPr>
                <w:sz w:val="20"/>
                <w:szCs w:val="20"/>
                <w:color w:val="auto"/>
              </w:rPr>
            </w:pPr>
            <w:r>
              <w:rPr>
                <w:rFonts w:ascii="Arial" w:cs="Arial" w:eastAsia="Arial" w:hAnsi="Arial"/>
                <w:sz w:val="17"/>
                <w:szCs w:val="17"/>
                <w:color w:val="auto"/>
              </w:rPr>
              <w:t>of Corporation Finance.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42"/>
        </w:trPr>
        <w:tc>
          <w:tcPr>
            <w:tcW w:w="2080" w:type="dxa"/>
            <w:vAlign w:val="bottom"/>
            <w:tcBorders>
              <w:left w:val="single" w:sz="8" w:color="53C072"/>
              <w:bottom w:val="single" w:sz="8" w:color="53C072"/>
              <w:right w:val="single" w:sz="8" w:color="53C072"/>
            </w:tcBorders>
            <w:shd w:val="clear" w:color="auto" w:fill="CBECD5"/>
          </w:tcPr>
          <w:p>
            <w:pPr>
              <w:spacing w:after="0"/>
              <w:rPr>
                <w:sz w:val="12"/>
                <w:szCs w:val="12"/>
                <w:color w:val="auto"/>
              </w:rPr>
            </w:pPr>
          </w:p>
        </w:tc>
        <w:tc>
          <w:tcPr>
            <w:tcW w:w="100" w:type="dxa"/>
            <w:vAlign w:val="bottom"/>
            <w:tcBorders>
              <w:bottom w:val="single" w:sz="8" w:color="53C072"/>
            </w:tcBorders>
          </w:tcPr>
          <w:p>
            <w:pPr>
              <w:spacing w:after="0"/>
              <w:rPr>
                <w:sz w:val="12"/>
                <w:szCs w:val="12"/>
                <w:color w:val="auto"/>
              </w:rPr>
            </w:pPr>
          </w:p>
        </w:tc>
        <w:tc>
          <w:tcPr>
            <w:tcW w:w="760" w:type="dxa"/>
            <w:vAlign w:val="bottom"/>
            <w:tcBorders>
              <w:bottom w:val="single" w:sz="8" w:color="53C072"/>
            </w:tcBorders>
          </w:tcPr>
          <w:p>
            <w:pPr>
              <w:spacing w:after="0"/>
              <w:rPr>
                <w:sz w:val="12"/>
                <w:szCs w:val="12"/>
                <w:color w:val="auto"/>
              </w:rPr>
            </w:pPr>
          </w:p>
        </w:tc>
        <w:tc>
          <w:tcPr>
            <w:tcW w:w="5720" w:type="dxa"/>
            <w:vAlign w:val="bottom"/>
            <w:tcBorders>
              <w:bottom w:val="single" w:sz="8" w:color="53C072"/>
            </w:tcBorders>
          </w:tcPr>
          <w:p>
            <w:pPr>
              <w:spacing w:after="0"/>
              <w:rPr>
                <w:sz w:val="12"/>
                <w:szCs w:val="12"/>
                <w:color w:val="auto"/>
              </w:rPr>
            </w:pPr>
          </w:p>
        </w:tc>
        <w:tc>
          <w:tcPr>
            <w:tcW w:w="80" w:type="dxa"/>
            <w:vAlign w:val="bottom"/>
            <w:tcBorders>
              <w:bottom w:val="single" w:sz="8" w:color="53C072"/>
            </w:tcBorders>
          </w:tcPr>
          <w:p>
            <w:pPr>
              <w:spacing w:after="0"/>
              <w:rPr>
                <w:sz w:val="12"/>
                <w:szCs w:val="12"/>
                <w:color w:val="auto"/>
              </w:rPr>
            </w:pPr>
          </w:p>
        </w:tc>
        <w:tc>
          <w:tcPr>
            <w:tcW w:w="20" w:type="dxa"/>
            <w:vAlign w:val="bottom"/>
            <w:tcBorders>
              <w:bottom w:val="single" w:sz="8" w:color="53C072"/>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6166485</wp:posOffset>
            </wp:positionH>
            <wp:positionV relativeFrom="paragraph">
              <wp:posOffset>-4234180</wp:posOffset>
            </wp:positionV>
            <wp:extent cx="17145" cy="42348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 cy="423481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-4070985</wp:posOffset>
            </wp:positionV>
            <wp:extent cx="1097280" cy="925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97280" cy="925830"/>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-2442210</wp:posOffset>
            </wp:positionV>
            <wp:extent cx="1097280" cy="925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97280" cy="925830"/>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-1122045</wp:posOffset>
            </wp:positionV>
            <wp:extent cx="1097280" cy="925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97280" cy="92583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96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780" w:type="dxa"/>
            <w:vAlign w:val="bottom"/>
            <w:vMerge w:val="restart"/>
          </w:tcPr>
          <w:p>
            <w:pPr>
              <w:ind w:left="2600"/>
              <w:spacing w:after="0"/>
              <w:rPr>
                <w:sz w:val="20"/>
                <w:szCs w:val="20"/>
                <w:color w:val="auto"/>
              </w:rPr>
            </w:pPr>
            <w:r>
              <w:rPr>
                <w:rFonts w:ascii="Arial" w:cs="Arial" w:eastAsia="Arial" w:hAnsi="Arial"/>
                <w:sz w:val="14"/>
                <w:szCs w:val="14"/>
                <w:color w:val="auto"/>
              </w:rPr>
              <w:t>Executive Officers of the Company</w:t>
            </w:r>
          </w:p>
        </w:tc>
        <w:tc>
          <w:tcPr>
            <w:tcW w:w="0" w:type="dxa"/>
            <w:vAlign w:val="bottom"/>
          </w:tcPr>
          <w:p>
            <w:pPr>
              <w:spacing w:after="0"/>
              <w:rPr>
                <w:sz w:val="1"/>
                <w:szCs w:val="1"/>
                <w:color w:val="auto"/>
              </w:rPr>
            </w:pPr>
          </w:p>
        </w:tc>
      </w:tr>
      <w:tr>
        <w:trPr>
          <w:trHeight w:val="89"/>
        </w:trPr>
        <w:tc>
          <w:tcPr>
            <w:tcW w:w="49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960" w:type="dxa"/>
            <w:vAlign w:val="bottom"/>
            <w:vMerge w:val="continue"/>
          </w:tcPr>
          <w:p>
            <w:pPr>
              <w:spacing w:after="0"/>
              <w:rPr>
                <w:sz w:val="11"/>
                <w:szCs w:val="11"/>
                <w:color w:val="auto"/>
              </w:rPr>
            </w:pPr>
          </w:p>
        </w:tc>
        <w:tc>
          <w:tcPr>
            <w:tcW w:w="4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309880</wp:posOffset>
            </wp:positionV>
            <wp:extent cx="5554980" cy="1551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54980" cy="155130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right"/>
        <w:ind w:right="159"/>
        <w:spacing w:after="0"/>
        <w:tabs>
          <w:tab w:leader="none" w:pos="40" w:val="left"/>
        </w:tabs>
        <w:rPr>
          <w:sz w:val="20"/>
          <w:szCs w:val="20"/>
          <w:color w:val="auto"/>
        </w:rPr>
      </w:pPr>
      <w:r>
        <w:rPr>
          <w:rFonts w:ascii="Arial" w:cs="Arial" w:eastAsia="Arial" w:hAnsi="Arial"/>
          <w:sz w:val="34"/>
          <w:szCs w:val="34"/>
          <w:color w:val="000000"/>
          <w:vertAlign w:val="superscript"/>
        </w:rPr>
        <w:t>​ ​</w:t>
      </w:r>
      <w:r>
        <w:rPr>
          <w:rFonts w:ascii="Arial" w:cs="Arial" w:eastAsia="Arial" w:hAnsi="Arial"/>
          <w:sz w:val="18"/>
          <w:szCs w:val="18"/>
          <w:b w:val="1"/>
          <w:bCs w:val="1"/>
          <w:color w:val="FEFEFE"/>
        </w:rPr>
        <w:t>LENG JIN (MAX) CHAN</w:t>
      </w:r>
      <w:r>
        <w:rPr>
          <w:sz w:val="20"/>
          <w:szCs w:val="20"/>
          <w:color w:val="auto"/>
        </w:rPr>
        <w:tab/>
      </w:r>
      <w:r>
        <w:rPr>
          <w:rFonts w:ascii="Arial" w:cs="Arial" w:eastAsia="Arial" w:hAnsi="Arial"/>
          <w:sz w:val="34"/>
          <w:szCs w:val="34"/>
          <w:color w:val="auto"/>
          <w:vertAlign w:val="superscript"/>
        </w:rPr>
        <w:t>​</w:t>
      </w:r>
    </w:p>
    <w:p>
      <w:pPr>
        <w:spacing w:after="0" w:line="30" w:lineRule="exact"/>
        <w:rPr>
          <w:sz w:val="20"/>
          <w:szCs w:val="20"/>
          <w:color w:val="auto"/>
        </w:rPr>
      </w:pPr>
    </w:p>
    <w:p>
      <w:pPr>
        <w:ind w:left="3160" w:right="239"/>
        <w:spacing w:after="0" w:line="254" w:lineRule="auto"/>
        <w:rPr>
          <w:sz w:val="20"/>
          <w:szCs w:val="20"/>
          <w:color w:val="auto"/>
        </w:rPr>
      </w:pPr>
      <w:r>
        <w:rPr>
          <w:rFonts w:ascii="Arial" w:cs="Arial" w:eastAsia="Arial" w:hAnsi="Arial"/>
          <w:sz w:val="17"/>
          <w:szCs w:val="17"/>
          <w:color w:val="auto"/>
        </w:rPr>
        <w:t>Max Chan has served as the Chief Information Officer since 2019 and as Senior Vice President since 2021. Since joining the Company in 2013, he has served in various roles including Vice President, Information Technology Global Supply Chain from 2016 to 2019 and Vice President of Information for Avnet Technology Solutions (a former business unit of the Company) in Asia from 2013 to 2016. Prior to joining the Company, Mr. Chan held several Information Technology leadership roles, including Chief Information Officer, Asia at VF Corporation (NYSE: VFC) from 2008 to 2010 and Vice President, IT Global Supply Chain, Building Efficiency at Johnson Controls International (NYSE: JCI) from 2001 to 2008 and 2010 to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236220</wp:posOffset>
            </wp:positionV>
            <wp:extent cx="5554980" cy="13798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54980" cy="1379855"/>
                    </a:xfrm>
                    <a:prstGeom prst="rect">
                      <a:avLst/>
                    </a:prstGeom>
                    <a:noFill/>
                  </pic:spPr>
                </pic:pic>
              </a:graphicData>
            </a:graphic>
          </wp:anchor>
        </w:drawing>
      </w:r>
    </w:p>
    <w:p>
      <w:pPr>
        <w:spacing w:after="0" w:line="357" w:lineRule="exact"/>
        <w:rPr>
          <w:sz w:val="20"/>
          <w:szCs w:val="20"/>
          <w:color w:val="auto"/>
        </w:rPr>
      </w:pPr>
    </w:p>
    <w:p>
      <w:pPr>
        <w:jc w:val="right"/>
        <w:ind w:right="159"/>
        <w:spacing w:after="0"/>
        <w:tabs>
          <w:tab w:leader="none" w:pos="40" w:val="left"/>
        </w:tabs>
        <w:rPr>
          <w:sz w:val="20"/>
          <w:szCs w:val="20"/>
          <w:color w:val="auto"/>
        </w:rPr>
      </w:pPr>
      <w:r>
        <w:rPr>
          <w:rFonts w:ascii="Arial" w:cs="Arial" w:eastAsia="Arial" w:hAnsi="Arial"/>
          <w:sz w:val="34"/>
          <w:szCs w:val="34"/>
          <w:color w:val="000000"/>
          <w:vertAlign w:val="superscript"/>
        </w:rPr>
        <w:t>​ ​</w:t>
      </w:r>
      <w:r>
        <w:rPr>
          <w:rFonts w:ascii="Arial" w:cs="Arial" w:eastAsia="Arial" w:hAnsi="Arial"/>
          <w:sz w:val="18"/>
          <w:szCs w:val="18"/>
          <w:b w:val="1"/>
          <w:bCs w:val="1"/>
          <w:color w:val="FEFEFE"/>
        </w:rPr>
        <w:t>DAVE YOUNGBLOOD</w:t>
      </w:r>
      <w:r>
        <w:rPr>
          <w:sz w:val="20"/>
          <w:szCs w:val="20"/>
          <w:color w:val="auto"/>
        </w:rPr>
        <w:tab/>
      </w:r>
      <w:r>
        <w:rPr>
          <w:rFonts w:ascii="Arial" w:cs="Arial" w:eastAsia="Arial" w:hAnsi="Arial"/>
          <w:sz w:val="34"/>
          <w:szCs w:val="34"/>
          <w:color w:val="auto"/>
          <w:vertAlign w:val="superscript"/>
        </w:rPr>
        <w:t>​</w:t>
      </w:r>
    </w:p>
    <w:p>
      <w:pPr>
        <w:spacing w:after="0" w:line="30" w:lineRule="exact"/>
        <w:rPr>
          <w:sz w:val="20"/>
          <w:szCs w:val="20"/>
          <w:color w:val="auto"/>
        </w:rPr>
      </w:pPr>
    </w:p>
    <w:p>
      <w:pPr>
        <w:ind w:left="3160" w:right="379"/>
        <w:spacing w:after="0" w:line="256" w:lineRule="auto"/>
        <w:rPr>
          <w:sz w:val="20"/>
          <w:szCs w:val="20"/>
          <w:color w:val="auto"/>
        </w:rPr>
      </w:pPr>
      <w:r>
        <w:rPr>
          <w:rFonts w:ascii="Arial" w:cs="Arial" w:eastAsia="Arial" w:hAnsi="Arial"/>
          <w:sz w:val="17"/>
          <w:szCs w:val="17"/>
          <w:color w:val="auto"/>
        </w:rPr>
        <w:t>Dave Youngblood has served as Senior Vice President and Chief Digital Officer since October 2024. He joined Avnet with more than 25 years of digital and other related experience in the electronics industry. Mr. Youngblood previously served as Head of Digital Customer Experience at Analog Devices and held prominent positions with Murata and Texas Instruments.</w:t>
      </w:r>
    </w:p>
    <w:p>
      <w:pPr>
        <w:spacing w:after="0" w:line="75"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 </w:t>
      </w:r>
    </w:p>
    <w:p>
      <w:pPr>
        <w:spacing w:after="0" w:line="48"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34     </w:t>
      </w:r>
      <w:r>
        <w:rPr>
          <w:sz w:val="1"/>
          <w:szCs w:val="1"/>
          <w:color w:val="auto"/>
        </w:rPr>
        <w:drawing>
          <wp:inline distT="0" distB="0" distL="0" distR="0">
            <wp:extent cx="1242695" cy="24003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685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1620" w:right="300"/>
        <w:spacing w:after="0" w:line="334" w:lineRule="auto"/>
        <w:rPr>
          <w:sz w:val="20"/>
          <w:szCs w:val="20"/>
          <w:color w:val="auto"/>
        </w:rPr>
      </w:pPr>
      <w:r>
        <w:rPr>
          <w:rFonts w:ascii="Arial" w:cs="Arial" w:eastAsia="Arial" w:hAnsi="Arial"/>
          <w:sz w:val="37"/>
          <w:szCs w:val="37"/>
          <w:b w:val="1"/>
          <w:bCs w:val="1"/>
          <w:color w:val="FEFEFE"/>
        </w:rPr>
        <w:t>SECURITY OWNERSHIP OF CERTAIN BENEFICIAL OWNERS AND MANAGEMENT</w:t>
      </w:r>
      <w:r>
        <w:rPr>
          <w:rFonts w:ascii="Times New Roman" w:cs="Times New Roman" w:eastAsia="Times New Roman" w:hAnsi="Times New Roman"/>
          <w:sz w:val="16"/>
          <w:szCs w:val="16"/>
          <w:color w:val="FEFEFE"/>
        </w:rPr>
        <w:t>​</w:t>
      </w:r>
    </w:p>
    <w:p>
      <w:pPr>
        <w:spacing w:after="0" w:line="167" w:lineRule="exact"/>
        <w:rPr>
          <w:sz w:val="20"/>
          <w:szCs w:val="20"/>
          <w:color w:val="auto"/>
        </w:rPr>
      </w:pPr>
    </w:p>
    <w:p>
      <w:pPr>
        <w:ind w:left="1000" w:right="199"/>
        <w:spacing w:after="0" w:line="261" w:lineRule="auto"/>
        <w:rPr>
          <w:sz w:val="20"/>
          <w:szCs w:val="20"/>
          <w:color w:val="auto"/>
        </w:rPr>
      </w:pPr>
      <w:r>
        <w:rPr>
          <w:rFonts w:ascii="Arial" w:cs="Arial" w:eastAsia="Arial" w:hAnsi="Arial"/>
          <w:sz w:val="18"/>
          <w:szCs w:val="18"/>
          <w:color w:val="auto"/>
        </w:rPr>
        <w:t>This table describes the beneficial ownership of the Company’s Common Stock for persons that, to the Company’s knowledge, beneficially own more than 5% of the Company’s Common Stock (5% Holders), as well as Directors, Director nominees, and Named Executive Officers (NEOs).</w:t>
      </w:r>
    </w:p>
    <w:p>
      <w:pPr>
        <w:spacing w:after="0" w:line="94" w:lineRule="exact"/>
        <w:rPr>
          <w:sz w:val="20"/>
          <w:szCs w:val="20"/>
          <w:color w:val="auto"/>
        </w:rPr>
      </w:pPr>
    </w:p>
    <w:p>
      <w:pPr>
        <w:ind w:left="1000" w:right="159"/>
        <w:spacing w:after="0" w:line="301" w:lineRule="auto"/>
        <w:rPr>
          <w:sz w:val="20"/>
          <w:szCs w:val="20"/>
          <w:color w:val="auto"/>
        </w:rPr>
      </w:pPr>
      <w:r>
        <w:rPr>
          <w:rFonts w:ascii="Arial" w:cs="Arial" w:eastAsia="Arial" w:hAnsi="Arial"/>
          <w:sz w:val="17"/>
          <w:szCs w:val="17"/>
          <w:color w:val="auto"/>
        </w:rPr>
        <w:t>The information for each 5% Holder is taken from its most recent Schedule 13D or 13G filed with the SEC prior to September 2, 2025. The information for Directors, Director Nominees, and NEOs is as of September 2, 2025.</w:t>
      </w:r>
    </w:p>
    <w:p>
      <w:pPr>
        <w:spacing w:after="0" w:line="6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There were 83,243,137 shares of Common Stock outstanding (net of treasury shares) as of September 2, 2025.</w:t>
      </w:r>
    </w:p>
    <w:p>
      <w:pPr>
        <w:spacing w:after="0" w:line="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Common Stock includes vested and delivered shares, as well as shares earned but not yet vested or delivered.</w:t>
      </w:r>
    </w:p>
    <w:p>
      <w:pPr>
        <w:spacing w:after="0" w:line="13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Except where specifically noted, all shares listed are directly held with sole voting and dispositive power.</w:t>
      </w:r>
    </w:p>
    <w:p>
      <w:pPr>
        <w:spacing w:after="0" w:line="176" w:lineRule="exact"/>
        <w:rPr>
          <w:sz w:val="20"/>
          <w:szCs w:val="20"/>
          <w:color w:val="auto"/>
        </w:rPr>
      </w:pPr>
    </w:p>
    <w:tbl>
      <w:tblPr>
        <w:tblLayout w:type="fixed"/>
        <w:tblInd w:w="980" w:type="dxa"/>
        <w:tblCellMar>
          <w:top w:w="0" w:type="dxa"/>
          <w:left w:w="0" w:type="dxa"/>
          <w:bottom w:w="0" w:type="dxa"/>
          <w:right w:w="0" w:type="dxa"/>
        </w:tblCellMar>
      </w:tblPr>
      <w:tr>
        <w:trPr>
          <w:trHeight w:val="180"/>
        </w:trPr>
        <w:tc>
          <w:tcPr>
            <w:tcW w:w="4140" w:type="dxa"/>
            <w:vAlign w:val="bottom"/>
            <w:shd w:val="clear" w:color="auto" w:fill="53C072"/>
          </w:tcPr>
          <w:p>
            <w:pPr>
              <w:spacing w:after="0"/>
              <w:rPr>
                <w:sz w:val="15"/>
                <w:szCs w:val="15"/>
                <w:color w:val="auto"/>
              </w:rPr>
            </w:pPr>
          </w:p>
        </w:tc>
        <w:tc>
          <w:tcPr>
            <w:tcW w:w="1480" w:type="dxa"/>
            <w:vAlign w:val="bottom"/>
            <w:shd w:val="clear" w:color="auto" w:fill="53C072"/>
          </w:tcPr>
          <w:p>
            <w:pPr>
              <w:spacing w:after="0"/>
              <w:rPr>
                <w:sz w:val="15"/>
                <w:szCs w:val="15"/>
                <w:color w:val="auto"/>
              </w:rPr>
            </w:pPr>
          </w:p>
        </w:tc>
        <w:tc>
          <w:tcPr>
            <w:tcW w:w="1160" w:type="dxa"/>
            <w:vAlign w:val="bottom"/>
            <w:shd w:val="clear" w:color="auto" w:fill="53C072"/>
          </w:tcPr>
          <w:p>
            <w:pPr>
              <w:spacing w:after="0"/>
              <w:rPr>
                <w:sz w:val="15"/>
                <w:szCs w:val="15"/>
                <w:color w:val="auto"/>
              </w:rPr>
            </w:pPr>
          </w:p>
        </w:tc>
        <w:tc>
          <w:tcPr>
            <w:tcW w:w="9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Total</w:t>
            </w:r>
          </w:p>
        </w:tc>
        <w:tc>
          <w:tcPr>
            <w:tcW w:w="1020" w:type="dxa"/>
            <w:vAlign w:val="bottom"/>
            <w:shd w:val="clear" w:color="auto" w:fill="53C07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53C072"/>
          </w:tcPr>
          <w:p>
            <w:pPr>
              <w:spacing w:after="0"/>
              <w:rPr>
                <w:sz w:val="14"/>
                <w:szCs w:val="14"/>
                <w:color w:val="auto"/>
              </w:rPr>
            </w:pPr>
          </w:p>
        </w:tc>
        <w:tc>
          <w:tcPr>
            <w:tcW w:w="1480" w:type="dxa"/>
            <w:vAlign w:val="bottom"/>
            <w:shd w:val="clear" w:color="auto" w:fill="53C072"/>
          </w:tcPr>
          <w:p>
            <w:pPr>
              <w:spacing w:after="0"/>
              <w:rPr>
                <w:sz w:val="14"/>
                <w:szCs w:val="14"/>
                <w:color w:val="auto"/>
              </w:rPr>
            </w:pPr>
          </w:p>
        </w:tc>
        <w:tc>
          <w:tcPr>
            <w:tcW w:w="1160" w:type="dxa"/>
            <w:vAlign w:val="bottom"/>
            <w:shd w:val="clear" w:color="auto" w:fill="53C072"/>
          </w:tcPr>
          <w:p>
            <w:pPr>
              <w:jc w:val="right"/>
              <w:ind w:right="68"/>
              <w:spacing w:after="0"/>
              <w:rPr>
                <w:sz w:val="20"/>
                <w:szCs w:val="20"/>
                <w:color w:val="auto"/>
              </w:rPr>
            </w:pPr>
            <w:r>
              <w:rPr>
                <w:rFonts w:ascii="Arial" w:cs="Arial" w:eastAsia="Arial" w:hAnsi="Arial"/>
                <w:sz w:val="14"/>
                <w:szCs w:val="14"/>
                <w:b w:val="1"/>
                <w:bCs w:val="1"/>
                <w:color w:val="FEFEFE"/>
              </w:rPr>
              <w:t>Stock</w:t>
            </w:r>
          </w:p>
        </w:tc>
        <w:tc>
          <w:tcPr>
            <w:tcW w:w="9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Common</w:t>
            </w:r>
          </w:p>
        </w:tc>
        <w:tc>
          <w:tcPr>
            <w:tcW w:w="1020" w:type="dxa"/>
            <w:vAlign w:val="bottom"/>
            <w:shd w:val="clear" w:color="auto" w:fill="53C072"/>
          </w:tcPr>
          <w:p>
            <w:pPr>
              <w:jc w:val="right"/>
              <w:ind w:right="28"/>
              <w:spacing w:after="0"/>
              <w:rPr>
                <w:sz w:val="20"/>
                <w:szCs w:val="20"/>
                <w:color w:val="auto"/>
              </w:rPr>
            </w:pPr>
            <w:r>
              <w:rPr>
                <w:rFonts w:ascii="Arial" w:cs="Arial" w:eastAsia="Arial" w:hAnsi="Arial"/>
                <w:sz w:val="14"/>
                <w:szCs w:val="14"/>
                <w:b w:val="1"/>
                <w:bCs w:val="1"/>
                <w:color w:val="FEFEFE"/>
              </w:rPr>
              <w:t>Percent</w:t>
            </w:r>
          </w:p>
        </w:tc>
        <w:tc>
          <w:tcPr>
            <w:tcW w:w="0" w:type="dxa"/>
            <w:vAlign w:val="bottom"/>
          </w:tcPr>
          <w:p>
            <w:pPr>
              <w:spacing w:after="0"/>
              <w:rPr>
                <w:sz w:val="1"/>
                <w:szCs w:val="1"/>
                <w:color w:val="auto"/>
              </w:rPr>
            </w:pPr>
          </w:p>
        </w:tc>
      </w:tr>
      <w:tr>
        <w:trPr>
          <w:trHeight w:val="162"/>
        </w:trPr>
        <w:tc>
          <w:tcPr>
            <w:tcW w:w="4140" w:type="dxa"/>
            <w:vAlign w:val="bottom"/>
            <w:shd w:val="clear" w:color="auto" w:fill="53C072"/>
          </w:tcPr>
          <w:p>
            <w:pPr>
              <w:spacing w:after="0"/>
              <w:rPr>
                <w:sz w:val="14"/>
                <w:szCs w:val="14"/>
                <w:color w:val="auto"/>
              </w:rPr>
            </w:pPr>
          </w:p>
        </w:tc>
        <w:tc>
          <w:tcPr>
            <w:tcW w:w="1480" w:type="dxa"/>
            <w:vAlign w:val="bottom"/>
            <w:shd w:val="clear" w:color="auto" w:fill="53C072"/>
          </w:tcPr>
          <w:p>
            <w:pPr>
              <w:spacing w:after="0"/>
              <w:rPr>
                <w:sz w:val="14"/>
                <w:szCs w:val="14"/>
                <w:color w:val="auto"/>
              </w:rPr>
            </w:pPr>
          </w:p>
        </w:tc>
        <w:tc>
          <w:tcPr>
            <w:tcW w:w="1160" w:type="dxa"/>
            <w:vAlign w:val="bottom"/>
            <w:shd w:val="clear" w:color="auto" w:fill="53C072"/>
          </w:tcPr>
          <w:p>
            <w:pPr>
              <w:jc w:val="right"/>
              <w:ind w:right="68"/>
              <w:spacing w:after="0"/>
              <w:rPr>
                <w:sz w:val="20"/>
                <w:szCs w:val="20"/>
                <w:color w:val="auto"/>
              </w:rPr>
            </w:pPr>
            <w:r>
              <w:rPr>
                <w:rFonts w:ascii="Arial" w:cs="Arial" w:eastAsia="Arial" w:hAnsi="Arial"/>
                <w:sz w:val="14"/>
                <w:szCs w:val="14"/>
                <w:b w:val="1"/>
                <w:bCs w:val="1"/>
                <w:color w:val="FEFEFE"/>
              </w:rPr>
              <w:t>Options</w:t>
            </w:r>
          </w:p>
        </w:tc>
        <w:tc>
          <w:tcPr>
            <w:tcW w:w="9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Stock</w:t>
            </w:r>
          </w:p>
        </w:tc>
        <w:tc>
          <w:tcPr>
            <w:tcW w:w="1020" w:type="dxa"/>
            <w:vAlign w:val="bottom"/>
            <w:shd w:val="clear" w:color="auto" w:fill="53C072"/>
          </w:tcPr>
          <w:p>
            <w:pPr>
              <w:ind w:left="780"/>
              <w:spacing w:after="0"/>
              <w:rPr>
                <w:sz w:val="20"/>
                <w:szCs w:val="20"/>
                <w:color w:val="auto"/>
              </w:rPr>
            </w:pPr>
            <w:r>
              <w:rPr>
                <w:rFonts w:ascii="Arial" w:cs="Arial" w:eastAsia="Arial" w:hAnsi="Arial"/>
                <w:sz w:val="14"/>
                <w:szCs w:val="14"/>
                <w:b w:val="1"/>
                <w:bCs w:val="1"/>
                <w:color w:val="FEFEFE"/>
              </w:rPr>
              <w:t>of</w:t>
            </w:r>
          </w:p>
        </w:tc>
        <w:tc>
          <w:tcPr>
            <w:tcW w:w="0" w:type="dxa"/>
            <w:vAlign w:val="bottom"/>
          </w:tcPr>
          <w:p>
            <w:pPr>
              <w:spacing w:after="0"/>
              <w:rPr>
                <w:sz w:val="1"/>
                <w:szCs w:val="1"/>
                <w:color w:val="auto"/>
              </w:rPr>
            </w:pPr>
          </w:p>
        </w:tc>
      </w:tr>
      <w:tr>
        <w:trPr>
          <w:trHeight w:val="162"/>
        </w:trPr>
        <w:tc>
          <w:tcPr>
            <w:tcW w:w="4140" w:type="dxa"/>
            <w:vAlign w:val="bottom"/>
            <w:shd w:val="clear" w:color="auto" w:fill="53C072"/>
          </w:tcPr>
          <w:p>
            <w:pPr>
              <w:spacing w:after="0"/>
              <w:rPr>
                <w:sz w:val="14"/>
                <w:szCs w:val="14"/>
                <w:color w:val="auto"/>
              </w:rPr>
            </w:pPr>
          </w:p>
        </w:tc>
        <w:tc>
          <w:tcPr>
            <w:tcW w:w="1480" w:type="dxa"/>
            <w:vAlign w:val="bottom"/>
            <w:shd w:val="clear" w:color="auto" w:fill="53C072"/>
          </w:tcPr>
          <w:p>
            <w:pPr>
              <w:jc w:val="right"/>
              <w:ind w:right="168"/>
              <w:spacing w:after="0"/>
              <w:rPr>
                <w:sz w:val="20"/>
                <w:szCs w:val="20"/>
                <w:color w:val="auto"/>
              </w:rPr>
            </w:pPr>
            <w:r>
              <w:rPr>
                <w:rFonts w:ascii="Arial" w:cs="Arial" w:eastAsia="Arial" w:hAnsi="Arial"/>
                <w:sz w:val="14"/>
                <w:szCs w:val="14"/>
                <w:b w:val="1"/>
                <w:bCs w:val="1"/>
                <w:color w:val="FEFEFE"/>
              </w:rPr>
              <w:t>Common</w:t>
            </w:r>
          </w:p>
        </w:tc>
        <w:tc>
          <w:tcPr>
            <w:tcW w:w="1160" w:type="dxa"/>
            <w:vAlign w:val="bottom"/>
            <w:shd w:val="clear" w:color="auto" w:fill="53C072"/>
          </w:tcPr>
          <w:p>
            <w:pPr>
              <w:jc w:val="right"/>
              <w:ind w:right="68"/>
              <w:spacing w:after="0"/>
              <w:rPr>
                <w:sz w:val="20"/>
                <w:szCs w:val="20"/>
                <w:color w:val="auto"/>
              </w:rPr>
            </w:pPr>
            <w:r>
              <w:rPr>
                <w:rFonts w:ascii="Arial" w:cs="Arial" w:eastAsia="Arial" w:hAnsi="Arial"/>
                <w:sz w:val="14"/>
                <w:szCs w:val="14"/>
                <w:b w:val="1"/>
                <w:bCs w:val="1"/>
                <w:color w:val="FEFEFE"/>
              </w:rPr>
              <w:t>Exercisable</w:t>
            </w:r>
          </w:p>
        </w:tc>
        <w:tc>
          <w:tcPr>
            <w:tcW w:w="9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Beneficially</w:t>
            </w:r>
          </w:p>
        </w:tc>
        <w:tc>
          <w:tcPr>
            <w:tcW w:w="1020" w:type="dxa"/>
            <w:vAlign w:val="bottom"/>
            <w:shd w:val="clear" w:color="auto" w:fill="53C072"/>
          </w:tcPr>
          <w:p>
            <w:pPr>
              <w:jc w:val="right"/>
              <w:ind w:right="28"/>
              <w:spacing w:after="0"/>
              <w:rPr>
                <w:sz w:val="20"/>
                <w:szCs w:val="20"/>
                <w:color w:val="auto"/>
              </w:rPr>
            </w:pPr>
            <w:r>
              <w:rPr>
                <w:rFonts w:ascii="Arial" w:cs="Arial" w:eastAsia="Arial" w:hAnsi="Arial"/>
                <w:sz w:val="14"/>
                <w:szCs w:val="14"/>
                <w:b w:val="1"/>
                <w:bCs w:val="1"/>
                <w:color w:val="FEFEFE"/>
              </w:rPr>
              <w:t>Common</w:t>
            </w:r>
          </w:p>
        </w:tc>
        <w:tc>
          <w:tcPr>
            <w:tcW w:w="0" w:type="dxa"/>
            <w:vAlign w:val="bottom"/>
          </w:tcPr>
          <w:p>
            <w:pPr>
              <w:spacing w:after="0"/>
              <w:rPr>
                <w:sz w:val="1"/>
                <w:szCs w:val="1"/>
                <w:color w:val="auto"/>
              </w:rPr>
            </w:pPr>
          </w:p>
        </w:tc>
      </w:tr>
      <w:tr>
        <w:trPr>
          <w:trHeight w:val="171"/>
        </w:trPr>
        <w:tc>
          <w:tcPr>
            <w:tcW w:w="4140" w:type="dxa"/>
            <w:vAlign w:val="bottom"/>
            <w:shd w:val="clear" w:color="auto" w:fill="53C072"/>
          </w:tcPr>
          <w:p>
            <w:pPr>
              <w:ind w:left="60"/>
              <w:spacing w:after="0"/>
              <w:rPr>
                <w:sz w:val="20"/>
                <w:szCs w:val="20"/>
                <w:color w:val="auto"/>
              </w:rPr>
            </w:pPr>
            <w:r>
              <w:rPr>
                <w:rFonts w:ascii="Arial" w:cs="Arial" w:eastAsia="Arial" w:hAnsi="Arial"/>
                <w:sz w:val="14"/>
                <w:szCs w:val="14"/>
                <w:b w:val="1"/>
                <w:bCs w:val="1"/>
                <w:color w:val="FEFEFE"/>
              </w:rPr>
              <w:t>Name of Beneficial Owner</w:t>
            </w:r>
          </w:p>
        </w:tc>
        <w:tc>
          <w:tcPr>
            <w:tcW w:w="1480" w:type="dxa"/>
            <w:vAlign w:val="bottom"/>
            <w:shd w:val="clear" w:color="auto" w:fill="53C072"/>
          </w:tcPr>
          <w:p>
            <w:pPr>
              <w:jc w:val="right"/>
              <w:ind w:right="128"/>
              <w:spacing w:after="0"/>
              <w:rPr>
                <w:sz w:val="20"/>
                <w:szCs w:val="20"/>
                <w:color w:val="auto"/>
              </w:rPr>
            </w:pPr>
            <w:r>
              <w:rPr>
                <w:rFonts w:ascii="Arial" w:cs="Arial" w:eastAsia="Arial" w:hAnsi="Arial"/>
                <w:sz w:val="14"/>
                <w:szCs w:val="14"/>
                <w:b w:val="1"/>
                <w:bCs w:val="1"/>
                <w:color w:val="FEFEFE"/>
              </w:rPr>
              <w:t>Stock</w:t>
            </w:r>
          </w:p>
        </w:tc>
        <w:tc>
          <w:tcPr>
            <w:tcW w:w="1160" w:type="dxa"/>
            <w:vAlign w:val="bottom"/>
            <w:shd w:val="clear" w:color="auto" w:fill="53C072"/>
          </w:tcPr>
          <w:p>
            <w:pPr>
              <w:jc w:val="right"/>
              <w:ind w:right="28"/>
              <w:spacing w:after="0"/>
              <w:rPr>
                <w:sz w:val="20"/>
                <w:szCs w:val="20"/>
                <w:color w:val="auto"/>
              </w:rPr>
            </w:pPr>
            <w:r>
              <w:rPr>
                <w:rFonts w:ascii="Arial" w:cs="Arial" w:eastAsia="Arial" w:hAnsi="Arial"/>
                <w:sz w:val="14"/>
                <w:szCs w:val="14"/>
                <w:b w:val="1"/>
                <w:bCs w:val="1"/>
                <w:color w:val="FEFEFE"/>
              </w:rPr>
              <w:t>Within 60 Days</w:t>
            </w:r>
          </w:p>
        </w:tc>
        <w:tc>
          <w:tcPr>
            <w:tcW w:w="9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Owned</w:t>
            </w:r>
          </w:p>
        </w:tc>
        <w:tc>
          <w:tcPr>
            <w:tcW w:w="1020" w:type="dxa"/>
            <w:vAlign w:val="bottom"/>
            <w:shd w:val="clear" w:color="auto" w:fill="53C072"/>
          </w:tcPr>
          <w:p>
            <w:pPr>
              <w:ind w:left="560"/>
              <w:spacing w:after="0"/>
              <w:rPr>
                <w:sz w:val="20"/>
                <w:szCs w:val="20"/>
                <w:color w:val="auto"/>
              </w:rPr>
            </w:pPr>
            <w:r>
              <w:rPr>
                <w:rFonts w:ascii="Arial" w:cs="Arial" w:eastAsia="Arial" w:hAnsi="Arial"/>
                <w:sz w:val="14"/>
                <w:szCs w:val="14"/>
                <w:b w:val="1"/>
                <w:bCs w:val="1"/>
                <w:color w:val="FEFEFE"/>
              </w:rPr>
              <w:t>Stock</w:t>
            </w:r>
          </w:p>
        </w:tc>
        <w:tc>
          <w:tcPr>
            <w:tcW w:w="0" w:type="dxa"/>
            <w:vAlign w:val="bottom"/>
          </w:tcPr>
          <w:p>
            <w:pPr>
              <w:spacing w:after="0"/>
              <w:rPr>
                <w:sz w:val="1"/>
                <w:szCs w:val="1"/>
                <w:color w:val="auto"/>
              </w:rPr>
            </w:pPr>
          </w:p>
        </w:tc>
      </w:tr>
      <w:tr>
        <w:trPr>
          <w:trHeight w:val="203"/>
        </w:trPr>
        <w:tc>
          <w:tcPr>
            <w:tcW w:w="4140" w:type="dxa"/>
            <w:vAlign w:val="bottom"/>
          </w:tcPr>
          <w:p>
            <w:pPr>
              <w:ind w:left="60"/>
              <w:spacing w:after="0"/>
              <w:rPr>
                <w:sz w:val="20"/>
                <w:szCs w:val="20"/>
                <w:color w:val="auto"/>
              </w:rPr>
            </w:pPr>
            <w:r>
              <w:rPr>
                <w:rFonts w:ascii="Arial" w:cs="Arial" w:eastAsia="Arial" w:hAnsi="Arial"/>
                <w:sz w:val="14"/>
                <w:szCs w:val="14"/>
                <w:b w:val="1"/>
                <w:bCs w:val="1"/>
                <w:color w:val="auto"/>
              </w:rPr>
              <w:t>5% Holders</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1"/>
        </w:trPr>
        <w:tc>
          <w:tcPr>
            <w:tcW w:w="4140" w:type="dxa"/>
            <w:vAlign w:val="bottom"/>
            <w:shd w:val="clear" w:color="auto" w:fill="CBECD5"/>
          </w:tcPr>
          <w:p>
            <w:pPr>
              <w:ind w:left="60"/>
              <w:spacing w:after="0"/>
              <w:rPr>
                <w:sz w:val="20"/>
                <w:szCs w:val="20"/>
                <w:color w:val="auto"/>
              </w:rPr>
            </w:pPr>
            <w:r>
              <w:rPr>
                <w:rFonts w:ascii="Arial" w:cs="Arial" w:eastAsia="Arial" w:hAnsi="Arial"/>
                <w:sz w:val="14"/>
                <w:szCs w:val="14"/>
                <w:color w:val="auto"/>
              </w:rPr>
              <w:t>BlackRock, Inc.</w:t>
            </w:r>
            <w:r>
              <w:rPr>
                <w:rFonts w:ascii="Arial" w:cs="Arial" w:eastAsia="Arial" w:hAnsi="Arial"/>
                <w:sz w:val="17"/>
                <w:szCs w:val="17"/>
                <w:color w:val="auto"/>
                <w:vertAlign w:val="superscript"/>
              </w:rPr>
              <w:t>(1)</w:t>
            </w:r>
          </w:p>
        </w:tc>
        <w:tc>
          <w:tcPr>
            <w:tcW w:w="1480" w:type="dxa"/>
            <w:vAlign w:val="bottom"/>
            <w:shd w:val="clear" w:color="auto" w:fill="CBECD5"/>
          </w:tcPr>
          <w:p>
            <w:pPr>
              <w:jc w:val="right"/>
              <w:ind w:right="128"/>
              <w:spacing w:after="0"/>
              <w:rPr>
                <w:sz w:val="20"/>
                <w:szCs w:val="20"/>
                <w:color w:val="auto"/>
              </w:rPr>
            </w:pPr>
            <w:r>
              <w:rPr>
                <w:rFonts w:ascii="Arial" w:cs="Arial" w:eastAsia="Arial" w:hAnsi="Arial"/>
                <w:sz w:val="14"/>
                <w:szCs w:val="14"/>
                <w:color w:val="auto"/>
              </w:rPr>
              <w:t>8,259,622</w:t>
            </w:r>
          </w:p>
        </w:tc>
        <w:tc>
          <w:tcPr>
            <w:tcW w:w="1160" w:type="dxa"/>
            <w:vAlign w:val="bottom"/>
            <w:shd w:val="clear" w:color="auto" w:fill="CBECD5"/>
          </w:tcPr>
          <w:p>
            <w:pPr>
              <w:spacing w:after="0"/>
              <w:rPr>
                <w:sz w:val="22"/>
                <w:szCs w:val="22"/>
                <w:color w:val="auto"/>
              </w:rPr>
            </w:pP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8,259,622</w:t>
            </w:r>
          </w:p>
        </w:tc>
        <w:tc>
          <w:tcPr>
            <w:tcW w:w="1020" w:type="dxa"/>
            <w:vAlign w:val="bottom"/>
            <w:shd w:val="clear" w:color="auto" w:fill="CBECD5"/>
          </w:tcPr>
          <w:p>
            <w:pPr>
              <w:jc w:val="right"/>
              <w:ind w:right="48"/>
              <w:spacing w:after="0"/>
              <w:rPr>
                <w:sz w:val="20"/>
                <w:szCs w:val="20"/>
                <w:color w:val="auto"/>
              </w:rPr>
            </w:pPr>
            <w:r>
              <w:rPr>
                <w:rFonts w:ascii="Arial" w:cs="Arial" w:eastAsia="Arial" w:hAnsi="Arial"/>
                <w:sz w:val="14"/>
                <w:szCs w:val="14"/>
                <w:b w:val="1"/>
                <w:bCs w:val="1"/>
                <w:color w:val="auto"/>
              </w:rPr>
              <w:t>9.5%</w:t>
            </w:r>
          </w:p>
        </w:tc>
        <w:tc>
          <w:tcPr>
            <w:tcW w:w="0" w:type="dxa"/>
            <w:vAlign w:val="bottom"/>
          </w:tcPr>
          <w:p>
            <w:pPr>
              <w:spacing w:after="0"/>
              <w:rPr>
                <w:sz w:val="1"/>
                <w:szCs w:val="1"/>
                <w:color w:val="auto"/>
              </w:rPr>
            </w:pPr>
          </w:p>
        </w:tc>
      </w:tr>
      <w:tr>
        <w:trPr>
          <w:trHeight w:val="176"/>
        </w:trPr>
        <w:tc>
          <w:tcPr>
            <w:tcW w:w="4140" w:type="dxa"/>
            <w:vAlign w:val="bottom"/>
            <w:shd w:val="clear" w:color="auto" w:fill="CBECD5"/>
          </w:tcPr>
          <w:p>
            <w:pPr>
              <w:ind w:left="200"/>
              <w:spacing w:after="0"/>
              <w:rPr>
                <w:sz w:val="20"/>
                <w:szCs w:val="20"/>
                <w:color w:val="auto"/>
              </w:rPr>
            </w:pPr>
            <w:r>
              <w:rPr>
                <w:rFonts w:ascii="Arial" w:cs="Arial" w:eastAsia="Arial" w:hAnsi="Arial"/>
                <w:sz w:val="14"/>
                <w:szCs w:val="14"/>
                <w:color w:val="auto"/>
              </w:rPr>
              <w:t>50 Hudson Yards</w:t>
            </w:r>
          </w:p>
        </w:tc>
        <w:tc>
          <w:tcPr>
            <w:tcW w:w="1480" w:type="dxa"/>
            <w:vAlign w:val="bottom"/>
            <w:shd w:val="clear" w:color="auto" w:fill="CBECD5"/>
          </w:tcPr>
          <w:p>
            <w:pPr>
              <w:spacing w:after="0"/>
              <w:rPr>
                <w:sz w:val="15"/>
                <w:szCs w:val="15"/>
                <w:color w:val="auto"/>
              </w:rPr>
            </w:pPr>
          </w:p>
        </w:tc>
        <w:tc>
          <w:tcPr>
            <w:tcW w:w="1160" w:type="dxa"/>
            <w:vAlign w:val="bottom"/>
            <w:shd w:val="clear" w:color="auto" w:fill="CBECD5"/>
          </w:tcPr>
          <w:p>
            <w:pPr>
              <w:spacing w:after="0"/>
              <w:rPr>
                <w:sz w:val="15"/>
                <w:szCs w:val="15"/>
                <w:color w:val="auto"/>
              </w:rPr>
            </w:pPr>
          </w:p>
        </w:tc>
        <w:tc>
          <w:tcPr>
            <w:tcW w:w="960" w:type="dxa"/>
            <w:vAlign w:val="bottom"/>
            <w:shd w:val="clear" w:color="auto" w:fill="CBECD5"/>
          </w:tcPr>
          <w:p>
            <w:pPr>
              <w:spacing w:after="0"/>
              <w:rPr>
                <w:sz w:val="15"/>
                <w:szCs w:val="15"/>
                <w:color w:val="auto"/>
              </w:rPr>
            </w:pPr>
          </w:p>
        </w:tc>
        <w:tc>
          <w:tcPr>
            <w:tcW w:w="1020" w:type="dxa"/>
            <w:vAlign w:val="bottom"/>
            <w:shd w:val="clear" w:color="auto" w:fill="CBECD5"/>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40" w:type="dxa"/>
            <w:vAlign w:val="bottom"/>
            <w:shd w:val="clear" w:color="auto" w:fill="CBECD5"/>
          </w:tcPr>
          <w:p>
            <w:pPr>
              <w:ind w:left="200"/>
              <w:spacing w:after="0"/>
              <w:rPr>
                <w:sz w:val="20"/>
                <w:szCs w:val="20"/>
                <w:color w:val="auto"/>
              </w:rPr>
            </w:pPr>
            <w:r>
              <w:rPr>
                <w:rFonts w:ascii="Arial" w:cs="Arial" w:eastAsia="Arial" w:hAnsi="Arial"/>
                <w:sz w:val="14"/>
                <w:szCs w:val="14"/>
                <w:color w:val="auto"/>
              </w:rPr>
              <w:t>New York, NY 10001</w:t>
            </w:r>
          </w:p>
        </w:tc>
        <w:tc>
          <w:tcPr>
            <w:tcW w:w="1480" w:type="dxa"/>
            <w:vAlign w:val="bottom"/>
            <w:shd w:val="clear" w:color="auto" w:fill="CBECD5"/>
          </w:tcPr>
          <w:p>
            <w:pPr>
              <w:spacing w:after="0"/>
              <w:rPr>
                <w:sz w:val="14"/>
                <w:szCs w:val="14"/>
                <w:color w:val="auto"/>
              </w:rPr>
            </w:pPr>
          </w:p>
        </w:tc>
        <w:tc>
          <w:tcPr>
            <w:tcW w:w="1160" w:type="dxa"/>
            <w:vAlign w:val="bottom"/>
            <w:shd w:val="clear" w:color="auto" w:fill="CBECD5"/>
          </w:tcPr>
          <w:p>
            <w:pPr>
              <w:spacing w:after="0"/>
              <w:rPr>
                <w:sz w:val="14"/>
                <w:szCs w:val="14"/>
                <w:color w:val="auto"/>
              </w:rPr>
            </w:pPr>
          </w:p>
        </w:tc>
        <w:tc>
          <w:tcPr>
            <w:tcW w:w="960" w:type="dxa"/>
            <w:vAlign w:val="bottom"/>
            <w:shd w:val="clear" w:color="auto" w:fill="CBECD5"/>
          </w:tcPr>
          <w:p>
            <w:pPr>
              <w:spacing w:after="0"/>
              <w:rPr>
                <w:sz w:val="14"/>
                <w:szCs w:val="14"/>
                <w:color w:val="auto"/>
              </w:rPr>
            </w:pPr>
          </w:p>
        </w:tc>
        <w:tc>
          <w:tcPr>
            <w:tcW w:w="1020" w:type="dxa"/>
            <w:vAlign w:val="bottom"/>
            <w:shd w:val="clear" w:color="auto" w:fill="CBECD5"/>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4140" w:type="dxa"/>
            <w:vAlign w:val="bottom"/>
          </w:tcPr>
          <w:p>
            <w:pPr>
              <w:ind w:left="60"/>
              <w:spacing w:after="0"/>
              <w:rPr>
                <w:sz w:val="20"/>
                <w:szCs w:val="20"/>
                <w:color w:val="auto"/>
              </w:rPr>
            </w:pPr>
            <w:r>
              <w:rPr>
                <w:rFonts w:ascii="Arial" w:cs="Arial" w:eastAsia="Arial" w:hAnsi="Arial"/>
                <w:sz w:val="14"/>
                <w:szCs w:val="14"/>
                <w:color w:val="auto"/>
              </w:rPr>
              <w:t>Dimensional Fund Advisors LP</w:t>
            </w:r>
            <w:r>
              <w:rPr>
                <w:rFonts w:ascii="Arial" w:cs="Arial" w:eastAsia="Arial" w:hAnsi="Arial"/>
                <w:sz w:val="17"/>
                <w:szCs w:val="17"/>
                <w:color w:val="auto"/>
                <w:vertAlign w:val="superscript"/>
              </w:rPr>
              <w:t>(2)</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6,253,930</w:t>
            </w:r>
          </w:p>
        </w:tc>
        <w:tc>
          <w:tcPr>
            <w:tcW w:w="1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6,253,930</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6.9%</w:t>
            </w:r>
          </w:p>
        </w:tc>
        <w:tc>
          <w:tcPr>
            <w:tcW w:w="0" w:type="dxa"/>
            <w:vAlign w:val="bottom"/>
          </w:tcPr>
          <w:p>
            <w:pPr>
              <w:spacing w:after="0"/>
              <w:rPr>
                <w:sz w:val="1"/>
                <w:szCs w:val="1"/>
                <w:color w:val="auto"/>
              </w:rPr>
            </w:pPr>
          </w:p>
        </w:tc>
      </w:tr>
      <w:tr>
        <w:trPr>
          <w:trHeight w:val="175"/>
        </w:trPr>
        <w:tc>
          <w:tcPr>
            <w:tcW w:w="4140" w:type="dxa"/>
            <w:vAlign w:val="bottom"/>
          </w:tcPr>
          <w:p>
            <w:pPr>
              <w:ind w:left="200"/>
              <w:spacing w:after="0"/>
              <w:rPr>
                <w:sz w:val="20"/>
                <w:szCs w:val="20"/>
                <w:color w:val="auto"/>
              </w:rPr>
            </w:pPr>
            <w:r>
              <w:rPr>
                <w:rFonts w:ascii="Arial" w:cs="Arial" w:eastAsia="Arial" w:hAnsi="Arial"/>
                <w:sz w:val="14"/>
                <w:szCs w:val="14"/>
                <w:color w:val="auto"/>
              </w:rPr>
              <w:t>6300 Bee Cave Road, Bldg One</w:t>
            </w: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40" w:type="dxa"/>
            <w:vAlign w:val="bottom"/>
          </w:tcPr>
          <w:p>
            <w:pPr>
              <w:ind w:left="200"/>
              <w:spacing w:after="0"/>
              <w:rPr>
                <w:sz w:val="20"/>
                <w:szCs w:val="20"/>
                <w:color w:val="auto"/>
              </w:rPr>
            </w:pPr>
            <w:r>
              <w:rPr>
                <w:rFonts w:ascii="Arial" w:cs="Arial" w:eastAsia="Arial" w:hAnsi="Arial"/>
                <w:sz w:val="14"/>
                <w:szCs w:val="14"/>
                <w:color w:val="auto"/>
              </w:rPr>
              <w:t>Austin, TX 78746</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4140" w:type="dxa"/>
            <w:vAlign w:val="bottom"/>
            <w:shd w:val="clear" w:color="auto" w:fill="CBECD5"/>
          </w:tcPr>
          <w:p>
            <w:pPr>
              <w:ind w:left="60"/>
              <w:spacing w:after="0"/>
              <w:rPr>
                <w:sz w:val="20"/>
                <w:szCs w:val="20"/>
                <w:color w:val="auto"/>
              </w:rPr>
            </w:pPr>
            <w:r>
              <w:rPr>
                <w:rFonts w:ascii="Arial" w:cs="Arial" w:eastAsia="Arial" w:hAnsi="Arial"/>
                <w:sz w:val="14"/>
                <w:szCs w:val="14"/>
                <w:color w:val="auto"/>
              </w:rPr>
              <w:t>Pzena Investment Management LLC.</w:t>
            </w:r>
            <w:r>
              <w:rPr>
                <w:rFonts w:ascii="Arial" w:cs="Arial" w:eastAsia="Arial" w:hAnsi="Arial"/>
                <w:sz w:val="17"/>
                <w:szCs w:val="17"/>
                <w:color w:val="auto"/>
                <w:vertAlign w:val="superscript"/>
              </w:rPr>
              <w:t>(3)</w:t>
            </w:r>
          </w:p>
        </w:tc>
        <w:tc>
          <w:tcPr>
            <w:tcW w:w="1480" w:type="dxa"/>
            <w:vAlign w:val="bottom"/>
            <w:shd w:val="clear" w:color="auto" w:fill="CBECD5"/>
          </w:tcPr>
          <w:p>
            <w:pPr>
              <w:jc w:val="right"/>
              <w:ind w:right="128"/>
              <w:spacing w:after="0"/>
              <w:rPr>
                <w:sz w:val="20"/>
                <w:szCs w:val="20"/>
                <w:color w:val="auto"/>
              </w:rPr>
            </w:pPr>
            <w:r>
              <w:rPr>
                <w:rFonts w:ascii="Arial" w:cs="Arial" w:eastAsia="Arial" w:hAnsi="Arial"/>
                <w:sz w:val="14"/>
                <w:szCs w:val="14"/>
                <w:color w:val="auto"/>
              </w:rPr>
              <w:t>7,364,024</w:t>
            </w:r>
          </w:p>
        </w:tc>
        <w:tc>
          <w:tcPr>
            <w:tcW w:w="1160" w:type="dxa"/>
            <w:vAlign w:val="bottom"/>
            <w:shd w:val="clear" w:color="auto" w:fill="CBECD5"/>
          </w:tcPr>
          <w:p>
            <w:pPr>
              <w:spacing w:after="0"/>
              <w:rPr>
                <w:sz w:val="22"/>
                <w:szCs w:val="22"/>
                <w:color w:val="auto"/>
              </w:rPr>
            </w:pP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7,364,024</w:t>
            </w:r>
          </w:p>
        </w:tc>
        <w:tc>
          <w:tcPr>
            <w:tcW w:w="1020" w:type="dxa"/>
            <w:vAlign w:val="bottom"/>
            <w:shd w:val="clear" w:color="auto" w:fill="CBECD5"/>
          </w:tcPr>
          <w:p>
            <w:pPr>
              <w:jc w:val="right"/>
              <w:ind w:right="48"/>
              <w:spacing w:after="0"/>
              <w:rPr>
                <w:sz w:val="20"/>
                <w:szCs w:val="20"/>
                <w:color w:val="auto"/>
              </w:rPr>
            </w:pPr>
            <w:r>
              <w:rPr>
                <w:rFonts w:ascii="Arial" w:cs="Arial" w:eastAsia="Arial" w:hAnsi="Arial"/>
                <w:sz w:val="14"/>
                <w:szCs w:val="14"/>
                <w:b w:val="1"/>
                <w:bCs w:val="1"/>
                <w:color w:val="auto"/>
              </w:rPr>
              <w:t>8.5%</w:t>
            </w:r>
          </w:p>
        </w:tc>
        <w:tc>
          <w:tcPr>
            <w:tcW w:w="0" w:type="dxa"/>
            <w:vAlign w:val="bottom"/>
          </w:tcPr>
          <w:p>
            <w:pPr>
              <w:spacing w:after="0"/>
              <w:rPr>
                <w:sz w:val="1"/>
                <w:szCs w:val="1"/>
                <w:color w:val="auto"/>
              </w:rPr>
            </w:pPr>
          </w:p>
        </w:tc>
      </w:tr>
      <w:tr>
        <w:trPr>
          <w:trHeight w:val="175"/>
        </w:trPr>
        <w:tc>
          <w:tcPr>
            <w:tcW w:w="4140" w:type="dxa"/>
            <w:vAlign w:val="bottom"/>
            <w:shd w:val="clear" w:color="auto" w:fill="CBECD5"/>
          </w:tcPr>
          <w:p>
            <w:pPr>
              <w:ind w:left="200"/>
              <w:spacing w:after="0"/>
              <w:rPr>
                <w:sz w:val="20"/>
                <w:szCs w:val="20"/>
                <w:color w:val="auto"/>
              </w:rPr>
            </w:pPr>
            <w:r>
              <w:rPr>
                <w:rFonts w:ascii="Arial" w:cs="Arial" w:eastAsia="Arial" w:hAnsi="Arial"/>
                <w:sz w:val="14"/>
                <w:szCs w:val="14"/>
                <w:color w:val="auto"/>
              </w:rPr>
              <w:t>320 Park Avenue, 8th Floor</w:t>
            </w:r>
          </w:p>
        </w:tc>
        <w:tc>
          <w:tcPr>
            <w:tcW w:w="1480" w:type="dxa"/>
            <w:vAlign w:val="bottom"/>
            <w:shd w:val="clear" w:color="auto" w:fill="CBECD5"/>
          </w:tcPr>
          <w:p>
            <w:pPr>
              <w:spacing w:after="0"/>
              <w:rPr>
                <w:sz w:val="15"/>
                <w:szCs w:val="15"/>
                <w:color w:val="auto"/>
              </w:rPr>
            </w:pPr>
          </w:p>
        </w:tc>
        <w:tc>
          <w:tcPr>
            <w:tcW w:w="1160" w:type="dxa"/>
            <w:vAlign w:val="bottom"/>
            <w:shd w:val="clear" w:color="auto" w:fill="CBECD5"/>
          </w:tcPr>
          <w:p>
            <w:pPr>
              <w:spacing w:after="0"/>
              <w:rPr>
                <w:sz w:val="15"/>
                <w:szCs w:val="15"/>
                <w:color w:val="auto"/>
              </w:rPr>
            </w:pPr>
          </w:p>
        </w:tc>
        <w:tc>
          <w:tcPr>
            <w:tcW w:w="960" w:type="dxa"/>
            <w:vAlign w:val="bottom"/>
            <w:shd w:val="clear" w:color="auto" w:fill="CBECD5"/>
          </w:tcPr>
          <w:p>
            <w:pPr>
              <w:spacing w:after="0"/>
              <w:rPr>
                <w:sz w:val="15"/>
                <w:szCs w:val="15"/>
                <w:color w:val="auto"/>
              </w:rPr>
            </w:pPr>
          </w:p>
        </w:tc>
        <w:tc>
          <w:tcPr>
            <w:tcW w:w="1020" w:type="dxa"/>
            <w:vAlign w:val="bottom"/>
            <w:shd w:val="clear" w:color="auto" w:fill="CBECD5"/>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40" w:type="dxa"/>
            <w:vAlign w:val="bottom"/>
            <w:shd w:val="clear" w:color="auto" w:fill="CBECD5"/>
          </w:tcPr>
          <w:p>
            <w:pPr>
              <w:ind w:left="200"/>
              <w:spacing w:after="0"/>
              <w:rPr>
                <w:sz w:val="20"/>
                <w:szCs w:val="20"/>
                <w:color w:val="auto"/>
              </w:rPr>
            </w:pPr>
            <w:r>
              <w:rPr>
                <w:rFonts w:ascii="Arial" w:cs="Arial" w:eastAsia="Arial" w:hAnsi="Arial"/>
                <w:sz w:val="14"/>
                <w:szCs w:val="14"/>
                <w:color w:val="auto"/>
              </w:rPr>
              <w:t>New York, NY 10022</w:t>
            </w:r>
          </w:p>
        </w:tc>
        <w:tc>
          <w:tcPr>
            <w:tcW w:w="1480" w:type="dxa"/>
            <w:vAlign w:val="bottom"/>
            <w:shd w:val="clear" w:color="auto" w:fill="CBECD5"/>
          </w:tcPr>
          <w:p>
            <w:pPr>
              <w:spacing w:after="0"/>
              <w:rPr>
                <w:sz w:val="14"/>
                <w:szCs w:val="14"/>
                <w:color w:val="auto"/>
              </w:rPr>
            </w:pPr>
          </w:p>
        </w:tc>
        <w:tc>
          <w:tcPr>
            <w:tcW w:w="1160" w:type="dxa"/>
            <w:vAlign w:val="bottom"/>
            <w:shd w:val="clear" w:color="auto" w:fill="CBECD5"/>
          </w:tcPr>
          <w:p>
            <w:pPr>
              <w:spacing w:after="0"/>
              <w:rPr>
                <w:sz w:val="14"/>
                <w:szCs w:val="14"/>
                <w:color w:val="auto"/>
              </w:rPr>
            </w:pPr>
          </w:p>
        </w:tc>
        <w:tc>
          <w:tcPr>
            <w:tcW w:w="960" w:type="dxa"/>
            <w:vAlign w:val="bottom"/>
            <w:shd w:val="clear" w:color="auto" w:fill="CBECD5"/>
          </w:tcPr>
          <w:p>
            <w:pPr>
              <w:spacing w:after="0"/>
              <w:rPr>
                <w:sz w:val="14"/>
                <w:szCs w:val="14"/>
                <w:color w:val="auto"/>
              </w:rPr>
            </w:pPr>
          </w:p>
        </w:tc>
        <w:tc>
          <w:tcPr>
            <w:tcW w:w="1020" w:type="dxa"/>
            <w:vAlign w:val="bottom"/>
            <w:shd w:val="clear" w:color="auto" w:fill="CBECD5"/>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4140" w:type="dxa"/>
            <w:vAlign w:val="bottom"/>
          </w:tcPr>
          <w:p>
            <w:pPr>
              <w:ind w:left="60"/>
              <w:spacing w:after="0"/>
              <w:rPr>
                <w:sz w:val="20"/>
                <w:szCs w:val="20"/>
                <w:color w:val="auto"/>
              </w:rPr>
            </w:pPr>
            <w:r>
              <w:rPr>
                <w:rFonts w:ascii="Arial" w:cs="Arial" w:eastAsia="Arial" w:hAnsi="Arial"/>
                <w:sz w:val="14"/>
                <w:szCs w:val="14"/>
                <w:color w:val="auto"/>
              </w:rPr>
              <w:t>The Vanguard Group</w:t>
            </w:r>
            <w:r>
              <w:rPr>
                <w:rFonts w:ascii="Arial" w:cs="Arial" w:eastAsia="Arial" w:hAnsi="Arial"/>
                <w:sz w:val="17"/>
                <w:szCs w:val="17"/>
                <w:color w:val="auto"/>
                <w:vertAlign w:val="superscript"/>
              </w:rPr>
              <w:t>(4)</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10,761,061</w:t>
            </w:r>
          </w:p>
        </w:tc>
        <w:tc>
          <w:tcPr>
            <w:tcW w:w="1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10,794,061</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12.61%</w:t>
            </w:r>
          </w:p>
        </w:tc>
        <w:tc>
          <w:tcPr>
            <w:tcW w:w="0" w:type="dxa"/>
            <w:vAlign w:val="bottom"/>
          </w:tcPr>
          <w:p>
            <w:pPr>
              <w:spacing w:after="0"/>
              <w:rPr>
                <w:sz w:val="1"/>
                <w:szCs w:val="1"/>
                <w:color w:val="auto"/>
              </w:rPr>
            </w:pPr>
          </w:p>
        </w:tc>
      </w:tr>
      <w:tr>
        <w:trPr>
          <w:trHeight w:val="175"/>
        </w:trPr>
        <w:tc>
          <w:tcPr>
            <w:tcW w:w="4140" w:type="dxa"/>
            <w:vAlign w:val="bottom"/>
          </w:tcPr>
          <w:p>
            <w:pPr>
              <w:ind w:left="200"/>
              <w:spacing w:after="0"/>
              <w:rPr>
                <w:sz w:val="20"/>
                <w:szCs w:val="20"/>
                <w:color w:val="auto"/>
              </w:rPr>
            </w:pPr>
            <w:r>
              <w:rPr>
                <w:rFonts w:ascii="Arial" w:cs="Arial" w:eastAsia="Arial" w:hAnsi="Arial"/>
                <w:sz w:val="14"/>
                <w:szCs w:val="14"/>
                <w:color w:val="auto"/>
              </w:rPr>
              <w:t>100 Vanguard Blvd.</w:t>
            </w: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200"/>
              <w:spacing w:after="0"/>
              <w:rPr>
                <w:sz w:val="20"/>
                <w:szCs w:val="20"/>
                <w:color w:val="auto"/>
              </w:rPr>
            </w:pPr>
            <w:r>
              <w:rPr>
                <w:rFonts w:ascii="Arial" w:cs="Arial" w:eastAsia="Arial" w:hAnsi="Arial"/>
                <w:sz w:val="14"/>
                <w:szCs w:val="14"/>
                <w:color w:val="auto"/>
              </w:rPr>
              <w:t>Malvern, PA 19355</w:t>
            </w: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140" w:type="dxa"/>
            <w:vAlign w:val="bottom"/>
          </w:tcPr>
          <w:p>
            <w:pPr>
              <w:ind w:left="60"/>
              <w:spacing w:after="0"/>
              <w:rPr>
                <w:sz w:val="20"/>
                <w:szCs w:val="20"/>
                <w:color w:val="auto"/>
              </w:rPr>
            </w:pPr>
            <w:r>
              <w:rPr>
                <w:rFonts w:ascii="Arial" w:cs="Arial" w:eastAsia="Arial" w:hAnsi="Arial"/>
                <w:sz w:val="14"/>
                <w:szCs w:val="14"/>
                <w:b w:val="1"/>
                <w:bCs w:val="1"/>
                <w:color w:val="auto"/>
              </w:rPr>
              <w:t>Directors, Director Nominees, and NEOs</w:t>
            </w: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BECD5"/>
          </w:tcPr>
          <w:p>
            <w:pPr>
              <w:ind w:left="60"/>
              <w:spacing w:after="0"/>
              <w:rPr>
                <w:sz w:val="20"/>
                <w:szCs w:val="20"/>
                <w:color w:val="auto"/>
              </w:rPr>
            </w:pPr>
            <w:r>
              <w:rPr>
                <w:rFonts w:ascii="Arial" w:cs="Arial" w:eastAsia="Arial" w:hAnsi="Arial"/>
                <w:sz w:val="14"/>
                <w:szCs w:val="14"/>
                <w:color w:val="auto"/>
              </w:rPr>
              <w:t>Rodney C. Adkins, Director and Nominee</w:t>
            </w:r>
          </w:p>
        </w:tc>
        <w:tc>
          <w:tcPr>
            <w:tcW w:w="1480" w:type="dxa"/>
            <w:vAlign w:val="bottom"/>
            <w:shd w:val="clear" w:color="auto" w:fill="CBECD5"/>
          </w:tcPr>
          <w:p>
            <w:pPr>
              <w:jc w:val="right"/>
              <w:ind w:right="8"/>
              <w:spacing w:after="0"/>
              <w:rPr>
                <w:sz w:val="20"/>
                <w:szCs w:val="20"/>
                <w:color w:val="auto"/>
              </w:rPr>
            </w:pPr>
            <w:r>
              <w:rPr>
                <w:rFonts w:ascii="Arial" w:cs="Arial" w:eastAsia="Arial" w:hAnsi="Arial"/>
                <w:sz w:val="14"/>
                <w:szCs w:val="14"/>
                <w:color w:val="auto"/>
              </w:rPr>
              <w:t>41,773</w:t>
            </w:r>
            <w:r>
              <w:rPr>
                <w:rFonts w:ascii="Arial" w:cs="Arial" w:eastAsia="Arial" w:hAnsi="Arial"/>
                <w:sz w:val="17"/>
                <w:szCs w:val="17"/>
                <w:color w:val="auto"/>
                <w:vertAlign w:val="superscript"/>
              </w:rPr>
              <w:t>(5)</w:t>
            </w:r>
          </w:p>
        </w:tc>
        <w:tc>
          <w:tcPr>
            <w:tcW w:w="1160" w:type="dxa"/>
            <w:vAlign w:val="bottom"/>
            <w:shd w:val="clear" w:color="auto" w:fill="CBECD5"/>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41,773</w:t>
            </w:r>
          </w:p>
        </w:tc>
        <w:tc>
          <w:tcPr>
            <w:tcW w:w="1020" w:type="dxa"/>
            <w:vAlign w:val="bottom"/>
            <w:shd w:val="clear" w:color="auto" w:fill="CBECD5"/>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tcPr>
          <w:p>
            <w:pPr>
              <w:ind w:left="60"/>
              <w:spacing w:after="0"/>
              <w:rPr>
                <w:sz w:val="20"/>
                <w:szCs w:val="20"/>
                <w:color w:val="auto"/>
              </w:rPr>
            </w:pPr>
            <w:r>
              <w:rPr>
                <w:rFonts w:ascii="Arial" w:cs="Arial" w:eastAsia="Arial" w:hAnsi="Arial"/>
                <w:sz w:val="14"/>
                <w:szCs w:val="14"/>
                <w:color w:val="auto"/>
              </w:rPr>
              <w:t>Brenda L. Freeman, Director and Nominee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31,327</w:t>
            </w:r>
            <w:r>
              <w:rPr>
                <w:rFonts w:ascii="Arial" w:cs="Arial" w:eastAsia="Arial" w:hAnsi="Arial"/>
                <w:sz w:val="17"/>
                <w:szCs w:val="17"/>
                <w:color w:val="auto"/>
                <w:vertAlign w:val="superscript"/>
              </w:rPr>
              <w:t>(6)</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31,327</w:t>
            </w:r>
          </w:p>
        </w:tc>
        <w:tc>
          <w:tcPr>
            <w:tcW w:w="102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shd w:val="clear" w:color="auto" w:fill="CBECD5"/>
          </w:tcPr>
          <w:p>
            <w:pPr>
              <w:ind w:left="60"/>
              <w:spacing w:after="0"/>
              <w:rPr>
                <w:sz w:val="20"/>
                <w:szCs w:val="20"/>
                <w:color w:val="auto"/>
              </w:rPr>
            </w:pPr>
            <w:r>
              <w:rPr>
                <w:rFonts w:ascii="Arial" w:cs="Arial" w:eastAsia="Arial" w:hAnsi="Arial"/>
                <w:sz w:val="14"/>
                <w:szCs w:val="14"/>
                <w:color w:val="auto"/>
              </w:rPr>
              <w:t>Helmut Gassel, Director and Nominee</w:t>
            </w:r>
          </w:p>
        </w:tc>
        <w:tc>
          <w:tcPr>
            <w:tcW w:w="1480" w:type="dxa"/>
            <w:vAlign w:val="bottom"/>
            <w:shd w:val="clear" w:color="auto" w:fill="CBECD5"/>
          </w:tcPr>
          <w:p>
            <w:pPr>
              <w:jc w:val="right"/>
              <w:ind w:right="8"/>
              <w:spacing w:after="0"/>
              <w:rPr>
                <w:sz w:val="20"/>
                <w:szCs w:val="20"/>
                <w:color w:val="auto"/>
              </w:rPr>
            </w:pPr>
            <w:r>
              <w:rPr>
                <w:rFonts w:ascii="Arial" w:cs="Arial" w:eastAsia="Arial" w:hAnsi="Arial"/>
                <w:sz w:val="14"/>
                <w:szCs w:val="14"/>
                <w:color w:val="auto"/>
              </w:rPr>
              <w:t>4,752</w:t>
            </w:r>
            <w:r>
              <w:rPr>
                <w:rFonts w:ascii="Arial" w:cs="Arial" w:eastAsia="Arial" w:hAnsi="Arial"/>
                <w:sz w:val="17"/>
                <w:szCs w:val="17"/>
                <w:color w:val="auto"/>
                <w:vertAlign w:val="superscript"/>
              </w:rPr>
              <w:t>(7)</w:t>
            </w:r>
          </w:p>
        </w:tc>
        <w:tc>
          <w:tcPr>
            <w:tcW w:w="1160" w:type="dxa"/>
            <w:vAlign w:val="bottom"/>
            <w:shd w:val="clear" w:color="auto" w:fill="CBECD5"/>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4,752</w:t>
            </w:r>
          </w:p>
        </w:tc>
        <w:tc>
          <w:tcPr>
            <w:tcW w:w="1020" w:type="dxa"/>
            <w:vAlign w:val="bottom"/>
            <w:shd w:val="clear" w:color="auto" w:fill="CBECD5"/>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tcPr>
          <w:p>
            <w:pPr>
              <w:ind w:left="60"/>
              <w:spacing w:after="0"/>
              <w:rPr>
                <w:sz w:val="20"/>
                <w:szCs w:val="20"/>
                <w:color w:val="auto"/>
              </w:rPr>
            </w:pPr>
            <w:r>
              <w:rPr>
                <w:rFonts w:ascii="Arial" w:cs="Arial" w:eastAsia="Arial" w:hAnsi="Arial"/>
                <w:sz w:val="14"/>
                <w:szCs w:val="14"/>
                <w:color w:val="auto"/>
              </w:rPr>
              <w:t>Virginia L. Henkels, Director and Nominee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4,752</w:t>
            </w:r>
            <w:r>
              <w:rPr>
                <w:rFonts w:ascii="Arial" w:cs="Arial" w:eastAsia="Arial" w:hAnsi="Arial"/>
                <w:sz w:val="17"/>
                <w:szCs w:val="17"/>
                <w:color w:val="auto"/>
                <w:vertAlign w:val="superscript"/>
              </w:rPr>
              <w:t>(8)</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4,752</w:t>
            </w:r>
          </w:p>
        </w:tc>
        <w:tc>
          <w:tcPr>
            <w:tcW w:w="102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shd w:val="clear" w:color="auto" w:fill="CBECD5"/>
          </w:tcPr>
          <w:p>
            <w:pPr>
              <w:ind w:left="60"/>
              <w:spacing w:after="0"/>
              <w:rPr>
                <w:sz w:val="20"/>
                <w:szCs w:val="20"/>
                <w:color w:val="auto"/>
              </w:rPr>
            </w:pPr>
            <w:r>
              <w:rPr>
                <w:rFonts w:ascii="Arial" w:cs="Arial" w:eastAsia="Arial" w:hAnsi="Arial"/>
                <w:sz w:val="14"/>
                <w:szCs w:val="14"/>
                <w:color w:val="auto"/>
              </w:rPr>
              <w:t>Jo Ann Jenkins, Director and Nominee</w:t>
            </w:r>
          </w:p>
        </w:tc>
        <w:tc>
          <w:tcPr>
            <w:tcW w:w="1480" w:type="dxa"/>
            <w:vAlign w:val="bottom"/>
            <w:shd w:val="clear" w:color="auto" w:fill="CBECD5"/>
          </w:tcPr>
          <w:p>
            <w:pPr>
              <w:jc w:val="right"/>
              <w:ind w:right="128"/>
              <w:spacing w:after="0"/>
              <w:rPr>
                <w:sz w:val="20"/>
                <w:szCs w:val="20"/>
                <w:color w:val="auto"/>
              </w:rPr>
            </w:pPr>
            <w:r>
              <w:rPr>
                <w:rFonts w:ascii="Arial" w:cs="Arial" w:eastAsia="Arial" w:hAnsi="Arial"/>
                <w:sz w:val="14"/>
                <w:szCs w:val="14"/>
                <w:color w:val="auto"/>
              </w:rPr>
              <w:t>29,078</w:t>
            </w:r>
          </w:p>
        </w:tc>
        <w:tc>
          <w:tcPr>
            <w:tcW w:w="1160" w:type="dxa"/>
            <w:vAlign w:val="bottom"/>
            <w:shd w:val="clear" w:color="auto" w:fill="CBECD5"/>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29,078</w:t>
            </w:r>
          </w:p>
        </w:tc>
        <w:tc>
          <w:tcPr>
            <w:tcW w:w="1020" w:type="dxa"/>
            <w:vAlign w:val="bottom"/>
            <w:shd w:val="clear" w:color="auto" w:fill="CBECD5"/>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tcPr>
          <w:p>
            <w:pPr>
              <w:ind w:left="60"/>
              <w:spacing w:after="0"/>
              <w:rPr>
                <w:sz w:val="20"/>
                <w:szCs w:val="20"/>
                <w:color w:val="auto"/>
              </w:rPr>
            </w:pPr>
            <w:r>
              <w:rPr>
                <w:rFonts w:ascii="Arial" w:cs="Arial" w:eastAsia="Arial" w:hAnsi="Arial"/>
                <w:sz w:val="14"/>
                <w:szCs w:val="14"/>
                <w:color w:val="auto"/>
              </w:rPr>
              <w:t>Oleg Khaykin, Director and Nominee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58,830</w:t>
            </w:r>
            <w:r>
              <w:rPr>
                <w:rFonts w:ascii="Arial" w:cs="Arial" w:eastAsia="Arial" w:hAnsi="Arial"/>
                <w:sz w:val="17"/>
                <w:szCs w:val="17"/>
                <w:color w:val="auto"/>
                <w:vertAlign w:val="superscript"/>
              </w:rPr>
              <w:t>(9)</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58,830</w:t>
            </w:r>
          </w:p>
        </w:tc>
        <w:tc>
          <w:tcPr>
            <w:tcW w:w="102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4140" w:type="dxa"/>
            <w:vAlign w:val="bottom"/>
            <w:shd w:val="clear" w:color="auto" w:fill="CBECD5"/>
          </w:tcPr>
          <w:p>
            <w:pPr>
              <w:ind w:left="60"/>
              <w:spacing w:after="0"/>
              <w:rPr>
                <w:sz w:val="20"/>
                <w:szCs w:val="20"/>
                <w:color w:val="auto"/>
              </w:rPr>
            </w:pPr>
            <w:r>
              <w:rPr>
                <w:rFonts w:ascii="Arial" w:cs="Arial" w:eastAsia="Arial" w:hAnsi="Arial"/>
                <w:sz w:val="14"/>
                <w:szCs w:val="14"/>
                <w:color w:val="auto"/>
              </w:rPr>
              <w:t>Ernest E. Maddock, Director and Nominee</w:t>
            </w:r>
          </w:p>
        </w:tc>
        <w:tc>
          <w:tcPr>
            <w:tcW w:w="1480" w:type="dxa"/>
            <w:vAlign w:val="bottom"/>
            <w:shd w:val="clear" w:color="auto" w:fill="CBECD5"/>
          </w:tcPr>
          <w:p>
            <w:pPr>
              <w:jc w:val="right"/>
              <w:spacing w:after="0"/>
              <w:rPr>
                <w:sz w:val="20"/>
                <w:szCs w:val="20"/>
                <w:color w:val="auto"/>
              </w:rPr>
            </w:pPr>
            <w:r>
              <w:rPr>
                <w:rFonts w:ascii="Arial" w:cs="Arial" w:eastAsia="Arial" w:hAnsi="Arial"/>
                <w:sz w:val="14"/>
                <w:szCs w:val="14"/>
                <w:color w:val="auto"/>
              </w:rPr>
              <w:t>17,154</w:t>
            </w:r>
            <w:r>
              <w:rPr>
                <w:rFonts w:ascii="Arial" w:cs="Arial" w:eastAsia="Arial" w:hAnsi="Arial"/>
                <w:sz w:val="17"/>
                <w:szCs w:val="17"/>
                <w:color w:val="auto"/>
                <w:vertAlign w:val="superscript"/>
              </w:rPr>
              <w:t>(10)</w:t>
            </w:r>
          </w:p>
        </w:tc>
        <w:tc>
          <w:tcPr>
            <w:tcW w:w="1160" w:type="dxa"/>
            <w:vAlign w:val="bottom"/>
            <w:shd w:val="clear" w:color="auto" w:fill="CBECD5"/>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17,154</w:t>
            </w:r>
          </w:p>
        </w:tc>
        <w:tc>
          <w:tcPr>
            <w:tcW w:w="1020" w:type="dxa"/>
            <w:vAlign w:val="bottom"/>
            <w:shd w:val="clear" w:color="auto" w:fill="CBECD5"/>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tcPr>
          <w:p>
            <w:pPr>
              <w:ind w:left="60"/>
              <w:spacing w:after="0"/>
              <w:rPr>
                <w:sz w:val="20"/>
                <w:szCs w:val="20"/>
                <w:color w:val="auto"/>
              </w:rPr>
            </w:pPr>
            <w:r>
              <w:rPr>
                <w:rFonts w:ascii="Arial" w:cs="Arial" w:eastAsia="Arial" w:hAnsi="Arial"/>
                <w:sz w:val="14"/>
                <w:szCs w:val="14"/>
                <w:color w:val="auto"/>
              </w:rPr>
              <w:t>Avid Modjtabai, Director and Nominee</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41,699</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41,699</w:t>
            </w:r>
          </w:p>
        </w:tc>
        <w:tc>
          <w:tcPr>
            <w:tcW w:w="102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shd w:val="clear" w:color="auto" w:fill="CBECD5"/>
          </w:tcPr>
          <w:p>
            <w:pPr>
              <w:ind w:left="60"/>
              <w:spacing w:after="0"/>
              <w:rPr>
                <w:sz w:val="20"/>
                <w:szCs w:val="20"/>
                <w:color w:val="auto"/>
              </w:rPr>
            </w:pPr>
            <w:r>
              <w:rPr>
                <w:rFonts w:ascii="Arial" w:cs="Arial" w:eastAsia="Arial" w:hAnsi="Arial"/>
                <w:sz w:val="14"/>
                <w:szCs w:val="14"/>
                <w:color w:val="auto"/>
              </w:rPr>
              <w:t>Adalio T. Sanchez, Director and Nominee</w:t>
            </w:r>
          </w:p>
        </w:tc>
        <w:tc>
          <w:tcPr>
            <w:tcW w:w="1480" w:type="dxa"/>
            <w:vAlign w:val="bottom"/>
            <w:shd w:val="clear" w:color="auto" w:fill="CBECD5"/>
          </w:tcPr>
          <w:p>
            <w:pPr>
              <w:jc w:val="right"/>
              <w:ind w:right="128"/>
              <w:spacing w:after="0"/>
              <w:rPr>
                <w:sz w:val="20"/>
                <w:szCs w:val="20"/>
                <w:color w:val="auto"/>
              </w:rPr>
            </w:pPr>
            <w:r>
              <w:rPr>
                <w:rFonts w:ascii="Arial" w:cs="Arial" w:eastAsia="Arial" w:hAnsi="Arial"/>
                <w:sz w:val="14"/>
                <w:szCs w:val="14"/>
                <w:color w:val="auto"/>
              </w:rPr>
              <w:t>24,020</w:t>
            </w:r>
          </w:p>
        </w:tc>
        <w:tc>
          <w:tcPr>
            <w:tcW w:w="1160" w:type="dxa"/>
            <w:vAlign w:val="bottom"/>
            <w:shd w:val="clear" w:color="auto" w:fill="CBECD5"/>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24,020</w:t>
            </w:r>
          </w:p>
        </w:tc>
        <w:tc>
          <w:tcPr>
            <w:tcW w:w="1020" w:type="dxa"/>
            <w:vAlign w:val="bottom"/>
            <w:shd w:val="clear" w:color="auto" w:fill="CBECD5"/>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tcPr>
          <w:p>
            <w:pPr>
              <w:ind w:left="60"/>
              <w:spacing w:after="0"/>
              <w:rPr>
                <w:sz w:val="20"/>
                <w:szCs w:val="20"/>
                <w:color w:val="auto"/>
              </w:rPr>
            </w:pPr>
            <w:r>
              <w:rPr>
                <w:rFonts w:ascii="Arial" w:cs="Arial" w:eastAsia="Arial" w:hAnsi="Arial"/>
                <w:sz w:val="14"/>
                <w:szCs w:val="14"/>
                <w:color w:val="auto"/>
              </w:rPr>
              <w:t>Philip R. Gallagher, Chief Executive Officer and Director</w:t>
            </w:r>
          </w:p>
        </w:tc>
        <w:tc>
          <w:tcPr>
            <w:tcW w:w="1480" w:type="dxa"/>
            <w:vAlign w:val="bottom"/>
          </w:tcPr>
          <w:p>
            <w:pPr>
              <w:jc w:val="right"/>
              <w:spacing w:after="0"/>
              <w:rPr>
                <w:sz w:val="20"/>
                <w:szCs w:val="20"/>
                <w:color w:val="auto"/>
              </w:rPr>
            </w:pPr>
            <w:r>
              <w:rPr>
                <w:rFonts w:ascii="Arial" w:cs="Arial" w:eastAsia="Arial" w:hAnsi="Arial"/>
                <w:sz w:val="14"/>
                <w:szCs w:val="14"/>
                <w:color w:val="auto"/>
              </w:rPr>
              <w:t>406,440</w:t>
            </w:r>
            <w:r>
              <w:rPr>
                <w:rFonts w:ascii="Arial" w:cs="Arial" w:eastAsia="Arial" w:hAnsi="Arial"/>
                <w:sz w:val="17"/>
                <w:szCs w:val="17"/>
                <w:color w:val="auto"/>
                <w:vertAlign w:val="superscript"/>
              </w:rPr>
              <w:t>(11)</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466,188</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872,628</w:t>
            </w:r>
          </w:p>
        </w:tc>
        <w:tc>
          <w:tcPr>
            <w:tcW w:w="102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shd w:val="clear" w:color="auto" w:fill="CBECD5"/>
          </w:tcPr>
          <w:p>
            <w:pPr>
              <w:ind w:left="60"/>
              <w:spacing w:after="0"/>
              <w:rPr>
                <w:sz w:val="20"/>
                <w:szCs w:val="20"/>
                <w:color w:val="auto"/>
              </w:rPr>
            </w:pPr>
            <w:r>
              <w:rPr>
                <w:rFonts w:ascii="Arial" w:cs="Arial" w:eastAsia="Arial" w:hAnsi="Arial"/>
                <w:sz w:val="14"/>
                <w:szCs w:val="14"/>
                <w:color w:val="auto"/>
              </w:rPr>
              <w:t>Kenneth A. Jacobson, Chief Financial Officer</w:t>
            </w:r>
          </w:p>
        </w:tc>
        <w:tc>
          <w:tcPr>
            <w:tcW w:w="1480" w:type="dxa"/>
            <w:vAlign w:val="bottom"/>
            <w:shd w:val="clear" w:color="auto" w:fill="CBECD5"/>
          </w:tcPr>
          <w:p>
            <w:pPr>
              <w:jc w:val="right"/>
              <w:spacing w:after="0"/>
              <w:rPr>
                <w:sz w:val="20"/>
                <w:szCs w:val="20"/>
                <w:color w:val="auto"/>
              </w:rPr>
            </w:pPr>
            <w:r>
              <w:rPr>
                <w:rFonts w:ascii="Arial" w:cs="Arial" w:eastAsia="Arial" w:hAnsi="Arial"/>
                <w:sz w:val="14"/>
                <w:szCs w:val="14"/>
                <w:color w:val="auto"/>
              </w:rPr>
              <w:t>97,842</w:t>
            </w:r>
            <w:r>
              <w:rPr>
                <w:rFonts w:ascii="Arial" w:cs="Arial" w:eastAsia="Arial" w:hAnsi="Arial"/>
                <w:sz w:val="17"/>
                <w:szCs w:val="17"/>
                <w:color w:val="auto"/>
                <w:vertAlign w:val="superscript"/>
              </w:rPr>
              <w:t>(12)</w:t>
            </w:r>
          </w:p>
        </w:tc>
        <w:tc>
          <w:tcPr>
            <w:tcW w:w="1160" w:type="dxa"/>
            <w:vAlign w:val="bottom"/>
            <w:shd w:val="clear" w:color="auto" w:fill="CBECD5"/>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97,842</w:t>
            </w:r>
          </w:p>
        </w:tc>
        <w:tc>
          <w:tcPr>
            <w:tcW w:w="1020" w:type="dxa"/>
            <w:vAlign w:val="bottom"/>
            <w:shd w:val="clear" w:color="auto" w:fill="CBECD5"/>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tcPr>
          <w:p>
            <w:pPr>
              <w:ind w:left="60"/>
              <w:spacing w:after="0"/>
              <w:rPr>
                <w:sz w:val="20"/>
                <w:szCs w:val="20"/>
                <w:color w:val="auto"/>
              </w:rPr>
            </w:pPr>
            <w:r>
              <w:rPr>
                <w:rFonts w:ascii="Arial" w:cs="Arial" w:eastAsia="Arial" w:hAnsi="Arial"/>
                <w:sz w:val="14"/>
                <w:szCs w:val="14"/>
                <w:color w:val="auto"/>
              </w:rPr>
              <w:t>Ken E. Arnold, SVP, Chief People Officer</w:t>
            </w:r>
          </w:p>
        </w:tc>
        <w:tc>
          <w:tcPr>
            <w:tcW w:w="1480" w:type="dxa"/>
            <w:vAlign w:val="bottom"/>
          </w:tcPr>
          <w:p>
            <w:pPr>
              <w:jc w:val="right"/>
              <w:spacing w:after="0"/>
              <w:rPr>
                <w:sz w:val="20"/>
                <w:szCs w:val="20"/>
                <w:color w:val="auto"/>
              </w:rPr>
            </w:pPr>
            <w:r>
              <w:rPr>
                <w:rFonts w:ascii="Arial" w:cs="Arial" w:eastAsia="Arial" w:hAnsi="Arial"/>
                <w:sz w:val="14"/>
                <w:szCs w:val="14"/>
                <w:color w:val="auto"/>
              </w:rPr>
              <w:t>64,986</w:t>
            </w:r>
            <w:r>
              <w:rPr>
                <w:rFonts w:ascii="Arial" w:cs="Arial" w:eastAsia="Arial" w:hAnsi="Arial"/>
                <w:sz w:val="17"/>
                <w:szCs w:val="17"/>
                <w:color w:val="auto"/>
                <w:vertAlign w:val="superscript"/>
              </w:rPr>
              <w:t>(13)</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84,996</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149,982</w:t>
            </w:r>
          </w:p>
        </w:tc>
        <w:tc>
          <w:tcPr>
            <w:tcW w:w="102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shd w:val="clear" w:color="auto" w:fill="CBECD5"/>
          </w:tcPr>
          <w:p>
            <w:pPr>
              <w:ind w:left="60"/>
              <w:spacing w:after="0"/>
              <w:rPr>
                <w:sz w:val="20"/>
                <w:szCs w:val="20"/>
                <w:color w:val="auto"/>
              </w:rPr>
            </w:pPr>
            <w:r>
              <w:rPr>
                <w:rFonts w:ascii="Arial" w:cs="Arial" w:eastAsia="Arial" w:hAnsi="Arial"/>
                <w:sz w:val="14"/>
                <w:szCs w:val="14"/>
                <w:color w:val="auto"/>
              </w:rPr>
              <w:t>Leng Jin (Max) Chan, SVP, Chief Information Officer</w:t>
            </w:r>
          </w:p>
        </w:tc>
        <w:tc>
          <w:tcPr>
            <w:tcW w:w="1480" w:type="dxa"/>
            <w:vAlign w:val="bottom"/>
            <w:shd w:val="clear" w:color="auto" w:fill="CBECD5"/>
          </w:tcPr>
          <w:p>
            <w:pPr>
              <w:jc w:val="right"/>
              <w:spacing w:after="0"/>
              <w:rPr>
                <w:sz w:val="20"/>
                <w:szCs w:val="20"/>
                <w:color w:val="auto"/>
              </w:rPr>
            </w:pPr>
            <w:r>
              <w:rPr>
                <w:rFonts w:ascii="Arial" w:cs="Arial" w:eastAsia="Arial" w:hAnsi="Arial"/>
                <w:sz w:val="14"/>
                <w:szCs w:val="14"/>
                <w:color w:val="auto"/>
              </w:rPr>
              <w:t>42,992</w:t>
            </w:r>
            <w:r>
              <w:rPr>
                <w:rFonts w:ascii="Arial" w:cs="Arial" w:eastAsia="Arial" w:hAnsi="Arial"/>
                <w:sz w:val="17"/>
                <w:szCs w:val="17"/>
                <w:color w:val="auto"/>
                <w:vertAlign w:val="superscript"/>
              </w:rPr>
              <w:t>(14)</w:t>
            </w:r>
          </w:p>
        </w:tc>
        <w:tc>
          <w:tcPr>
            <w:tcW w:w="1160" w:type="dxa"/>
            <w:vAlign w:val="bottom"/>
            <w:shd w:val="clear" w:color="auto" w:fill="CBECD5"/>
          </w:tcPr>
          <w:p>
            <w:pPr>
              <w:jc w:val="right"/>
              <w:ind w:right="288"/>
              <w:spacing w:after="0"/>
              <w:rPr>
                <w:sz w:val="20"/>
                <w:szCs w:val="20"/>
                <w:color w:val="auto"/>
              </w:rPr>
            </w:pPr>
            <w:r>
              <w:rPr>
                <w:rFonts w:ascii="Arial" w:cs="Arial" w:eastAsia="Arial" w:hAnsi="Arial"/>
                <w:sz w:val="14"/>
                <w:szCs w:val="14"/>
                <w:color w:val="auto"/>
              </w:rPr>
              <w:t>9,226</w:t>
            </w: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52,218</w:t>
            </w:r>
          </w:p>
        </w:tc>
        <w:tc>
          <w:tcPr>
            <w:tcW w:w="1020" w:type="dxa"/>
            <w:vAlign w:val="bottom"/>
            <w:shd w:val="clear" w:color="auto" w:fill="CBECD5"/>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tcPr>
          <w:p>
            <w:pPr>
              <w:ind w:left="60"/>
              <w:spacing w:after="0"/>
              <w:rPr>
                <w:sz w:val="20"/>
                <w:szCs w:val="20"/>
                <w:color w:val="auto"/>
              </w:rPr>
            </w:pPr>
            <w:r>
              <w:rPr>
                <w:rFonts w:ascii="Arial" w:cs="Arial" w:eastAsia="Arial" w:hAnsi="Arial"/>
                <w:sz w:val="14"/>
                <w:szCs w:val="14"/>
                <w:color w:val="auto"/>
              </w:rPr>
              <w:t>Michael R. McCoy, SVP, General Counsel</w:t>
            </w:r>
          </w:p>
        </w:tc>
        <w:tc>
          <w:tcPr>
            <w:tcW w:w="1480" w:type="dxa"/>
            <w:vAlign w:val="bottom"/>
          </w:tcPr>
          <w:p>
            <w:pPr>
              <w:jc w:val="right"/>
              <w:spacing w:after="0"/>
              <w:rPr>
                <w:sz w:val="20"/>
                <w:szCs w:val="20"/>
                <w:color w:val="auto"/>
              </w:rPr>
            </w:pPr>
            <w:r>
              <w:rPr>
                <w:rFonts w:ascii="Arial" w:cs="Arial" w:eastAsia="Arial" w:hAnsi="Arial"/>
                <w:sz w:val="14"/>
                <w:szCs w:val="14"/>
                <w:color w:val="auto"/>
              </w:rPr>
              <w:t>80,437</w:t>
            </w:r>
            <w:r>
              <w:rPr>
                <w:rFonts w:ascii="Arial" w:cs="Arial" w:eastAsia="Arial" w:hAnsi="Arial"/>
                <w:sz w:val="17"/>
                <w:szCs w:val="17"/>
                <w:color w:val="auto"/>
                <w:vertAlign w:val="superscript"/>
              </w:rPr>
              <w:t>(15)</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68,344</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148,781</w:t>
            </w:r>
          </w:p>
        </w:tc>
        <w:tc>
          <w:tcPr>
            <w:tcW w:w="102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shd w:val="clear" w:color="auto" w:fill="CBECD5"/>
          </w:tcPr>
          <w:p>
            <w:pPr>
              <w:ind w:left="60"/>
              <w:spacing w:after="0"/>
              <w:rPr>
                <w:sz w:val="20"/>
                <w:szCs w:val="20"/>
                <w:color w:val="auto"/>
              </w:rPr>
            </w:pPr>
            <w:r>
              <w:rPr>
                <w:rFonts w:ascii="Arial" w:cs="Arial" w:eastAsia="Arial" w:hAnsi="Arial"/>
                <w:sz w:val="14"/>
                <w:szCs w:val="14"/>
                <w:color w:val="auto"/>
              </w:rPr>
              <w:t>Dave Youngblood, SVP, Chief Digital Officer</w:t>
            </w:r>
          </w:p>
        </w:tc>
        <w:tc>
          <w:tcPr>
            <w:tcW w:w="1480" w:type="dxa"/>
            <w:vAlign w:val="bottom"/>
            <w:shd w:val="clear" w:color="auto" w:fill="CBECD5"/>
          </w:tcPr>
          <w:p>
            <w:pPr>
              <w:jc w:val="right"/>
              <w:spacing w:after="0"/>
              <w:rPr>
                <w:sz w:val="20"/>
                <w:szCs w:val="20"/>
                <w:color w:val="auto"/>
              </w:rPr>
            </w:pPr>
            <w:r>
              <w:rPr>
                <w:rFonts w:ascii="Arial" w:cs="Arial" w:eastAsia="Arial" w:hAnsi="Arial"/>
                <w:sz w:val="14"/>
                <w:szCs w:val="14"/>
                <w:color w:val="auto"/>
              </w:rPr>
              <w:t>8,250</w:t>
            </w:r>
            <w:r>
              <w:rPr>
                <w:rFonts w:ascii="Arial" w:cs="Arial" w:eastAsia="Arial" w:hAnsi="Arial"/>
                <w:sz w:val="17"/>
                <w:szCs w:val="17"/>
                <w:color w:val="auto"/>
                <w:vertAlign w:val="superscript"/>
              </w:rPr>
              <w:t>(16)</w:t>
            </w:r>
          </w:p>
        </w:tc>
        <w:tc>
          <w:tcPr>
            <w:tcW w:w="1160" w:type="dxa"/>
            <w:vAlign w:val="bottom"/>
            <w:shd w:val="clear" w:color="auto" w:fill="CBECD5"/>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8,250</w:t>
            </w:r>
          </w:p>
        </w:tc>
        <w:tc>
          <w:tcPr>
            <w:tcW w:w="1020" w:type="dxa"/>
            <w:vAlign w:val="bottom"/>
            <w:shd w:val="clear" w:color="auto" w:fill="CBECD5"/>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4140" w:type="dxa"/>
            <w:vAlign w:val="bottom"/>
            <w:tcBorders>
              <w:bottom w:val="single" w:sz="8" w:color="53C072"/>
            </w:tcBorders>
          </w:tcPr>
          <w:p>
            <w:pPr>
              <w:ind w:left="60"/>
              <w:spacing w:after="0"/>
              <w:rPr>
                <w:sz w:val="20"/>
                <w:szCs w:val="20"/>
                <w:color w:val="auto"/>
              </w:rPr>
            </w:pPr>
            <w:r>
              <w:rPr>
                <w:rFonts w:ascii="Arial" w:cs="Arial" w:eastAsia="Arial" w:hAnsi="Arial"/>
                <w:sz w:val="14"/>
                <w:szCs w:val="14"/>
                <w:b w:val="1"/>
                <w:bCs w:val="1"/>
                <w:color w:val="auto"/>
              </w:rPr>
              <w:t>All Directors and NEOs as a group (15 people)</w:t>
            </w:r>
          </w:p>
        </w:tc>
        <w:tc>
          <w:tcPr>
            <w:tcW w:w="1480" w:type="dxa"/>
            <w:vAlign w:val="bottom"/>
            <w:tcBorders>
              <w:bottom w:val="single" w:sz="8" w:color="53C072"/>
            </w:tcBorders>
          </w:tcPr>
          <w:p>
            <w:pPr>
              <w:jc w:val="right"/>
              <w:ind w:right="128"/>
              <w:spacing w:after="0"/>
              <w:rPr>
                <w:sz w:val="20"/>
                <w:szCs w:val="20"/>
                <w:color w:val="auto"/>
              </w:rPr>
            </w:pPr>
            <w:r>
              <w:rPr>
                <w:rFonts w:ascii="Arial" w:cs="Arial" w:eastAsia="Arial" w:hAnsi="Arial"/>
                <w:sz w:val="14"/>
                <w:szCs w:val="14"/>
                <w:b w:val="1"/>
                <w:bCs w:val="1"/>
                <w:color w:val="auto"/>
              </w:rPr>
              <w:t>954,332</w:t>
            </w:r>
          </w:p>
        </w:tc>
        <w:tc>
          <w:tcPr>
            <w:tcW w:w="1160" w:type="dxa"/>
            <w:vAlign w:val="bottom"/>
            <w:tcBorders>
              <w:bottom w:val="single" w:sz="8" w:color="53C072"/>
            </w:tcBorders>
          </w:tcPr>
          <w:p>
            <w:pPr>
              <w:jc w:val="right"/>
              <w:ind w:right="288"/>
              <w:spacing w:after="0"/>
              <w:rPr>
                <w:sz w:val="20"/>
                <w:szCs w:val="20"/>
                <w:color w:val="auto"/>
              </w:rPr>
            </w:pPr>
            <w:r>
              <w:rPr>
                <w:rFonts w:ascii="Arial" w:cs="Arial" w:eastAsia="Arial" w:hAnsi="Arial"/>
                <w:sz w:val="14"/>
                <w:szCs w:val="14"/>
                <w:b w:val="1"/>
                <w:bCs w:val="1"/>
                <w:color w:val="auto"/>
              </w:rPr>
              <w:t>628,754</w:t>
            </w:r>
          </w:p>
        </w:tc>
        <w:tc>
          <w:tcPr>
            <w:tcW w:w="960" w:type="dxa"/>
            <w:vAlign w:val="bottom"/>
            <w:tcBorders>
              <w:bottom w:val="single" w:sz="8" w:color="53C072"/>
            </w:tcBorders>
          </w:tcPr>
          <w:p>
            <w:pPr>
              <w:jc w:val="right"/>
              <w:spacing w:after="0"/>
              <w:rPr>
                <w:sz w:val="20"/>
                <w:szCs w:val="20"/>
                <w:color w:val="auto"/>
              </w:rPr>
            </w:pPr>
            <w:r>
              <w:rPr>
                <w:rFonts w:ascii="Arial" w:cs="Arial" w:eastAsia="Arial" w:hAnsi="Arial"/>
                <w:sz w:val="14"/>
                <w:szCs w:val="14"/>
                <w:b w:val="1"/>
                <w:bCs w:val="1"/>
                <w:color w:val="auto"/>
              </w:rPr>
              <w:t>1,583,086</w:t>
            </w:r>
          </w:p>
        </w:tc>
        <w:tc>
          <w:tcPr>
            <w:tcW w:w="1020" w:type="dxa"/>
            <w:vAlign w:val="bottom"/>
            <w:tcBorders>
              <w:bottom w:val="single" w:sz="8" w:color="53C072"/>
            </w:tcBorders>
          </w:tcPr>
          <w:p>
            <w:pPr>
              <w:jc w:val="right"/>
              <w:ind w:right="48"/>
              <w:spacing w:after="0"/>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780" w:hanging="718"/>
        <w:spacing w:after="0"/>
        <w:tabs>
          <w:tab w:leader="none" w:pos="1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65"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43" w:lineRule="exact"/>
        <w:rPr>
          <w:sz w:val="20"/>
          <w:szCs w:val="20"/>
          <w:color w:val="auto"/>
        </w:rPr>
      </w:pPr>
    </w:p>
    <w:p>
      <w:pPr>
        <w:jc w:val="right"/>
        <w:ind w:right="139"/>
        <w:spacing w:after="0"/>
        <w:tabs>
          <w:tab w:leader="none" w:pos="4180" w:val="left"/>
        </w:tabs>
        <w:rPr>
          <w:sz w:val="20"/>
          <w:szCs w:val="20"/>
          <w:color w:val="auto"/>
        </w:rPr>
      </w:pPr>
      <w:r>
        <w:rPr>
          <w:rFonts w:ascii="Arial" w:cs="Arial" w:eastAsia="Arial" w:hAnsi="Arial"/>
          <w:sz w:val="28"/>
          <w:szCs w:val="28"/>
          <w:b w:val="1"/>
          <w:bCs w:val="1"/>
          <w:color w:val="53C072"/>
          <w:vertAlign w:val="superscript"/>
        </w:rPr>
        <w:t>2025 ANNUAL</w:t>
      </w:r>
      <w:r>
        <w:rPr>
          <w:rFonts w:ascii="Arial" w:cs="Arial" w:eastAsia="Arial" w:hAnsi="Arial"/>
          <w:sz w:val="28"/>
          <w:szCs w:val="28"/>
          <w:b w:val="1"/>
          <w:bCs w:val="1"/>
          <w:color w:val="auto"/>
          <w:vertAlign w:val="superscript"/>
        </w:rPr>
        <w:t xml:space="preserve"> </w:t>
      </w:r>
      <w:r>
        <w:rPr>
          <w:sz w:val="20"/>
          <w:szCs w:val="20"/>
          <w:color w:val="auto"/>
        </w:rPr>
        <w:tab/>
      </w:r>
      <w:r>
        <w:rPr>
          <w:rFonts w:ascii="Arial" w:cs="Arial" w:eastAsia="Arial" w:hAnsi="Arial"/>
          <w:sz w:val="14"/>
          <w:szCs w:val="14"/>
          <w:color w:val="auto"/>
        </w:rPr>
        <w:t>Security Ownership of Certain Beneficial Owners and Management</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780" w:right="319" w:hanging="718"/>
        <w:spacing w:after="0" w:line="268" w:lineRule="auto"/>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solely on information provided in Amendment No. 5 to a Schedule 13G filed with the SEC on April 17, 2025 by BlackRock, Inc., which reports sole voting power over 7,915,120 shares and sole dispositive power over 8,259,622 shares.</w:t>
      </w:r>
    </w:p>
    <w:p>
      <w:pPr>
        <w:spacing w:after="0" w:line="89" w:lineRule="exact"/>
        <w:rPr>
          <w:rFonts w:ascii="Arial" w:cs="Arial" w:eastAsia="Arial" w:hAnsi="Arial"/>
          <w:sz w:val="18"/>
          <w:szCs w:val="18"/>
          <w:color w:val="auto"/>
        </w:rPr>
      </w:pPr>
    </w:p>
    <w:p>
      <w:pPr>
        <w:jc w:val="both"/>
        <w:ind w:left="1780" w:right="259" w:hanging="718"/>
        <w:spacing w:after="0" w:line="268" w:lineRule="auto"/>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solely on information provided in Amendment No. 1 to a Schedule 13G filed with the SEC on February 9, 2024 by Dimensional Fund Advisors LP, which reports sole voting power over 6,185,658 shares and sole dispositive power over 6,253,930 shares.</w:t>
      </w:r>
    </w:p>
    <w:p>
      <w:pPr>
        <w:spacing w:after="0" w:line="103" w:lineRule="exact"/>
        <w:rPr>
          <w:rFonts w:ascii="Arial" w:cs="Arial" w:eastAsia="Arial" w:hAnsi="Arial"/>
          <w:sz w:val="18"/>
          <w:szCs w:val="18"/>
          <w:color w:val="auto"/>
        </w:rPr>
      </w:pPr>
    </w:p>
    <w:p>
      <w:pPr>
        <w:ind w:left="1780" w:right="339" w:hanging="718"/>
        <w:spacing w:after="0" w:line="268" w:lineRule="auto"/>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solely on information provided in a Schedule 13G filed with the SEC on January 23, 2025 by Pzena Investment Management, LLC, which reports sole voting power over 5,827,542 shares and sole dispositive power over 7,364,024 shares.</w:t>
      </w:r>
    </w:p>
    <w:p>
      <w:pPr>
        <w:spacing w:after="0" w:line="103" w:lineRule="exact"/>
        <w:rPr>
          <w:rFonts w:ascii="Arial" w:cs="Arial" w:eastAsia="Arial" w:hAnsi="Arial"/>
          <w:sz w:val="18"/>
          <w:szCs w:val="18"/>
          <w:color w:val="auto"/>
        </w:rPr>
      </w:pPr>
    </w:p>
    <w:p>
      <w:pPr>
        <w:jc w:val="both"/>
        <w:ind w:left="1780" w:right="199" w:hanging="718"/>
        <w:spacing w:after="0" w:line="262" w:lineRule="auto"/>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solely on information provided in Amendment No. 14 to a Schedule 13G filed with the SEC on January 30, 2025, by The Vanguard Group, which reports sole voting power with respect to 0 shares, shared voting power over 65,240 shares, sole dispositive power over 10,794,061 shares, and shared dispositive power over 169,734 shares.</w:t>
      </w:r>
    </w:p>
    <w:p>
      <w:pPr>
        <w:spacing w:after="0" w:line="95" w:lineRule="exact"/>
        <w:rPr>
          <w:rFonts w:ascii="Arial" w:cs="Arial" w:eastAsia="Arial" w:hAnsi="Arial"/>
          <w:sz w:val="18"/>
          <w:szCs w:val="18"/>
          <w:color w:val="auto"/>
        </w:rPr>
      </w:pPr>
    </w:p>
    <w:p>
      <w:pPr>
        <w:ind w:left="1780" w:hanging="718"/>
        <w:spacing w:after="0"/>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Adkins’ ownership includes 5,287 phantom stock units.</w:t>
      </w:r>
    </w:p>
    <w:p>
      <w:pPr>
        <w:spacing w:after="0" w:line="157" w:lineRule="exact"/>
        <w:rPr>
          <w:rFonts w:ascii="Arial" w:cs="Arial" w:eastAsia="Arial" w:hAnsi="Arial"/>
          <w:sz w:val="18"/>
          <w:szCs w:val="18"/>
          <w:color w:val="auto"/>
        </w:rPr>
      </w:pPr>
    </w:p>
    <w:p>
      <w:pPr>
        <w:ind w:left="1780" w:hanging="718"/>
        <w:spacing w:after="0"/>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Ms. Freeman’s ownership consists solely of phantom stock units.</w:t>
      </w:r>
    </w:p>
    <w:p>
      <w:pPr>
        <w:spacing w:after="0" w:line="157" w:lineRule="exact"/>
        <w:rPr>
          <w:rFonts w:ascii="Arial" w:cs="Arial" w:eastAsia="Arial" w:hAnsi="Arial"/>
          <w:sz w:val="18"/>
          <w:szCs w:val="18"/>
          <w:color w:val="auto"/>
        </w:rPr>
      </w:pPr>
    </w:p>
    <w:p>
      <w:pPr>
        <w:ind w:left="1780" w:hanging="718"/>
        <w:spacing w:after="0"/>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Gassel’s ownership includes 3,487 phantom stock units.</w:t>
      </w:r>
    </w:p>
    <w:p>
      <w:pPr>
        <w:spacing w:after="0" w:line="144" w:lineRule="exact"/>
        <w:rPr>
          <w:rFonts w:ascii="Arial" w:cs="Arial" w:eastAsia="Arial" w:hAnsi="Arial"/>
          <w:sz w:val="18"/>
          <w:szCs w:val="18"/>
          <w:color w:val="auto"/>
        </w:rPr>
      </w:pPr>
    </w:p>
    <w:p>
      <w:pPr>
        <w:ind w:left="1780" w:hanging="718"/>
        <w:spacing w:after="0"/>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Ms. Henkel’s ownership includes 3,487 phantom stock units.</w:t>
      </w:r>
    </w:p>
    <w:p>
      <w:pPr>
        <w:spacing w:after="0" w:line="157" w:lineRule="exact"/>
        <w:rPr>
          <w:rFonts w:ascii="Arial" w:cs="Arial" w:eastAsia="Arial" w:hAnsi="Arial"/>
          <w:sz w:val="18"/>
          <w:szCs w:val="18"/>
          <w:color w:val="auto"/>
        </w:rPr>
      </w:pPr>
    </w:p>
    <w:p>
      <w:pPr>
        <w:ind w:left="1780" w:hanging="718"/>
        <w:spacing w:after="0"/>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Khaykin’s ownership includes 49,830 phantom stock units.</w:t>
      </w:r>
    </w:p>
    <w:p>
      <w:pPr>
        <w:spacing w:after="0" w:line="144" w:lineRule="exact"/>
        <w:rPr>
          <w:rFonts w:ascii="Arial" w:cs="Arial" w:eastAsia="Arial" w:hAnsi="Arial"/>
          <w:sz w:val="18"/>
          <w:szCs w:val="18"/>
          <w:color w:val="auto"/>
        </w:rPr>
      </w:pPr>
    </w:p>
    <w:p>
      <w:pPr>
        <w:ind w:left="1780" w:hanging="718"/>
        <w:spacing w:after="0"/>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Maddock’s ownership includes 11,889 phantom stock units.</w:t>
      </w:r>
    </w:p>
    <w:p>
      <w:pPr>
        <w:spacing w:after="0" w:line="157" w:lineRule="exact"/>
        <w:rPr>
          <w:rFonts w:ascii="Arial" w:cs="Arial" w:eastAsia="Arial" w:hAnsi="Arial"/>
          <w:sz w:val="18"/>
          <w:szCs w:val="18"/>
          <w:color w:val="auto"/>
        </w:rPr>
      </w:pPr>
    </w:p>
    <w:p>
      <w:pPr>
        <w:ind w:left="1780" w:right="339" w:hanging="718"/>
        <w:spacing w:after="0" w:line="268" w:lineRule="auto"/>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Gallagher’s information includes 139,709 Common Stock owned by the Gallagher Family Trust, 187,167 Restricted Stock Units earned but not yet vested, and 9,742 Performance Stock Units earned but not yet vested.</w:t>
      </w:r>
    </w:p>
    <w:p>
      <w:pPr>
        <w:spacing w:after="0" w:line="103" w:lineRule="exact"/>
        <w:rPr>
          <w:rFonts w:ascii="Arial" w:cs="Arial" w:eastAsia="Arial" w:hAnsi="Arial"/>
          <w:sz w:val="18"/>
          <w:szCs w:val="18"/>
          <w:color w:val="auto"/>
        </w:rPr>
      </w:pPr>
    </w:p>
    <w:p>
      <w:pPr>
        <w:jc w:val="both"/>
        <w:ind w:left="1780" w:right="339" w:hanging="718"/>
        <w:spacing w:after="0" w:line="268" w:lineRule="auto"/>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Jacobson’s ownership includes 33,894 Common Stock owned by the K&amp;A Jacobson 2014 Rev Trust, 44,926 Restricted Stock Units earned but not yet vested, and 2,087 Performance Stock Units earned but not yet vested.</w:t>
      </w:r>
    </w:p>
    <w:p>
      <w:pPr>
        <w:spacing w:after="0" w:line="89" w:lineRule="exact"/>
        <w:rPr>
          <w:rFonts w:ascii="Arial" w:cs="Arial" w:eastAsia="Arial" w:hAnsi="Arial"/>
          <w:sz w:val="18"/>
          <w:szCs w:val="18"/>
          <w:color w:val="auto"/>
        </w:rPr>
      </w:pPr>
    </w:p>
    <w:p>
      <w:pPr>
        <w:ind w:left="1780" w:right="359" w:hanging="718"/>
        <w:spacing w:after="0" w:line="287" w:lineRule="auto"/>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Arnold’s ownership includes 32,173 Restricted Stock Units earned but not yet vested and 1,670 Performance Stock Units earned but not yet vested.</w:t>
      </w:r>
    </w:p>
    <w:p>
      <w:pPr>
        <w:spacing w:after="0" w:line="85" w:lineRule="exact"/>
        <w:rPr>
          <w:rFonts w:ascii="Arial" w:cs="Arial" w:eastAsia="Arial" w:hAnsi="Arial"/>
          <w:sz w:val="18"/>
          <w:szCs w:val="18"/>
          <w:color w:val="auto"/>
        </w:rPr>
      </w:pPr>
    </w:p>
    <w:p>
      <w:pPr>
        <w:ind w:left="1780" w:right="439" w:hanging="718"/>
        <w:spacing w:after="0" w:line="287" w:lineRule="auto"/>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Chan’s ownership includes 20,479 Restricted Stock Units earned but not yet vested and 1,044 Performance Stock Units earned but not yet vested.</w:t>
      </w:r>
    </w:p>
    <w:p>
      <w:pPr>
        <w:spacing w:after="0" w:line="85" w:lineRule="exact"/>
        <w:rPr>
          <w:rFonts w:ascii="Arial" w:cs="Arial" w:eastAsia="Arial" w:hAnsi="Arial"/>
          <w:sz w:val="18"/>
          <w:szCs w:val="18"/>
          <w:color w:val="auto"/>
        </w:rPr>
      </w:pPr>
    </w:p>
    <w:p>
      <w:pPr>
        <w:ind w:left="1780" w:right="299" w:hanging="718"/>
        <w:spacing w:after="0" w:line="287" w:lineRule="auto"/>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McCoy’s ownership includes 34,690 Restricted Stock Units earned but not yet vested and 1,809 Performance Stock Units earned but not yet vested.</w:t>
      </w:r>
    </w:p>
    <w:p>
      <w:pPr>
        <w:spacing w:after="0" w:line="71" w:lineRule="exact"/>
        <w:rPr>
          <w:rFonts w:ascii="Arial" w:cs="Arial" w:eastAsia="Arial" w:hAnsi="Arial"/>
          <w:sz w:val="18"/>
          <w:szCs w:val="18"/>
          <w:color w:val="auto"/>
        </w:rPr>
      </w:pPr>
    </w:p>
    <w:p>
      <w:pPr>
        <w:ind w:left="1780" w:hanging="718"/>
        <w:spacing w:after="0"/>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Youngblood’s ownership includes 7,762 Restricted Stock Units earned but not yet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36     </w:t>
      </w:r>
      <w:r>
        <w:rPr>
          <w:sz w:val="1"/>
          <w:szCs w:val="1"/>
          <w:color w:val="auto"/>
        </w:rPr>
        <w:drawing>
          <wp:inline distT="0" distB="0" distL="0" distR="0">
            <wp:extent cx="1242695" cy="24003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00"/>
        <w:spacing w:after="0"/>
        <w:rPr>
          <w:sz w:val="20"/>
          <w:szCs w:val="20"/>
          <w:color w:val="auto"/>
        </w:rPr>
      </w:pPr>
      <w:r>
        <w:rPr>
          <w:rFonts w:ascii="Arial" w:cs="Arial" w:eastAsia="Arial" w:hAnsi="Arial"/>
          <w:sz w:val="40"/>
          <w:szCs w:val="40"/>
          <w:b w:val="1"/>
          <w:bCs w:val="1"/>
          <w:color w:val="FEFEFE"/>
        </w:rPr>
        <w:t>DELINQUENT SECTION 16(a) REPORTS</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ind w:left="1000" w:right="159"/>
        <w:spacing w:after="0" w:line="255" w:lineRule="auto"/>
        <w:rPr>
          <w:sz w:val="20"/>
          <w:szCs w:val="20"/>
          <w:color w:val="auto"/>
        </w:rPr>
      </w:pPr>
      <w:r>
        <w:rPr>
          <w:rFonts w:ascii="Arial" w:cs="Arial" w:eastAsia="Arial" w:hAnsi="Arial"/>
          <w:sz w:val="18"/>
          <w:szCs w:val="18"/>
          <w:color w:val="auto"/>
        </w:rPr>
        <w:t>Section 16(a) of the Exchange Act (“Section 16(a)”) requires that the Company’s Directors and executive officers and holders of more than 10% of the Company’s equity securities file with the SEC, within specified due dates, initial reports of beneficial ownership of the Company’s equity securities on Form 3; reports of changes in ownership of the Company’s equity securities on Form 4; and annual reports of changes in ownership of the Company’s equity securities on Form 5. As a matter of practice, the Company’s administrative staff assists Directors and executive officers with these reporting requirements. The Company is required to disclose whether it has knowledge that any person required to file such reports may have failed to do so in a timely manner.</w:t>
      </w:r>
    </w:p>
    <w:p>
      <w:pPr>
        <w:spacing w:after="0" w:line="117" w:lineRule="exact"/>
        <w:rPr>
          <w:sz w:val="20"/>
          <w:szCs w:val="20"/>
          <w:color w:val="auto"/>
        </w:rPr>
      </w:pPr>
    </w:p>
    <w:p>
      <w:pPr>
        <w:ind w:left="1000" w:right="379"/>
        <w:spacing w:after="0" w:line="262" w:lineRule="auto"/>
        <w:rPr>
          <w:sz w:val="20"/>
          <w:szCs w:val="20"/>
          <w:color w:val="auto"/>
        </w:rPr>
      </w:pPr>
      <w:r>
        <w:rPr>
          <w:rFonts w:ascii="Arial" w:cs="Arial" w:eastAsia="Arial" w:hAnsi="Arial"/>
          <w:sz w:val="18"/>
          <w:szCs w:val="18"/>
          <w:color w:val="auto"/>
        </w:rPr>
        <w:t>Based solely on a review of the copies of the fiscal year 2025 Section 16(a) reports in the Company’s possession and on written representations from the Company’s Directors and executive officers that no other reports were required during the year ended June 28, 2025, the Company believes that during the fiscal year ended June 28, 2025, all Section 16(a) filings were timely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140970</wp:posOffset>
            </wp:positionV>
            <wp:extent cx="5554980" cy="3257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22" w:lineRule="exact"/>
        <w:rPr>
          <w:sz w:val="20"/>
          <w:szCs w:val="20"/>
          <w:color w:val="auto"/>
        </w:rPr>
      </w:pPr>
    </w:p>
    <w:p>
      <w:pPr>
        <w:ind w:left="2000"/>
        <w:spacing w:after="0"/>
        <w:rPr>
          <w:sz w:val="20"/>
          <w:szCs w:val="20"/>
          <w:color w:val="auto"/>
        </w:rPr>
      </w:pPr>
      <w:r>
        <w:rPr>
          <w:rFonts w:ascii="Arial" w:cs="Arial" w:eastAsia="Arial" w:hAnsi="Arial"/>
          <w:sz w:val="40"/>
          <w:szCs w:val="40"/>
          <w:b w:val="1"/>
          <w:bCs w:val="1"/>
          <w:color w:val="FEFEFE"/>
        </w:rPr>
        <w:t>RELATED PERSON TRANSACTIONS</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ind w:left="1000" w:right="319"/>
        <w:spacing w:after="0" w:line="262" w:lineRule="auto"/>
        <w:rPr>
          <w:sz w:val="20"/>
          <w:szCs w:val="20"/>
          <w:color w:val="auto"/>
        </w:rPr>
      </w:pPr>
      <w:r>
        <w:rPr>
          <w:rFonts w:ascii="Arial" w:cs="Arial" w:eastAsia="Arial" w:hAnsi="Arial"/>
          <w:sz w:val="18"/>
          <w:szCs w:val="18"/>
          <w:color w:val="auto"/>
        </w:rPr>
        <w:t>The SEC rules generally define a related person transaction as any transaction, arrangement or relationship involving more than $120,000 in which the Company or any of its subsidiaries was, is, or will be a party to and in which a Director, executive officer, or their immediate family members, has a material direct or indirect interest.</w:t>
      </w:r>
    </w:p>
    <w:p>
      <w:pPr>
        <w:spacing w:after="0" w:line="109" w:lineRule="exact"/>
        <w:rPr>
          <w:sz w:val="20"/>
          <w:szCs w:val="20"/>
          <w:color w:val="auto"/>
        </w:rPr>
      </w:pPr>
    </w:p>
    <w:p>
      <w:pPr>
        <w:ind w:left="1000" w:right="159"/>
        <w:spacing w:after="0" w:line="259" w:lineRule="auto"/>
        <w:rPr>
          <w:sz w:val="20"/>
          <w:szCs w:val="20"/>
          <w:color w:val="auto"/>
        </w:rPr>
      </w:pPr>
      <w:r>
        <w:rPr>
          <w:rFonts w:ascii="Arial" w:cs="Arial" w:eastAsia="Arial" w:hAnsi="Arial"/>
          <w:sz w:val="18"/>
          <w:szCs w:val="18"/>
          <w:color w:val="auto"/>
        </w:rPr>
        <w:t>The Company has a variety of policies and procedures for identifying and reviewing related person transactions. The Company’s Code of Conduct and the Conflicts of Interest Policy generally prohibit and require the disclosure of any potential conflict of interest, including when the person will have a direct or indirect financial interest in a business with which the Company may have dealings. Exceptions to the policy’s prohibition must be pre-approved in writing.</w:t>
      </w:r>
    </w:p>
    <w:p>
      <w:pPr>
        <w:spacing w:after="0" w:line="112" w:lineRule="exact"/>
        <w:rPr>
          <w:sz w:val="20"/>
          <w:szCs w:val="20"/>
          <w:color w:val="auto"/>
        </w:rPr>
      </w:pPr>
    </w:p>
    <w:p>
      <w:pPr>
        <w:ind w:left="1000" w:right="179"/>
        <w:spacing w:after="0" w:line="256" w:lineRule="auto"/>
        <w:rPr>
          <w:sz w:val="20"/>
          <w:szCs w:val="20"/>
          <w:color w:val="auto"/>
        </w:rPr>
      </w:pPr>
      <w:r>
        <w:rPr>
          <w:rFonts w:ascii="Arial" w:cs="Arial" w:eastAsia="Arial" w:hAnsi="Arial"/>
          <w:sz w:val="18"/>
          <w:szCs w:val="18"/>
          <w:color w:val="auto"/>
        </w:rPr>
        <w:t>As part of the process for its quarterly reporting obligations pursuant to Section 13(a) or 15(d) of the Exchange Act, the Company’s disclosure committee reviews whether there are any related person transactions that should be disclosed in the Company’s SEC filings. In addition, executive officers and Directors each complete a Director and Officers’ Questionnaire annually and Director nominees complete a New Director Questionnaire before election, which requests information regarding related person transactions. The Audit Committee reviews and approves or recommends to the Board to approve, as appropriate, certain related party transactions.</w:t>
      </w:r>
    </w:p>
    <w:p>
      <w:pPr>
        <w:spacing w:after="0" w:line="10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Company’s Corporate Governance Guidelines also specify the standards for independence of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6858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1600" w:right="280"/>
        <w:spacing w:after="0" w:line="334" w:lineRule="auto"/>
        <w:rPr>
          <w:sz w:val="20"/>
          <w:szCs w:val="20"/>
          <w:color w:val="auto"/>
        </w:rPr>
      </w:pPr>
      <w:r>
        <w:rPr>
          <w:rFonts w:ascii="Arial" w:cs="Arial" w:eastAsia="Arial" w:hAnsi="Arial"/>
          <w:sz w:val="37"/>
          <w:szCs w:val="37"/>
          <w:b w:val="1"/>
          <w:bCs w:val="1"/>
          <w:color w:val="FEFEFE"/>
        </w:rPr>
        <w:t>PROPOSAL 2: ADVISORY VOTE ON NAMED EXECUTIVE OFFICER COMPENSATION</w:t>
      </w:r>
      <w:r>
        <w:rPr>
          <w:rFonts w:ascii="Times New Roman" w:cs="Times New Roman" w:eastAsia="Times New Roman" w:hAnsi="Times New Roman"/>
          <w:sz w:val="16"/>
          <w:szCs w:val="16"/>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49530</wp:posOffset>
            </wp:positionV>
            <wp:extent cx="5554980" cy="7886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54980" cy="788670"/>
                    </a:xfrm>
                    <a:prstGeom prst="rect">
                      <a:avLst/>
                    </a:prstGeom>
                    <a:noFill/>
                  </pic:spPr>
                </pic:pic>
              </a:graphicData>
            </a:graphic>
          </wp:anchor>
        </w:drawing>
      </w:r>
    </w:p>
    <w:p>
      <w:pPr>
        <w:spacing w:after="0" w:line="147"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FEFEFE"/>
        </w:rPr>
        <w:t>RECOMMENDATION OF THE BOARD</w:t>
      </w:r>
    </w:p>
    <w:p>
      <w:pPr>
        <w:spacing w:after="0" w:line="210" w:lineRule="exact"/>
        <w:rPr>
          <w:sz w:val="20"/>
          <w:szCs w:val="20"/>
          <w:color w:val="auto"/>
        </w:rPr>
      </w:pPr>
    </w:p>
    <w:p>
      <w:pPr>
        <w:ind w:left="2540" w:right="779"/>
        <w:spacing w:after="0" w:line="273" w:lineRule="auto"/>
        <w:rPr>
          <w:sz w:val="20"/>
          <w:szCs w:val="20"/>
          <w:color w:val="auto"/>
        </w:rPr>
      </w:pPr>
      <w:r>
        <w:rPr>
          <w:rFonts w:ascii="Arial" w:cs="Arial" w:eastAsia="Arial" w:hAnsi="Arial"/>
          <w:sz w:val="18"/>
          <w:szCs w:val="18"/>
          <w:b w:val="1"/>
          <w:bCs w:val="1"/>
          <w:color w:val="auto"/>
        </w:rPr>
        <w:t xml:space="preserve">The Board recommends that shareholders vote </w:t>
      </w:r>
      <w:r>
        <w:rPr>
          <w:rFonts w:ascii="Arial" w:cs="Arial" w:eastAsia="Arial" w:hAnsi="Arial"/>
          <w:sz w:val="18"/>
          <w:szCs w:val="18"/>
          <w:b w:val="1"/>
          <w:bCs w:val="1"/>
          <w:color w:val="53C072"/>
        </w:rPr>
        <w:t>FOR</w:t>
      </w:r>
      <w:r>
        <w:rPr>
          <w:rFonts w:ascii="Arial" w:cs="Arial" w:eastAsia="Arial" w:hAnsi="Arial"/>
          <w:sz w:val="18"/>
          <w:szCs w:val="18"/>
          <w:b w:val="1"/>
          <w:bCs w:val="1"/>
          <w:color w:val="auto"/>
        </w:rPr>
        <w:t xml:space="preserve"> the advisory vote on the compensation of the Named Executive Officers as disclosed in this Proxy Statement.</w:t>
      </w:r>
    </w:p>
    <w:p>
      <w:pPr>
        <w:spacing w:after="0" w:line="21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Description of Proposal</w:t>
      </w:r>
    </w:p>
    <w:p>
      <w:pPr>
        <w:spacing w:after="0" w:line="94" w:lineRule="exact"/>
        <w:rPr>
          <w:sz w:val="20"/>
          <w:szCs w:val="20"/>
          <w:color w:val="auto"/>
        </w:rPr>
      </w:pPr>
    </w:p>
    <w:p>
      <w:pPr>
        <w:ind w:left="1000" w:right="219"/>
        <w:spacing w:after="0" w:line="261" w:lineRule="auto"/>
        <w:rPr>
          <w:sz w:val="20"/>
          <w:szCs w:val="20"/>
          <w:color w:val="auto"/>
        </w:rPr>
      </w:pPr>
      <w:r>
        <w:rPr>
          <w:rFonts w:ascii="Arial" w:cs="Arial" w:eastAsia="Arial" w:hAnsi="Arial"/>
          <w:sz w:val="17"/>
          <w:szCs w:val="17"/>
          <w:color w:val="auto"/>
        </w:rPr>
        <w:t>As part of the Company’s commitment to high standards of governance and as required by Section 14A of the Exchange Act, the Board of Directors requests that the shareholders approve, on a non-binding advisory basis, the compensation of the Company’s Named Executive Officers (“NEOs”) as disclosed in this Proxy Statement.</w:t>
      </w:r>
    </w:p>
    <w:p>
      <w:pPr>
        <w:spacing w:after="0" w:line="1" w:lineRule="exact"/>
        <w:rPr>
          <w:sz w:val="20"/>
          <w:szCs w:val="20"/>
          <w:color w:val="auto"/>
        </w:rPr>
      </w:pPr>
    </w:p>
    <w:p>
      <w:pPr>
        <w:ind w:left="1000" w:right="159"/>
        <w:spacing w:after="0" w:line="272" w:lineRule="auto"/>
        <w:rPr>
          <w:sz w:val="20"/>
          <w:szCs w:val="20"/>
          <w:color w:val="auto"/>
        </w:rPr>
      </w:pPr>
      <w:r>
        <w:rPr>
          <w:rFonts w:ascii="Arial" w:cs="Arial" w:eastAsia="Arial" w:hAnsi="Arial"/>
          <w:sz w:val="17"/>
          <w:szCs w:val="17"/>
          <w:color w:val="auto"/>
        </w:rPr>
        <w:t>This proposal, commonly known as a “say on pay” proposal, gives shareholders the opportunity to express their views on the compensation of the NEOs. It is not intended to address any specific item of compensation, but rather overall NEO compensation and the philosophy, policies, and practices described in this Proxy Statement.</w:t>
      </w:r>
    </w:p>
    <w:p>
      <w:pPr>
        <w:spacing w:after="0" w:line="28" w:lineRule="exact"/>
        <w:rPr>
          <w:sz w:val="20"/>
          <w:szCs w:val="20"/>
          <w:color w:val="auto"/>
        </w:rPr>
      </w:pPr>
    </w:p>
    <w:p>
      <w:pPr>
        <w:ind w:left="1000" w:right="239"/>
        <w:spacing w:after="0" w:line="254" w:lineRule="auto"/>
        <w:rPr>
          <w:sz w:val="20"/>
          <w:szCs w:val="20"/>
          <w:color w:val="auto"/>
        </w:rPr>
      </w:pPr>
      <w:r>
        <w:rPr>
          <w:rFonts w:ascii="Arial" w:cs="Arial" w:eastAsia="Arial" w:hAnsi="Arial"/>
          <w:sz w:val="20"/>
          <w:szCs w:val="20"/>
          <w:b w:val="1"/>
          <w:bCs w:val="1"/>
          <w:color w:val="auto"/>
        </w:rPr>
        <w:t>Shareholders are urged to read the “Compensation Discussion and Analysis” along with the compensation tables and narrative discussion that follows, which discuss how the compensation program is implemented with respect to the NEOs.</w:t>
      </w:r>
    </w:p>
    <w:p>
      <w:pPr>
        <w:spacing w:after="0" w:line="44" w:lineRule="exact"/>
        <w:rPr>
          <w:sz w:val="20"/>
          <w:szCs w:val="20"/>
          <w:color w:val="auto"/>
        </w:rPr>
      </w:pPr>
    </w:p>
    <w:p>
      <w:pPr>
        <w:ind w:left="1000" w:right="439"/>
        <w:spacing w:after="0" w:line="271" w:lineRule="auto"/>
        <w:rPr>
          <w:sz w:val="20"/>
          <w:szCs w:val="20"/>
          <w:color w:val="auto"/>
        </w:rPr>
      </w:pPr>
      <w:r>
        <w:rPr>
          <w:rFonts w:ascii="Arial" w:cs="Arial" w:eastAsia="Arial" w:hAnsi="Arial"/>
          <w:sz w:val="18"/>
          <w:szCs w:val="18"/>
          <w:color w:val="auto"/>
        </w:rPr>
        <w:t>The Board believes that the NEO’s compensation as described in this Proxy Statement was appropriate and recommends a vote “FOR” the following resolution:</w:t>
      </w:r>
    </w:p>
    <w:p>
      <w:pPr>
        <w:spacing w:after="0" w:line="32" w:lineRule="exact"/>
        <w:rPr>
          <w:sz w:val="20"/>
          <w:szCs w:val="20"/>
          <w:color w:val="auto"/>
        </w:rPr>
      </w:pPr>
    </w:p>
    <w:p>
      <w:pPr>
        <w:ind w:left="1340" w:right="399"/>
        <w:spacing w:after="0" w:line="271" w:lineRule="auto"/>
        <w:rPr>
          <w:sz w:val="20"/>
          <w:szCs w:val="20"/>
          <w:color w:val="auto"/>
        </w:rPr>
      </w:pPr>
      <w:r>
        <w:rPr>
          <w:rFonts w:ascii="Arial" w:cs="Arial" w:eastAsia="Arial" w:hAnsi="Arial"/>
          <w:sz w:val="17"/>
          <w:szCs w:val="17"/>
          <w:color w:val="auto"/>
        </w:rPr>
        <w:t>RESOLVED, that the Company’s shareholders hereby approve, on a non-binding advisory basis, the compensation paid to the Company’s Named Executive Officers as disclosed in the Proxy Statement for the 2025 Annual Meeting of Shareholders, pursuant to the compensation disclosure rules of the SEC, including the Compensation Discussion and Analysis, compensation tables, and narrative discussion.</w:t>
      </w:r>
    </w:p>
    <w:p>
      <w:pPr>
        <w:spacing w:after="0" w:line="22" w:lineRule="exact"/>
        <w:rPr>
          <w:sz w:val="20"/>
          <w:szCs w:val="20"/>
          <w:color w:val="auto"/>
        </w:rPr>
      </w:pPr>
    </w:p>
    <w:p>
      <w:pPr>
        <w:ind w:left="1000" w:right="259"/>
        <w:spacing w:after="0" w:line="247" w:lineRule="auto"/>
        <w:rPr>
          <w:sz w:val="20"/>
          <w:szCs w:val="20"/>
          <w:color w:val="auto"/>
        </w:rPr>
      </w:pPr>
      <w:r>
        <w:rPr>
          <w:rFonts w:ascii="Arial" w:cs="Arial" w:eastAsia="Arial" w:hAnsi="Arial"/>
          <w:sz w:val="18"/>
          <w:szCs w:val="18"/>
          <w:color w:val="auto"/>
        </w:rPr>
        <w:t>Although the vote is non-binding, the Compensation and Leadership Development Committee and the Board value shareholder opinions. If a significant number of votes are cast against the disclosed NEO compensation, the Board and Compensation and Leadership Development Committee will consider the shareholders’ concerns, evaluate what actions are necessary to address those concerns, and take such concerns into account in future determinations concerning the executive compensation program.</w:t>
      </w:r>
    </w:p>
    <w:p>
      <w:pPr>
        <w:spacing w:after="0" w:line="55" w:lineRule="exact"/>
        <w:rPr>
          <w:sz w:val="20"/>
          <w:szCs w:val="20"/>
          <w:color w:val="auto"/>
        </w:rPr>
      </w:pPr>
    </w:p>
    <w:p>
      <w:pPr>
        <w:ind w:left="1000" w:right="379"/>
        <w:spacing w:after="0" w:line="271" w:lineRule="auto"/>
        <w:rPr>
          <w:sz w:val="20"/>
          <w:szCs w:val="20"/>
          <w:color w:val="auto"/>
        </w:rPr>
      </w:pPr>
      <w:r>
        <w:rPr>
          <w:rFonts w:ascii="Arial" w:cs="Arial" w:eastAsia="Arial" w:hAnsi="Arial"/>
          <w:sz w:val="18"/>
          <w:szCs w:val="18"/>
          <w:color w:val="auto"/>
        </w:rPr>
        <w:t>The Company currently conducts an annual advisory vote on NEO compensation and expects to conduct the next advisory vote at the 2026 Annual Meeting of Shareholders.</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Vote Required for Approval</w:t>
      </w:r>
    </w:p>
    <w:p>
      <w:pPr>
        <w:spacing w:after="0" w:line="94" w:lineRule="exact"/>
        <w:rPr>
          <w:sz w:val="20"/>
          <w:szCs w:val="20"/>
          <w:color w:val="auto"/>
        </w:rPr>
      </w:pPr>
    </w:p>
    <w:p>
      <w:pPr>
        <w:ind w:left="1000" w:right="179"/>
        <w:spacing w:after="0" w:line="262" w:lineRule="auto"/>
        <w:rPr>
          <w:sz w:val="20"/>
          <w:szCs w:val="20"/>
          <w:color w:val="auto"/>
        </w:rPr>
      </w:pPr>
      <w:r>
        <w:rPr>
          <w:rFonts w:ascii="Arial" w:cs="Arial" w:eastAsia="Arial" w:hAnsi="Arial"/>
          <w:sz w:val="17"/>
          <w:szCs w:val="17"/>
          <w:color w:val="auto"/>
        </w:rPr>
        <w:t>For approval, this proposal must receive affirmative votes from a simple majority of shareholder votes cast at the Annual Meeting. Abstentions are not counted in determining the votes cast. Brokers who hold shares of Common Stock as nominees will not have discretionary authority to vote such Common Stock on this proposal. Therefore, a shareholder who does not vote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w:t>
      </w:r>
    </w:p>
    <w:p>
      <w:pPr>
        <w:spacing w:after="0" w:line="168"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Proxy</w:t>
      </w:r>
    </w:p>
    <w:p>
      <w:pPr>
        <w:spacing w:after="0" w:line="94" w:lineRule="exact"/>
        <w:rPr>
          <w:sz w:val="20"/>
          <w:szCs w:val="20"/>
          <w:color w:val="auto"/>
        </w:rPr>
      </w:pPr>
    </w:p>
    <w:p>
      <w:pPr>
        <w:ind w:left="1000" w:right="359"/>
        <w:spacing w:after="0" w:line="261" w:lineRule="auto"/>
        <w:rPr>
          <w:sz w:val="20"/>
          <w:szCs w:val="20"/>
          <w:color w:val="auto"/>
        </w:rPr>
      </w:pPr>
      <w:r>
        <w:rPr>
          <w:rFonts w:ascii="Arial" w:cs="Arial" w:eastAsia="Arial" w:hAnsi="Arial"/>
          <w:sz w:val="18"/>
          <w:szCs w:val="18"/>
          <w:color w:val="auto"/>
        </w:rPr>
        <w:t>Unless otherwise directed by the shareholder, the persons named as proxies on the proxy card will vote each properly signed and returned proxy card FOR the approval of the compensation of the Named Executive Officers as disclosed in this Proxy Statement.</w:t>
      </w:r>
    </w:p>
    <w:p>
      <w:pPr>
        <w:spacing w:after="0" w:line="10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38     </w:t>
      </w:r>
      <w:r>
        <w:rPr>
          <w:sz w:val="1"/>
          <w:szCs w:val="1"/>
          <w:color w:val="auto"/>
        </w:rPr>
        <w:drawing>
          <wp:inline distT="0" distB="0" distL="0" distR="0">
            <wp:extent cx="1242695" cy="24003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685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860"/>
        <w:spacing w:after="0"/>
        <w:rPr>
          <w:sz w:val="20"/>
          <w:szCs w:val="20"/>
          <w:color w:val="auto"/>
        </w:rPr>
      </w:pPr>
      <w:r>
        <w:rPr>
          <w:rFonts w:ascii="Arial" w:cs="Arial" w:eastAsia="Arial" w:hAnsi="Arial"/>
          <w:sz w:val="38"/>
          <w:szCs w:val="38"/>
          <w:b w:val="1"/>
          <w:bCs w:val="1"/>
          <w:color w:val="FEFEFE"/>
        </w:rPr>
        <w:t>COMPENSATION DISCUSSION AND</w:t>
      </w:r>
    </w:p>
    <w:p>
      <w:pPr>
        <w:spacing w:after="0" w:line="76" w:lineRule="exact"/>
        <w:rPr>
          <w:sz w:val="20"/>
          <w:szCs w:val="20"/>
          <w:color w:val="auto"/>
        </w:rPr>
      </w:pPr>
    </w:p>
    <w:p>
      <w:pPr>
        <w:jc w:val="center"/>
        <w:ind w:right="-900"/>
        <w:spacing w:after="0"/>
        <w:rPr>
          <w:sz w:val="20"/>
          <w:szCs w:val="20"/>
          <w:color w:val="auto"/>
        </w:rPr>
      </w:pPr>
      <w:r>
        <w:rPr>
          <w:rFonts w:ascii="Arial" w:cs="Arial" w:eastAsia="Arial" w:hAnsi="Arial"/>
          <w:sz w:val="40"/>
          <w:szCs w:val="40"/>
          <w:b w:val="1"/>
          <w:bCs w:val="1"/>
          <w:color w:val="FEFEFE"/>
        </w:rPr>
        <w:t>ANALYSIS</w:t>
      </w:r>
      <w:r>
        <w:rPr>
          <w:rFonts w:ascii="Times New Roman" w:cs="Times New Roman" w:eastAsia="Times New Roman" w:hAnsi="Times New Roman"/>
          <w:sz w:val="17"/>
          <w:szCs w:val="17"/>
          <w:color w:val="FEFEFE"/>
        </w:rPr>
        <w:t>​</w:t>
      </w:r>
    </w:p>
    <w:p>
      <w:pPr>
        <w:sectPr>
          <w:pgSz w:w="11900" w:h="16838" w:orient="portrait"/>
          <w:cols w:equalWidth="0" w:num="1">
            <w:col w:w="9879"/>
          </w:cols>
          <w:pgMar w:left="580" w:top="97" w:right="1440" w:bottom="1440" w:gutter="0" w:footer="0" w:header="0"/>
        </w:sectPr>
      </w:pPr>
    </w:p>
    <w:p>
      <w:pPr>
        <w:spacing w:after="0" w:line="286" w:lineRule="exact"/>
        <w:rPr>
          <w:sz w:val="20"/>
          <w:szCs w:val="20"/>
          <w:color w:val="auto"/>
        </w:rPr>
      </w:pPr>
    </w:p>
    <w:tbl>
      <w:tblPr>
        <w:tblLayout w:type="fixed"/>
        <w:tblInd w:w="990" w:type="dxa"/>
        <w:tblCellMar>
          <w:top w:w="0" w:type="dxa"/>
          <w:left w:w="0" w:type="dxa"/>
          <w:bottom w:w="0" w:type="dxa"/>
          <w:right w:w="0" w:type="dxa"/>
        </w:tblCellMar>
      </w:tblPr>
      <w:tr>
        <w:trPr>
          <w:trHeight w:val="247"/>
        </w:trPr>
        <w:tc>
          <w:tcPr>
            <w:tcW w:w="140" w:type="dxa"/>
            <w:vAlign w:val="bottom"/>
            <w:tcBorders>
              <w:left w:val="single" w:sz="8" w:color="53C072"/>
            </w:tcBorders>
            <w:shd w:val="clear" w:color="auto" w:fill="53C072"/>
          </w:tcPr>
          <w:p>
            <w:pPr>
              <w:spacing w:after="0"/>
              <w:rPr>
                <w:sz w:val="21"/>
                <w:szCs w:val="21"/>
                <w:color w:val="auto"/>
              </w:rPr>
            </w:pPr>
          </w:p>
        </w:tc>
        <w:tc>
          <w:tcPr>
            <w:tcW w:w="3460" w:type="dxa"/>
            <w:vAlign w:val="bottom"/>
            <w:gridSpan w:val="24"/>
            <w:shd w:val="clear" w:color="auto" w:fill="53C072"/>
          </w:tcPr>
          <w:p>
            <w:pPr>
              <w:spacing w:after="0"/>
              <w:rPr>
                <w:sz w:val="20"/>
                <w:szCs w:val="20"/>
                <w:color w:val="auto"/>
              </w:rPr>
            </w:pPr>
            <w:r>
              <w:rPr>
                <w:rFonts w:ascii="Arial" w:cs="Arial" w:eastAsia="Arial" w:hAnsi="Arial"/>
                <w:sz w:val="20"/>
                <w:szCs w:val="20"/>
                <w:b w:val="1"/>
                <w:bCs w:val="1"/>
                <w:color w:val="FFFFFF"/>
              </w:rPr>
              <w:t>Table of Contents</w:t>
            </w:r>
          </w:p>
        </w:tc>
        <w:tc>
          <w:tcPr>
            <w:tcW w:w="680" w:type="dxa"/>
            <w:vAlign w:val="bottom"/>
            <w:tcBorders>
              <w:right w:val="single" w:sz="8" w:color="53C072"/>
            </w:tcBorders>
            <w:gridSpan w:val="2"/>
            <w:shd w:val="clear" w:color="auto" w:fill="53C072"/>
          </w:tcPr>
          <w:p>
            <w:pPr>
              <w:jc w:val="right"/>
              <w:spacing w:after="0"/>
              <w:rPr>
                <w:sz w:val="20"/>
                <w:szCs w:val="20"/>
                <w:color w:val="auto"/>
              </w:rPr>
            </w:pPr>
            <w:r>
              <w:rPr>
                <w:rFonts w:ascii="Arial" w:cs="Arial" w:eastAsia="Arial" w:hAnsi="Arial"/>
                <w:sz w:val="16"/>
                <w:szCs w:val="16"/>
                <w:b w:val="1"/>
                <w:bCs w:val="1"/>
                <w:color w:val="FFFFFF"/>
              </w:rPr>
              <w:t>Page</w:t>
            </w:r>
            <w:r>
              <w:rPr>
                <w:rFonts w:ascii="Arial" w:cs="Arial" w:eastAsia="Arial" w:hAnsi="Arial"/>
                <w:sz w:val="19"/>
                <w:szCs w:val="19"/>
                <w:b w:val="1"/>
                <w:bCs w:val="1"/>
                <w:color w:val="FFFFFF"/>
              </w:rPr>
              <w:t>​</w:t>
            </w:r>
          </w:p>
        </w:tc>
      </w:tr>
      <w:tr>
        <w:trPr>
          <w:trHeight w:val="176"/>
        </w:trPr>
        <w:tc>
          <w:tcPr>
            <w:tcW w:w="140" w:type="dxa"/>
            <w:vAlign w:val="bottom"/>
            <w:tcBorders>
              <w:left w:val="single" w:sz="8" w:color="53C072"/>
            </w:tcBorders>
            <w:shd w:val="clear" w:color="auto" w:fill="CBECD5"/>
          </w:tcPr>
          <w:p>
            <w:pPr>
              <w:spacing w:after="0"/>
              <w:rPr>
                <w:sz w:val="15"/>
                <w:szCs w:val="15"/>
                <w:color w:val="auto"/>
              </w:rPr>
            </w:pPr>
          </w:p>
        </w:tc>
        <w:tc>
          <w:tcPr>
            <w:tcW w:w="3460" w:type="dxa"/>
            <w:vAlign w:val="bottom"/>
            <w:gridSpan w:val="24"/>
            <w:shd w:val="clear" w:color="auto" w:fill="CBECD5"/>
          </w:tcPr>
          <w:p>
            <w:pPr>
              <w:spacing w:after="0" w:line="175" w:lineRule="exact"/>
              <w:rPr>
                <w:sz w:val="20"/>
                <w:szCs w:val="20"/>
                <w:color w:val="auto"/>
              </w:rPr>
            </w:pPr>
            <w:r>
              <w:rPr>
                <w:rFonts w:ascii="Arial" w:cs="Arial" w:eastAsia="Arial" w:hAnsi="Arial"/>
                <w:sz w:val="16"/>
                <w:szCs w:val="16"/>
                <w:b w:val="1"/>
                <w:bCs w:val="1"/>
                <w:color w:val="0000EE"/>
              </w:rPr>
              <w:t>Executive Summary</w:t>
            </w:r>
          </w:p>
        </w:tc>
        <w:tc>
          <w:tcPr>
            <w:tcW w:w="680" w:type="dxa"/>
            <w:vAlign w:val="bottom"/>
            <w:tcBorders>
              <w:right w:val="single" w:sz="8" w:color="53C072"/>
            </w:tcBorders>
            <w:gridSpan w:val="2"/>
            <w:shd w:val="clear" w:color="auto" w:fill="CBECD5"/>
          </w:tcPr>
          <w:p>
            <w:pPr>
              <w:jc w:val="right"/>
              <w:spacing w:after="0" w:line="175" w:lineRule="exact"/>
              <w:rPr>
                <w:sz w:val="20"/>
                <w:szCs w:val="20"/>
                <w:color w:val="auto"/>
              </w:rPr>
            </w:pPr>
            <w:r>
              <w:rPr>
                <w:rFonts w:ascii="Arial" w:cs="Arial" w:eastAsia="Arial" w:hAnsi="Arial"/>
                <w:sz w:val="16"/>
                <w:szCs w:val="16"/>
                <w:color w:val="0000EE"/>
              </w:rPr>
              <w:t>39</w:t>
            </w:r>
          </w:p>
        </w:tc>
      </w:tr>
      <w:tr>
        <w:trPr>
          <w:trHeight w:val="20"/>
        </w:trPr>
        <w:tc>
          <w:tcPr>
            <w:tcW w:w="140" w:type="dxa"/>
            <w:vAlign w:val="bottom"/>
            <w:tcBorders>
              <w:left w:val="single" w:sz="8" w:color="53C072"/>
            </w:tcBorders>
            <w:shd w:val="clear" w:color="auto" w:fill="CBECD5"/>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CBECD5"/>
          </w:tcPr>
          <w:p>
            <w:pPr>
              <w:spacing w:after="0" w:line="20" w:lineRule="exact"/>
              <w:rPr>
                <w:sz w:val="1"/>
                <w:szCs w:val="1"/>
                <w:color w:val="auto"/>
              </w:rPr>
            </w:pPr>
          </w:p>
        </w:tc>
        <w:tc>
          <w:tcPr>
            <w:tcW w:w="40" w:type="dxa"/>
            <w:vAlign w:val="bottom"/>
            <w:shd w:val="clear" w:color="auto" w:fill="CBECD5"/>
          </w:tcPr>
          <w:p>
            <w:pPr>
              <w:spacing w:after="0" w:line="20" w:lineRule="exact"/>
              <w:rPr>
                <w:sz w:val="1"/>
                <w:szCs w:val="1"/>
                <w:color w:val="auto"/>
              </w:rPr>
            </w:pPr>
          </w:p>
        </w:tc>
        <w:tc>
          <w:tcPr>
            <w:tcW w:w="6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60" w:type="dxa"/>
            <w:vAlign w:val="bottom"/>
            <w:shd w:val="clear" w:color="auto" w:fill="CBECD5"/>
          </w:tcPr>
          <w:p>
            <w:pPr>
              <w:spacing w:after="0" w:line="20" w:lineRule="exact"/>
              <w:rPr>
                <w:sz w:val="1"/>
                <w:szCs w:val="1"/>
                <w:color w:val="auto"/>
              </w:rPr>
            </w:pPr>
          </w:p>
        </w:tc>
        <w:tc>
          <w:tcPr>
            <w:tcW w:w="220" w:type="dxa"/>
            <w:vAlign w:val="bottom"/>
            <w:shd w:val="clear" w:color="auto" w:fill="CBECD5"/>
          </w:tcPr>
          <w:p>
            <w:pPr>
              <w:spacing w:after="0" w:line="20" w:lineRule="exact"/>
              <w:rPr>
                <w:sz w:val="1"/>
                <w:szCs w:val="1"/>
                <w:color w:val="auto"/>
              </w:rPr>
            </w:pPr>
          </w:p>
        </w:tc>
        <w:tc>
          <w:tcPr>
            <w:tcW w:w="80" w:type="dxa"/>
            <w:vAlign w:val="bottom"/>
            <w:shd w:val="clear" w:color="auto" w:fill="CBECD5"/>
          </w:tcPr>
          <w:p>
            <w:pPr>
              <w:spacing w:after="0" w:line="20" w:lineRule="exact"/>
              <w:rPr>
                <w:sz w:val="1"/>
                <w:szCs w:val="1"/>
                <w:color w:val="auto"/>
              </w:rPr>
            </w:pPr>
          </w:p>
        </w:tc>
        <w:tc>
          <w:tcPr>
            <w:tcW w:w="100" w:type="dxa"/>
            <w:vAlign w:val="bottom"/>
            <w:tcBorders>
              <w:right w:val="single" w:sz="8" w:color="CBECD5"/>
            </w:tcBorders>
            <w:shd w:val="clear" w:color="auto" w:fill="CBECD5"/>
          </w:tcPr>
          <w:p>
            <w:pPr>
              <w:spacing w:after="0" w:line="20" w:lineRule="exact"/>
              <w:rPr>
                <w:sz w:val="1"/>
                <w:szCs w:val="1"/>
                <w:color w:val="auto"/>
              </w:rPr>
            </w:pPr>
          </w:p>
        </w:tc>
        <w:tc>
          <w:tcPr>
            <w:tcW w:w="260" w:type="dxa"/>
            <w:vAlign w:val="bottom"/>
            <w:shd w:val="clear" w:color="auto" w:fill="CBECD5"/>
          </w:tcPr>
          <w:p>
            <w:pPr>
              <w:spacing w:after="0" w:line="20" w:lineRule="exact"/>
              <w:rPr>
                <w:sz w:val="1"/>
                <w:szCs w:val="1"/>
                <w:color w:val="auto"/>
              </w:rPr>
            </w:pPr>
          </w:p>
        </w:tc>
        <w:tc>
          <w:tcPr>
            <w:tcW w:w="40" w:type="dxa"/>
            <w:vAlign w:val="bottom"/>
            <w:shd w:val="clear" w:color="auto" w:fill="CBECD5"/>
          </w:tcPr>
          <w:p>
            <w:pPr>
              <w:spacing w:after="0" w:line="20" w:lineRule="exact"/>
              <w:rPr>
                <w:sz w:val="1"/>
                <w:szCs w:val="1"/>
                <w:color w:val="auto"/>
              </w:rPr>
            </w:pPr>
          </w:p>
        </w:tc>
        <w:tc>
          <w:tcPr>
            <w:tcW w:w="120" w:type="dxa"/>
            <w:vAlign w:val="bottom"/>
            <w:tcBorders>
              <w:right w:val="single" w:sz="8" w:color="CBECD5"/>
            </w:tcBorders>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60" w:type="dxa"/>
            <w:vAlign w:val="bottom"/>
            <w:shd w:val="clear" w:color="auto" w:fill="CBECD5"/>
          </w:tcPr>
          <w:p>
            <w:pPr>
              <w:spacing w:after="0" w:line="20" w:lineRule="exact"/>
              <w:rPr>
                <w:sz w:val="1"/>
                <w:szCs w:val="1"/>
                <w:color w:val="auto"/>
              </w:rPr>
            </w:pPr>
          </w:p>
        </w:tc>
        <w:tc>
          <w:tcPr>
            <w:tcW w:w="60" w:type="dxa"/>
            <w:vAlign w:val="bottom"/>
            <w:shd w:val="clear" w:color="auto" w:fill="CBECD5"/>
          </w:tcPr>
          <w:p>
            <w:pPr>
              <w:spacing w:after="0" w:line="20" w:lineRule="exact"/>
              <w:rPr>
                <w:sz w:val="1"/>
                <w:szCs w:val="1"/>
                <w:color w:val="auto"/>
              </w:rPr>
            </w:pPr>
          </w:p>
        </w:tc>
        <w:tc>
          <w:tcPr>
            <w:tcW w:w="180" w:type="dxa"/>
            <w:vAlign w:val="bottom"/>
            <w:shd w:val="clear" w:color="auto" w:fill="CBECD5"/>
          </w:tcPr>
          <w:p>
            <w:pPr>
              <w:spacing w:after="0" w:line="20" w:lineRule="exact"/>
              <w:rPr>
                <w:sz w:val="1"/>
                <w:szCs w:val="1"/>
                <w:color w:val="auto"/>
              </w:rPr>
            </w:pPr>
          </w:p>
        </w:tc>
        <w:tc>
          <w:tcPr>
            <w:tcW w:w="200" w:type="dxa"/>
            <w:vAlign w:val="bottom"/>
            <w:shd w:val="clear" w:color="auto" w:fill="CBECD5"/>
          </w:tcPr>
          <w:p>
            <w:pPr>
              <w:spacing w:after="0" w:line="20" w:lineRule="exact"/>
              <w:rPr>
                <w:sz w:val="1"/>
                <w:szCs w:val="1"/>
                <w:color w:val="auto"/>
              </w:rPr>
            </w:pPr>
          </w:p>
        </w:tc>
        <w:tc>
          <w:tcPr>
            <w:tcW w:w="14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09"/>
        </w:trPr>
        <w:tc>
          <w:tcPr>
            <w:tcW w:w="140" w:type="dxa"/>
            <w:vAlign w:val="bottom"/>
            <w:tcBorders>
              <w:left w:val="single" w:sz="8" w:color="53C072"/>
            </w:tcBorders>
            <w:shd w:val="clear" w:color="auto" w:fill="CBECD5"/>
          </w:tcPr>
          <w:p>
            <w:pPr>
              <w:spacing w:after="0"/>
              <w:rPr>
                <w:sz w:val="18"/>
                <w:szCs w:val="18"/>
                <w:color w:val="auto"/>
              </w:rPr>
            </w:pPr>
          </w:p>
        </w:tc>
        <w:tc>
          <w:tcPr>
            <w:tcW w:w="180" w:type="dxa"/>
            <w:vAlign w:val="bottom"/>
            <w:tcBorders>
              <w:right w:val="single" w:sz="8" w:color="CBECD5"/>
            </w:tcBorders>
            <w:shd w:val="clear" w:color="auto" w:fill="CBECD5"/>
          </w:tcPr>
          <w:p>
            <w:pPr>
              <w:spacing w:after="0"/>
              <w:rPr>
                <w:sz w:val="18"/>
                <w:szCs w:val="18"/>
                <w:color w:val="auto"/>
              </w:rPr>
            </w:pPr>
          </w:p>
        </w:tc>
        <w:tc>
          <w:tcPr>
            <w:tcW w:w="3280" w:type="dxa"/>
            <w:vAlign w:val="bottom"/>
            <w:gridSpan w:val="23"/>
            <w:shd w:val="clear" w:color="auto" w:fill="CBECD5"/>
          </w:tcPr>
          <w:p>
            <w:pPr>
              <w:spacing w:after="0"/>
              <w:rPr>
                <w:sz w:val="20"/>
                <w:szCs w:val="20"/>
                <w:color w:val="auto"/>
              </w:rPr>
            </w:pPr>
            <w:r>
              <w:rPr>
                <w:rFonts w:ascii="Arial" w:cs="Arial" w:eastAsia="Arial" w:hAnsi="Arial"/>
                <w:sz w:val="16"/>
                <w:szCs w:val="16"/>
                <w:color w:val="0000EE"/>
              </w:rPr>
              <w:t>Named Executive Officers (NEOs)</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39</w:t>
            </w:r>
          </w:p>
        </w:tc>
      </w:tr>
      <w:tr>
        <w:trPr>
          <w:trHeight w:val="20"/>
        </w:trPr>
        <w:tc>
          <w:tcPr>
            <w:tcW w:w="140" w:type="dxa"/>
            <w:vAlign w:val="bottom"/>
            <w:tcBorders>
              <w:left w:val="single" w:sz="8" w:color="53C072"/>
            </w:tcBorders>
            <w:shd w:val="clear" w:color="auto" w:fill="CBECD5"/>
          </w:tcPr>
          <w:p>
            <w:pPr>
              <w:spacing w:after="0" w:line="20" w:lineRule="exact"/>
              <w:rPr>
                <w:sz w:val="1"/>
                <w:szCs w:val="1"/>
                <w:color w:val="auto"/>
              </w:rPr>
            </w:pPr>
          </w:p>
        </w:tc>
        <w:tc>
          <w:tcPr>
            <w:tcW w:w="180" w:type="dxa"/>
            <w:vAlign w:val="bottom"/>
            <w:tcBorders>
              <w:right w:val="single" w:sz="8" w:color="CBECD5"/>
            </w:tcBorders>
            <w:shd w:val="clear" w:color="auto" w:fill="CBECD5"/>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60" w:type="dxa"/>
            <w:vAlign w:val="bottom"/>
            <w:shd w:val="clear" w:color="auto" w:fill="CBECD5"/>
          </w:tcPr>
          <w:p>
            <w:pPr>
              <w:spacing w:after="0" w:line="20" w:lineRule="exact"/>
              <w:rPr>
                <w:sz w:val="1"/>
                <w:szCs w:val="1"/>
                <w:color w:val="auto"/>
              </w:rPr>
            </w:pPr>
          </w:p>
        </w:tc>
        <w:tc>
          <w:tcPr>
            <w:tcW w:w="60" w:type="dxa"/>
            <w:vAlign w:val="bottom"/>
            <w:shd w:val="clear" w:color="auto" w:fill="CBECD5"/>
          </w:tcPr>
          <w:p>
            <w:pPr>
              <w:spacing w:after="0" w:line="20" w:lineRule="exact"/>
              <w:rPr>
                <w:sz w:val="1"/>
                <w:szCs w:val="1"/>
                <w:color w:val="auto"/>
              </w:rPr>
            </w:pPr>
          </w:p>
        </w:tc>
        <w:tc>
          <w:tcPr>
            <w:tcW w:w="180" w:type="dxa"/>
            <w:vAlign w:val="bottom"/>
            <w:shd w:val="clear" w:color="auto" w:fill="CBECD5"/>
          </w:tcPr>
          <w:p>
            <w:pPr>
              <w:spacing w:after="0" w:line="20" w:lineRule="exact"/>
              <w:rPr>
                <w:sz w:val="1"/>
                <w:szCs w:val="1"/>
                <w:color w:val="auto"/>
              </w:rPr>
            </w:pPr>
          </w:p>
        </w:tc>
        <w:tc>
          <w:tcPr>
            <w:tcW w:w="200" w:type="dxa"/>
            <w:vAlign w:val="bottom"/>
            <w:shd w:val="clear" w:color="auto" w:fill="CBECD5"/>
          </w:tcPr>
          <w:p>
            <w:pPr>
              <w:spacing w:after="0" w:line="20" w:lineRule="exact"/>
              <w:rPr>
                <w:sz w:val="1"/>
                <w:szCs w:val="1"/>
                <w:color w:val="auto"/>
              </w:rPr>
            </w:pPr>
          </w:p>
        </w:tc>
        <w:tc>
          <w:tcPr>
            <w:tcW w:w="14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09"/>
        </w:trPr>
        <w:tc>
          <w:tcPr>
            <w:tcW w:w="140" w:type="dxa"/>
            <w:vAlign w:val="bottom"/>
            <w:tcBorders>
              <w:left w:val="single" w:sz="8" w:color="53C072"/>
              <w:bottom w:val="single" w:sz="8" w:color="CBECD5"/>
            </w:tcBorders>
            <w:shd w:val="clear" w:color="auto" w:fill="CBECD5"/>
          </w:tcPr>
          <w:p>
            <w:pPr>
              <w:spacing w:after="0"/>
              <w:rPr>
                <w:sz w:val="18"/>
                <w:szCs w:val="18"/>
                <w:color w:val="auto"/>
              </w:rPr>
            </w:pPr>
          </w:p>
        </w:tc>
        <w:tc>
          <w:tcPr>
            <w:tcW w:w="180" w:type="dxa"/>
            <w:vAlign w:val="bottom"/>
            <w:tcBorders>
              <w:bottom w:val="single" w:sz="8" w:color="CBECD5"/>
              <w:right w:val="single" w:sz="8" w:color="CBECD5"/>
            </w:tcBorders>
            <w:shd w:val="clear" w:color="auto" w:fill="CBECD5"/>
          </w:tcPr>
          <w:p>
            <w:pPr>
              <w:spacing w:after="0"/>
              <w:rPr>
                <w:sz w:val="18"/>
                <w:szCs w:val="18"/>
                <w:color w:val="auto"/>
              </w:rPr>
            </w:pPr>
          </w:p>
        </w:tc>
        <w:tc>
          <w:tcPr>
            <w:tcW w:w="1580" w:type="dxa"/>
            <w:vAlign w:val="bottom"/>
            <w:tcBorders>
              <w:bottom w:val="single" w:sz="8" w:color="0000EE"/>
            </w:tcBorders>
            <w:gridSpan w:val="9"/>
            <w:shd w:val="clear" w:color="auto" w:fill="CBECD5"/>
          </w:tcPr>
          <w:p>
            <w:pPr>
              <w:spacing w:after="0"/>
              <w:rPr>
                <w:sz w:val="20"/>
                <w:szCs w:val="20"/>
                <w:color w:val="auto"/>
              </w:rPr>
            </w:pPr>
            <w:r>
              <w:rPr>
                <w:rFonts w:ascii="Arial" w:cs="Arial" w:eastAsia="Arial" w:hAnsi="Arial"/>
                <w:sz w:val="16"/>
                <w:szCs w:val="16"/>
                <w:color w:val="0000EE"/>
                <w:w w:val="96"/>
              </w:rPr>
              <w:t>Business Performance</w:t>
            </w:r>
          </w:p>
        </w:tc>
        <w:tc>
          <w:tcPr>
            <w:tcW w:w="1700" w:type="dxa"/>
            <w:vAlign w:val="bottom"/>
            <w:tcBorders>
              <w:bottom w:val="single" w:sz="8" w:color="CBECD5"/>
            </w:tcBorders>
            <w:gridSpan w:val="14"/>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40</w:t>
            </w:r>
          </w:p>
        </w:tc>
      </w:tr>
      <w:tr>
        <w:trPr>
          <w:trHeight w:val="210"/>
        </w:trPr>
        <w:tc>
          <w:tcPr>
            <w:tcW w:w="140" w:type="dxa"/>
            <w:vAlign w:val="bottom"/>
            <w:tcBorders>
              <w:left w:val="single" w:sz="8" w:color="53C072"/>
            </w:tcBorders>
            <w:shd w:val="clear" w:color="auto" w:fill="CBECD5"/>
          </w:tcPr>
          <w:p>
            <w:pPr>
              <w:spacing w:after="0"/>
              <w:rPr>
                <w:sz w:val="18"/>
                <w:szCs w:val="18"/>
                <w:color w:val="auto"/>
              </w:rPr>
            </w:pPr>
          </w:p>
        </w:tc>
        <w:tc>
          <w:tcPr>
            <w:tcW w:w="180" w:type="dxa"/>
            <w:vAlign w:val="bottom"/>
            <w:tcBorders>
              <w:right w:val="single" w:sz="8" w:color="CBECD5"/>
            </w:tcBorders>
            <w:shd w:val="clear" w:color="auto" w:fill="CBECD5"/>
          </w:tcPr>
          <w:p>
            <w:pPr>
              <w:spacing w:after="0"/>
              <w:rPr>
                <w:sz w:val="18"/>
                <w:szCs w:val="18"/>
                <w:color w:val="auto"/>
              </w:rPr>
            </w:pPr>
          </w:p>
        </w:tc>
        <w:tc>
          <w:tcPr>
            <w:tcW w:w="3280" w:type="dxa"/>
            <w:vAlign w:val="bottom"/>
            <w:gridSpan w:val="23"/>
            <w:shd w:val="clear" w:color="auto" w:fill="CBECD5"/>
          </w:tcPr>
          <w:p>
            <w:pPr>
              <w:spacing w:after="0"/>
              <w:rPr>
                <w:sz w:val="20"/>
                <w:szCs w:val="20"/>
                <w:color w:val="auto"/>
              </w:rPr>
            </w:pPr>
            <w:r>
              <w:rPr>
                <w:rFonts w:ascii="Arial" w:cs="Arial" w:eastAsia="Arial" w:hAnsi="Arial"/>
                <w:sz w:val="16"/>
                <w:szCs w:val="16"/>
                <w:color w:val="0000EE"/>
              </w:rPr>
              <w:t>Summary of Incentive Compensation Design</w:t>
            </w:r>
          </w:p>
        </w:tc>
        <w:tc>
          <w:tcPr>
            <w:tcW w:w="420" w:type="dxa"/>
            <w:vAlign w:val="bottom"/>
            <w:shd w:val="clear" w:color="auto" w:fill="CBECD5"/>
          </w:tcPr>
          <w:p>
            <w:pPr>
              <w:spacing w:after="0"/>
              <w:rPr>
                <w:sz w:val="18"/>
                <w:szCs w:val="18"/>
                <w:color w:val="auto"/>
              </w:rPr>
            </w:pPr>
          </w:p>
        </w:tc>
        <w:tc>
          <w:tcPr>
            <w:tcW w:w="260" w:type="dxa"/>
            <w:vAlign w:val="bottom"/>
            <w:tcBorders>
              <w:right w:val="single" w:sz="8" w:color="53C072"/>
            </w:tcBorders>
            <w:shd w:val="clear" w:color="auto" w:fill="CBECD5"/>
          </w:tcPr>
          <w:p>
            <w:pPr>
              <w:spacing w:after="0"/>
              <w:rPr>
                <w:sz w:val="18"/>
                <w:szCs w:val="18"/>
                <w:color w:val="auto"/>
              </w:rPr>
            </w:pPr>
          </w:p>
        </w:tc>
      </w:tr>
      <w:tr>
        <w:trPr>
          <w:trHeight w:val="189"/>
        </w:trPr>
        <w:tc>
          <w:tcPr>
            <w:tcW w:w="140" w:type="dxa"/>
            <w:vAlign w:val="bottom"/>
            <w:tcBorders>
              <w:top w:val="single" w:sz="8" w:color="CBECD5"/>
              <w:left w:val="single" w:sz="8" w:color="53C072"/>
            </w:tcBorders>
            <w:shd w:val="clear" w:color="auto" w:fill="CBECD5"/>
          </w:tcPr>
          <w:p>
            <w:pPr>
              <w:spacing w:after="0"/>
              <w:rPr>
                <w:sz w:val="16"/>
                <w:szCs w:val="16"/>
                <w:color w:val="auto"/>
              </w:rPr>
            </w:pPr>
          </w:p>
        </w:tc>
        <w:tc>
          <w:tcPr>
            <w:tcW w:w="180" w:type="dxa"/>
            <w:vAlign w:val="bottom"/>
            <w:tcBorders>
              <w:top w:val="single" w:sz="8" w:color="CBECD5"/>
              <w:right w:val="single" w:sz="8" w:color="CBECD5"/>
            </w:tcBorders>
            <w:shd w:val="clear" w:color="auto" w:fill="CBECD5"/>
          </w:tcPr>
          <w:p>
            <w:pPr>
              <w:spacing w:after="0"/>
              <w:rPr>
                <w:sz w:val="16"/>
                <w:szCs w:val="16"/>
                <w:color w:val="auto"/>
              </w:rPr>
            </w:pPr>
          </w:p>
        </w:tc>
        <w:tc>
          <w:tcPr>
            <w:tcW w:w="3120" w:type="dxa"/>
            <w:vAlign w:val="bottom"/>
            <w:tcBorders>
              <w:top w:val="single" w:sz="8" w:color="0000EE"/>
            </w:tcBorders>
            <w:gridSpan w:val="21"/>
            <w:shd w:val="clear" w:color="auto" w:fill="CBECD5"/>
          </w:tcPr>
          <w:p>
            <w:pPr>
              <w:spacing w:after="0" w:line="155" w:lineRule="exact"/>
              <w:rPr>
                <w:sz w:val="20"/>
                <w:szCs w:val="20"/>
                <w:color w:val="auto"/>
              </w:rPr>
            </w:pPr>
            <w:r>
              <w:rPr>
                <w:rFonts w:ascii="Arial" w:cs="Arial" w:eastAsia="Arial" w:hAnsi="Arial"/>
                <w:sz w:val="16"/>
                <w:szCs w:val="16"/>
                <w:color w:val="0000EE"/>
              </w:rPr>
              <w:t>and Payouts for Fiscal 2024</w:t>
            </w:r>
          </w:p>
        </w:tc>
        <w:tc>
          <w:tcPr>
            <w:tcW w:w="140" w:type="dxa"/>
            <w:vAlign w:val="bottom"/>
            <w:tcBorders>
              <w:top w:val="single" w:sz="8" w:color="CBECD5"/>
            </w:tcBorders>
            <w:shd w:val="clear" w:color="auto" w:fill="CBECD5"/>
          </w:tcPr>
          <w:p>
            <w:pPr>
              <w:spacing w:after="0"/>
              <w:rPr>
                <w:sz w:val="16"/>
                <w:szCs w:val="16"/>
                <w:color w:val="auto"/>
              </w:rPr>
            </w:pPr>
          </w:p>
        </w:tc>
        <w:tc>
          <w:tcPr>
            <w:tcW w:w="20" w:type="dxa"/>
            <w:vAlign w:val="bottom"/>
            <w:tcBorders>
              <w:top w:val="single" w:sz="8" w:color="CBECD5"/>
            </w:tcBorders>
            <w:shd w:val="clear" w:color="auto" w:fill="CBECD5"/>
          </w:tcPr>
          <w:p>
            <w:pPr>
              <w:spacing w:after="0"/>
              <w:rPr>
                <w:sz w:val="16"/>
                <w:szCs w:val="16"/>
                <w:color w:val="auto"/>
              </w:rPr>
            </w:pPr>
          </w:p>
        </w:tc>
        <w:tc>
          <w:tcPr>
            <w:tcW w:w="680" w:type="dxa"/>
            <w:vAlign w:val="bottom"/>
            <w:tcBorders>
              <w:top w:val="single" w:sz="8" w:color="CBECD5"/>
              <w:right w:val="single" w:sz="8" w:color="53C072"/>
            </w:tcBorders>
            <w:gridSpan w:val="2"/>
            <w:shd w:val="clear" w:color="auto" w:fill="CBECD5"/>
          </w:tcPr>
          <w:p>
            <w:pPr>
              <w:jc w:val="right"/>
              <w:spacing w:after="0" w:line="155" w:lineRule="exact"/>
              <w:rPr>
                <w:sz w:val="20"/>
                <w:szCs w:val="20"/>
                <w:color w:val="auto"/>
              </w:rPr>
            </w:pPr>
            <w:r>
              <w:rPr>
                <w:rFonts w:ascii="Arial" w:cs="Arial" w:eastAsia="Arial" w:hAnsi="Arial"/>
                <w:sz w:val="16"/>
                <w:szCs w:val="16"/>
                <w:color w:val="0000EE"/>
              </w:rPr>
              <w:t>41</w:t>
            </w:r>
          </w:p>
        </w:tc>
      </w:tr>
      <w:tr>
        <w:trPr>
          <w:trHeight w:val="203"/>
        </w:trPr>
        <w:tc>
          <w:tcPr>
            <w:tcW w:w="140" w:type="dxa"/>
            <w:vAlign w:val="bottom"/>
            <w:tcBorders>
              <w:top w:val="single" w:sz="8" w:color="CBECD5"/>
              <w:left w:val="single" w:sz="8" w:color="53C072"/>
            </w:tcBorders>
            <w:shd w:val="clear" w:color="auto" w:fill="CBECD5"/>
          </w:tcPr>
          <w:p>
            <w:pPr>
              <w:spacing w:after="0"/>
              <w:rPr>
                <w:sz w:val="17"/>
                <w:szCs w:val="17"/>
                <w:color w:val="auto"/>
              </w:rPr>
            </w:pPr>
          </w:p>
        </w:tc>
        <w:tc>
          <w:tcPr>
            <w:tcW w:w="180" w:type="dxa"/>
            <w:vAlign w:val="bottom"/>
            <w:tcBorders>
              <w:top w:val="single" w:sz="8" w:color="CBECD5"/>
              <w:right w:val="single" w:sz="8" w:color="CBECD5"/>
            </w:tcBorders>
            <w:shd w:val="clear" w:color="auto" w:fill="CBECD5"/>
          </w:tcPr>
          <w:p>
            <w:pPr>
              <w:spacing w:after="0"/>
              <w:rPr>
                <w:sz w:val="17"/>
                <w:szCs w:val="17"/>
                <w:color w:val="auto"/>
              </w:rPr>
            </w:pPr>
          </w:p>
        </w:tc>
        <w:tc>
          <w:tcPr>
            <w:tcW w:w="1940" w:type="dxa"/>
            <w:vAlign w:val="bottom"/>
            <w:tcBorders>
              <w:top w:val="single" w:sz="8" w:color="0000EE"/>
            </w:tcBorders>
            <w:gridSpan w:val="12"/>
            <w:shd w:val="clear" w:color="auto" w:fill="CBECD5"/>
          </w:tcPr>
          <w:p>
            <w:pPr>
              <w:spacing w:after="0"/>
              <w:rPr>
                <w:sz w:val="20"/>
                <w:szCs w:val="20"/>
                <w:color w:val="auto"/>
              </w:rPr>
            </w:pPr>
            <w:r>
              <w:rPr>
                <w:rFonts w:ascii="Arial" w:cs="Arial" w:eastAsia="Arial" w:hAnsi="Arial"/>
                <w:sz w:val="16"/>
                <w:szCs w:val="16"/>
                <w:color w:val="0000EE"/>
              </w:rPr>
              <w:t>Philosophy and Objectives</w:t>
            </w:r>
          </w:p>
        </w:tc>
        <w:tc>
          <w:tcPr>
            <w:tcW w:w="1340" w:type="dxa"/>
            <w:vAlign w:val="bottom"/>
            <w:tcBorders>
              <w:top w:val="single" w:sz="8" w:color="CBECD5"/>
            </w:tcBorders>
            <w:gridSpan w:val="11"/>
            <w:shd w:val="clear" w:color="auto" w:fill="CBECD5"/>
          </w:tcPr>
          <w:p>
            <w:pPr>
              <w:spacing w:after="0"/>
              <w:rPr>
                <w:sz w:val="17"/>
                <w:szCs w:val="17"/>
                <w:color w:val="auto"/>
              </w:rPr>
            </w:pPr>
          </w:p>
        </w:tc>
        <w:tc>
          <w:tcPr>
            <w:tcW w:w="420" w:type="dxa"/>
            <w:vAlign w:val="bottom"/>
            <w:tcBorders>
              <w:top w:val="single" w:sz="8" w:color="CBECD5"/>
            </w:tcBorders>
            <w:shd w:val="clear" w:color="auto" w:fill="CBECD5"/>
          </w:tcPr>
          <w:p>
            <w:pPr>
              <w:spacing w:after="0"/>
              <w:rPr>
                <w:sz w:val="17"/>
                <w:szCs w:val="17"/>
                <w:color w:val="auto"/>
              </w:rPr>
            </w:pPr>
          </w:p>
        </w:tc>
        <w:tc>
          <w:tcPr>
            <w:tcW w:w="260" w:type="dxa"/>
            <w:vAlign w:val="bottom"/>
            <w:tcBorders>
              <w:top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41</w:t>
            </w:r>
          </w:p>
        </w:tc>
      </w:tr>
      <w:tr>
        <w:trPr>
          <w:trHeight w:val="20"/>
        </w:trPr>
        <w:tc>
          <w:tcPr>
            <w:tcW w:w="140" w:type="dxa"/>
            <w:vAlign w:val="bottom"/>
            <w:tcBorders>
              <w:left w:val="single" w:sz="8" w:color="53C072"/>
            </w:tcBorders>
            <w:shd w:val="clear" w:color="auto" w:fill="CBECD5"/>
          </w:tcPr>
          <w:p>
            <w:pPr>
              <w:spacing w:after="0" w:line="20" w:lineRule="exact"/>
              <w:rPr>
                <w:sz w:val="1"/>
                <w:szCs w:val="1"/>
                <w:color w:val="auto"/>
              </w:rPr>
            </w:pPr>
          </w:p>
        </w:tc>
        <w:tc>
          <w:tcPr>
            <w:tcW w:w="180" w:type="dxa"/>
            <w:vAlign w:val="bottom"/>
            <w:tcBorders>
              <w:right w:val="single" w:sz="8" w:color="CBECD5"/>
            </w:tcBorders>
            <w:shd w:val="clear" w:color="auto" w:fill="CBECD5"/>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CBECD5"/>
            </w:tcBorders>
            <w:gridSpan w:val="2"/>
            <w:shd w:val="clear" w:color="auto" w:fill="CBECD5"/>
          </w:tcPr>
          <w:p>
            <w:pPr>
              <w:spacing w:after="0" w:line="20" w:lineRule="exact"/>
              <w:rPr>
                <w:sz w:val="1"/>
                <w:szCs w:val="1"/>
                <w:color w:val="auto"/>
              </w:rPr>
            </w:pPr>
          </w:p>
        </w:tc>
        <w:tc>
          <w:tcPr>
            <w:tcW w:w="260" w:type="dxa"/>
            <w:vAlign w:val="bottom"/>
            <w:shd w:val="clear" w:color="auto" w:fill="CBECD5"/>
          </w:tcPr>
          <w:p>
            <w:pPr>
              <w:spacing w:after="0" w:line="20" w:lineRule="exact"/>
              <w:rPr>
                <w:sz w:val="1"/>
                <w:szCs w:val="1"/>
                <w:color w:val="auto"/>
              </w:rPr>
            </w:pPr>
          </w:p>
        </w:tc>
        <w:tc>
          <w:tcPr>
            <w:tcW w:w="40" w:type="dxa"/>
            <w:vAlign w:val="bottom"/>
            <w:shd w:val="clear" w:color="auto" w:fill="CBECD5"/>
          </w:tcPr>
          <w:p>
            <w:pPr>
              <w:spacing w:after="0" w:line="20" w:lineRule="exact"/>
              <w:rPr>
                <w:sz w:val="1"/>
                <w:szCs w:val="1"/>
                <w:color w:val="auto"/>
              </w:rPr>
            </w:pPr>
          </w:p>
        </w:tc>
        <w:tc>
          <w:tcPr>
            <w:tcW w:w="120" w:type="dxa"/>
            <w:vAlign w:val="bottom"/>
            <w:tcBorders>
              <w:right w:val="single" w:sz="8" w:color="CBECD5"/>
            </w:tcBorders>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60" w:type="dxa"/>
            <w:vAlign w:val="bottom"/>
            <w:shd w:val="clear" w:color="auto" w:fill="CBECD5"/>
          </w:tcPr>
          <w:p>
            <w:pPr>
              <w:spacing w:after="0" w:line="20" w:lineRule="exact"/>
              <w:rPr>
                <w:sz w:val="1"/>
                <w:szCs w:val="1"/>
                <w:color w:val="auto"/>
              </w:rPr>
            </w:pPr>
          </w:p>
        </w:tc>
        <w:tc>
          <w:tcPr>
            <w:tcW w:w="60" w:type="dxa"/>
            <w:vAlign w:val="bottom"/>
            <w:shd w:val="clear" w:color="auto" w:fill="CBECD5"/>
          </w:tcPr>
          <w:p>
            <w:pPr>
              <w:spacing w:after="0" w:line="20" w:lineRule="exact"/>
              <w:rPr>
                <w:sz w:val="1"/>
                <w:szCs w:val="1"/>
                <w:color w:val="auto"/>
              </w:rPr>
            </w:pPr>
          </w:p>
        </w:tc>
        <w:tc>
          <w:tcPr>
            <w:tcW w:w="180" w:type="dxa"/>
            <w:vAlign w:val="bottom"/>
            <w:shd w:val="clear" w:color="auto" w:fill="CBECD5"/>
          </w:tcPr>
          <w:p>
            <w:pPr>
              <w:spacing w:after="0" w:line="20" w:lineRule="exact"/>
              <w:rPr>
                <w:sz w:val="1"/>
                <w:szCs w:val="1"/>
                <w:color w:val="auto"/>
              </w:rPr>
            </w:pPr>
          </w:p>
        </w:tc>
        <w:tc>
          <w:tcPr>
            <w:tcW w:w="340" w:type="dxa"/>
            <w:vAlign w:val="bottom"/>
            <w:gridSpan w:val="2"/>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09"/>
        </w:trPr>
        <w:tc>
          <w:tcPr>
            <w:tcW w:w="140" w:type="dxa"/>
            <w:vAlign w:val="bottom"/>
            <w:tcBorders>
              <w:left w:val="single" w:sz="8" w:color="53C072"/>
            </w:tcBorders>
            <w:shd w:val="clear" w:color="auto" w:fill="CBECD5"/>
          </w:tcPr>
          <w:p>
            <w:pPr>
              <w:spacing w:after="0"/>
              <w:rPr>
                <w:sz w:val="18"/>
                <w:szCs w:val="18"/>
                <w:color w:val="auto"/>
              </w:rPr>
            </w:pPr>
          </w:p>
        </w:tc>
        <w:tc>
          <w:tcPr>
            <w:tcW w:w="180" w:type="dxa"/>
            <w:vAlign w:val="bottom"/>
            <w:tcBorders>
              <w:right w:val="single" w:sz="8" w:color="CBECD5"/>
            </w:tcBorders>
            <w:shd w:val="clear" w:color="auto" w:fill="CBECD5"/>
          </w:tcPr>
          <w:p>
            <w:pPr>
              <w:spacing w:after="0"/>
              <w:rPr>
                <w:sz w:val="18"/>
                <w:szCs w:val="18"/>
                <w:color w:val="auto"/>
              </w:rPr>
            </w:pPr>
          </w:p>
        </w:tc>
        <w:tc>
          <w:tcPr>
            <w:tcW w:w="3280" w:type="dxa"/>
            <w:vAlign w:val="bottom"/>
            <w:gridSpan w:val="23"/>
            <w:shd w:val="clear" w:color="auto" w:fill="CBECD5"/>
          </w:tcPr>
          <w:p>
            <w:pPr>
              <w:spacing w:after="0"/>
              <w:rPr>
                <w:sz w:val="20"/>
                <w:szCs w:val="20"/>
                <w:color w:val="auto"/>
              </w:rPr>
            </w:pPr>
            <w:r>
              <w:rPr>
                <w:rFonts w:ascii="Arial" w:cs="Arial" w:eastAsia="Arial" w:hAnsi="Arial"/>
                <w:sz w:val="16"/>
                <w:szCs w:val="16"/>
                <w:color w:val="0000EE"/>
              </w:rPr>
              <w:t>2024 Advisory Vote on Executive</w:t>
            </w:r>
          </w:p>
        </w:tc>
        <w:tc>
          <w:tcPr>
            <w:tcW w:w="420" w:type="dxa"/>
            <w:vAlign w:val="bottom"/>
            <w:shd w:val="clear" w:color="auto" w:fill="CBECD5"/>
          </w:tcPr>
          <w:p>
            <w:pPr>
              <w:spacing w:after="0"/>
              <w:rPr>
                <w:sz w:val="18"/>
                <w:szCs w:val="18"/>
                <w:color w:val="auto"/>
              </w:rPr>
            </w:pPr>
          </w:p>
        </w:tc>
        <w:tc>
          <w:tcPr>
            <w:tcW w:w="260" w:type="dxa"/>
            <w:vAlign w:val="bottom"/>
            <w:tcBorders>
              <w:right w:val="single" w:sz="8" w:color="53C072"/>
            </w:tcBorders>
            <w:shd w:val="clear" w:color="auto" w:fill="CBECD5"/>
          </w:tcPr>
          <w:p>
            <w:pPr>
              <w:spacing w:after="0"/>
              <w:rPr>
                <w:sz w:val="18"/>
                <w:szCs w:val="18"/>
                <w:color w:val="auto"/>
              </w:rPr>
            </w:pPr>
          </w:p>
        </w:tc>
      </w:tr>
      <w:tr>
        <w:trPr>
          <w:trHeight w:val="169"/>
        </w:trPr>
        <w:tc>
          <w:tcPr>
            <w:tcW w:w="140" w:type="dxa"/>
            <w:vAlign w:val="bottom"/>
            <w:tcBorders>
              <w:top w:val="single" w:sz="8" w:color="CBECD5"/>
              <w:left w:val="single" w:sz="8" w:color="53C072"/>
            </w:tcBorders>
            <w:shd w:val="clear" w:color="auto" w:fill="CBECD5"/>
          </w:tcPr>
          <w:p>
            <w:pPr>
              <w:spacing w:after="0"/>
              <w:rPr>
                <w:sz w:val="14"/>
                <w:szCs w:val="14"/>
                <w:color w:val="auto"/>
              </w:rPr>
            </w:pPr>
          </w:p>
        </w:tc>
        <w:tc>
          <w:tcPr>
            <w:tcW w:w="180" w:type="dxa"/>
            <w:vAlign w:val="bottom"/>
            <w:tcBorders>
              <w:top w:val="single" w:sz="8" w:color="CBECD5"/>
              <w:right w:val="single" w:sz="8" w:color="CBECD5"/>
            </w:tcBorders>
            <w:shd w:val="clear" w:color="auto" w:fill="CBECD5"/>
          </w:tcPr>
          <w:p>
            <w:pPr>
              <w:spacing w:after="0"/>
              <w:rPr>
                <w:sz w:val="14"/>
                <w:szCs w:val="14"/>
                <w:color w:val="auto"/>
              </w:rPr>
            </w:pPr>
          </w:p>
        </w:tc>
        <w:tc>
          <w:tcPr>
            <w:tcW w:w="2300" w:type="dxa"/>
            <w:vAlign w:val="bottom"/>
            <w:tcBorders>
              <w:top w:val="single" w:sz="8" w:color="0000EE"/>
            </w:tcBorders>
            <w:gridSpan w:val="14"/>
            <w:shd w:val="clear" w:color="auto" w:fill="CBECD5"/>
          </w:tcPr>
          <w:p>
            <w:pPr>
              <w:spacing w:after="0" w:line="155" w:lineRule="exact"/>
              <w:rPr>
                <w:sz w:val="20"/>
                <w:szCs w:val="20"/>
                <w:color w:val="auto"/>
              </w:rPr>
            </w:pPr>
            <w:r>
              <w:rPr>
                <w:rFonts w:ascii="Arial" w:cs="Arial" w:eastAsia="Arial" w:hAnsi="Arial"/>
                <w:sz w:val="16"/>
                <w:szCs w:val="16"/>
                <w:color w:val="0000EE"/>
              </w:rPr>
              <w:t>Compensation</w:t>
            </w:r>
          </w:p>
        </w:tc>
        <w:tc>
          <w:tcPr>
            <w:tcW w:w="40" w:type="dxa"/>
            <w:vAlign w:val="bottom"/>
            <w:tcBorders>
              <w:top w:val="single" w:sz="8" w:color="CBECD5"/>
            </w:tcBorders>
            <w:shd w:val="clear" w:color="auto" w:fill="CBECD5"/>
          </w:tcPr>
          <w:p>
            <w:pPr>
              <w:spacing w:after="0"/>
              <w:rPr>
                <w:sz w:val="14"/>
                <w:szCs w:val="14"/>
                <w:color w:val="auto"/>
              </w:rPr>
            </w:pPr>
          </w:p>
        </w:tc>
        <w:tc>
          <w:tcPr>
            <w:tcW w:w="120" w:type="dxa"/>
            <w:vAlign w:val="bottom"/>
            <w:tcBorders>
              <w:top w:val="single" w:sz="8" w:color="CBECD5"/>
              <w:right w:val="single" w:sz="8" w:color="CBECD5"/>
            </w:tcBorders>
            <w:shd w:val="clear" w:color="auto" w:fill="CBECD5"/>
          </w:tcPr>
          <w:p>
            <w:pPr>
              <w:spacing w:after="0"/>
              <w:rPr>
                <w:sz w:val="14"/>
                <w:szCs w:val="14"/>
                <w:color w:val="auto"/>
              </w:rPr>
            </w:pPr>
          </w:p>
        </w:tc>
        <w:tc>
          <w:tcPr>
            <w:tcW w:w="160" w:type="dxa"/>
            <w:vAlign w:val="bottom"/>
            <w:tcBorders>
              <w:top w:val="single" w:sz="8" w:color="CBECD5"/>
            </w:tcBorders>
            <w:shd w:val="clear" w:color="auto" w:fill="CBECD5"/>
          </w:tcPr>
          <w:p>
            <w:pPr>
              <w:spacing w:after="0"/>
              <w:rPr>
                <w:sz w:val="14"/>
                <w:szCs w:val="14"/>
                <w:color w:val="auto"/>
              </w:rPr>
            </w:pPr>
          </w:p>
        </w:tc>
        <w:tc>
          <w:tcPr>
            <w:tcW w:w="60" w:type="dxa"/>
            <w:vAlign w:val="bottom"/>
            <w:tcBorders>
              <w:top w:val="single" w:sz="8" w:color="CBECD5"/>
            </w:tcBorders>
            <w:shd w:val="clear" w:color="auto" w:fill="CBECD5"/>
          </w:tcPr>
          <w:p>
            <w:pPr>
              <w:spacing w:after="0"/>
              <w:rPr>
                <w:sz w:val="14"/>
                <w:szCs w:val="14"/>
                <w:color w:val="auto"/>
              </w:rPr>
            </w:pPr>
          </w:p>
        </w:tc>
        <w:tc>
          <w:tcPr>
            <w:tcW w:w="60" w:type="dxa"/>
            <w:vAlign w:val="bottom"/>
            <w:tcBorders>
              <w:top w:val="single" w:sz="8" w:color="CBECD5"/>
            </w:tcBorders>
            <w:shd w:val="clear" w:color="auto" w:fill="CBECD5"/>
          </w:tcPr>
          <w:p>
            <w:pPr>
              <w:spacing w:after="0"/>
              <w:rPr>
                <w:sz w:val="14"/>
                <w:szCs w:val="14"/>
                <w:color w:val="auto"/>
              </w:rPr>
            </w:pPr>
          </w:p>
        </w:tc>
        <w:tc>
          <w:tcPr>
            <w:tcW w:w="180" w:type="dxa"/>
            <w:vAlign w:val="bottom"/>
            <w:tcBorders>
              <w:top w:val="single" w:sz="8" w:color="CBECD5"/>
            </w:tcBorders>
            <w:shd w:val="clear" w:color="auto" w:fill="CBECD5"/>
          </w:tcPr>
          <w:p>
            <w:pPr>
              <w:spacing w:after="0"/>
              <w:rPr>
                <w:sz w:val="14"/>
                <w:szCs w:val="14"/>
                <w:color w:val="auto"/>
              </w:rPr>
            </w:pPr>
          </w:p>
        </w:tc>
        <w:tc>
          <w:tcPr>
            <w:tcW w:w="340" w:type="dxa"/>
            <w:vAlign w:val="bottom"/>
            <w:tcBorders>
              <w:top w:val="single" w:sz="8" w:color="CBECD5"/>
            </w:tcBorders>
            <w:gridSpan w:val="2"/>
            <w:shd w:val="clear" w:color="auto" w:fill="CBECD5"/>
          </w:tcPr>
          <w:p>
            <w:pPr>
              <w:spacing w:after="0"/>
              <w:rPr>
                <w:sz w:val="14"/>
                <w:szCs w:val="14"/>
                <w:color w:val="auto"/>
              </w:rPr>
            </w:pPr>
          </w:p>
        </w:tc>
        <w:tc>
          <w:tcPr>
            <w:tcW w:w="20" w:type="dxa"/>
            <w:vAlign w:val="bottom"/>
            <w:tcBorders>
              <w:top w:val="single" w:sz="8" w:color="CBECD5"/>
            </w:tcBorders>
            <w:shd w:val="clear" w:color="auto" w:fill="CBECD5"/>
          </w:tcPr>
          <w:p>
            <w:pPr>
              <w:spacing w:after="0"/>
              <w:rPr>
                <w:sz w:val="14"/>
                <w:szCs w:val="14"/>
                <w:color w:val="auto"/>
              </w:rPr>
            </w:pPr>
          </w:p>
        </w:tc>
        <w:tc>
          <w:tcPr>
            <w:tcW w:w="680" w:type="dxa"/>
            <w:vAlign w:val="bottom"/>
            <w:tcBorders>
              <w:top w:val="single" w:sz="8" w:color="CBECD5"/>
              <w:right w:val="single" w:sz="8" w:color="53C072"/>
            </w:tcBorders>
            <w:gridSpan w:val="2"/>
            <w:shd w:val="clear" w:color="auto" w:fill="CBECD5"/>
          </w:tcPr>
          <w:p>
            <w:pPr>
              <w:jc w:val="right"/>
              <w:spacing w:after="0" w:line="155" w:lineRule="exact"/>
              <w:rPr>
                <w:sz w:val="20"/>
                <w:szCs w:val="20"/>
                <w:color w:val="auto"/>
              </w:rPr>
            </w:pPr>
            <w:r>
              <w:rPr>
                <w:rFonts w:ascii="Arial" w:cs="Arial" w:eastAsia="Arial" w:hAnsi="Arial"/>
                <w:sz w:val="16"/>
                <w:szCs w:val="16"/>
                <w:color w:val="0000EE"/>
              </w:rPr>
              <w:t>41</w:t>
            </w:r>
          </w:p>
        </w:tc>
      </w:tr>
      <w:tr>
        <w:trPr>
          <w:trHeight w:val="27"/>
        </w:trPr>
        <w:tc>
          <w:tcPr>
            <w:tcW w:w="140" w:type="dxa"/>
            <w:vAlign w:val="bottom"/>
            <w:tcBorders>
              <w:left w:val="single" w:sz="8" w:color="53C072"/>
            </w:tcBorders>
            <w:shd w:val="clear" w:color="auto" w:fill="CBECD5"/>
          </w:tcPr>
          <w:p>
            <w:pPr>
              <w:spacing w:after="0"/>
              <w:rPr>
                <w:sz w:val="2"/>
                <w:szCs w:val="2"/>
                <w:color w:val="auto"/>
              </w:rPr>
            </w:pPr>
          </w:p>
        </w:tc>
        <w:tc>
          <w:tcPr>
            <w:tcW w:w="180" w:type="dxa"/>
            <w:vAlign w:val="bottom"/>
            <w:tcBorders>
              <w:right w:val="single" w:sz="8" w:color="0000EE"/>
            </w:tcBorders>
            <w:shd w:val="clear" w:color="auto" w:fill="CBECD5"/>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40" w:type="dxa"/>
            <w:vAlign w:val="bottom"/>
            <w:shd w:val="clear" w:color="auto" w:fill="CBECD5"/>
          </w:tcPr>
          <w:p>
            <w:pPr>
              <w:spacing w:after="0"/>
              <w:rPr>
                <w:sz w:val="2"/>
                <w:szCs w:val="2"/>
                <w:color w:val="auto"/>
              </w:rPr>
            </w:pPr>
          </w:p>
        </w:tc>
        <w:tc>
          <w:tcPr>
            <w:tcW w:w="120" w:type="dxa"/>
            <w:vAlign w:val="bottom"/>
            <w:shd w:val="clear" w:color="auto" w:fill="CBECD5"/>
          </w:tcPr>
          <w:p>
            <w:pPr>
              <w:spacing w:after="0"/>
              <w:rPr>
                <w:sz w:val="2"/>
                <w:szCs w:val="2"/>
                <w:color w:val="auto"/>
              </w:rPr>
            </w:pPr>
          </w:p>
        </w:tc>
        <w:tc>
          <w:tcPr>
            <w:tcW w:w="40" w:type="dxa"/>
            <w:vAlign w:val="bottom"/>
            <w:shd w:val="clear" w:color="auto" w:fill="CBECD5"/>
          </w:tcPr>
          <w:p>
            <w:pPr>
              <w:spacing w:after="0"/>
              <w:rPr>
                <w:sz w:val="2"/>
                <w:szCs w:val="2"/>
                <w:color w:val="auto"/>
              </w:rPr>
            </w:pPr>
          </w:p>
        </w:tc>
        <w:tc>
          <w:tcPr>
            <w:tcW w:w="60" w:type="dxa"/>
            <w:vAlign w:val="bottom"/>
            <w:shd w:val="clear" w:color="auto" w:fill="CBECD5"/>
          </w:tcPr>
          <w:p>
            <w:pPr>
              <w:spacing w:after="0"/>
              <w:rPr>
                <w:sz w:val="2"/>
                <w:szCs w:val="2"/>
                <w:color w:val="auto"/>
              </w:rPr>
            </w:pPr>
          </w:p>
        </w:tc>
        <w:tc>
          <w:tcPr>
            <w:tcW w:w="80" w:type="dxa"/>
            <w:vAlign w:val="bottom"/>
            <w:gridSpan w:val="2"/>
            <w:shd w:val="clear" w:color="auto" w:fill="CBECD5"/>
          </w:tcPr>
          <w:p>
            <w:pPr>
              <w:spacing w:after="0"/>
              <w:rPr>
                <w:sz w:val="2"/>
                <w:szCs w:val="2"/>
                <w:color w:val="auto"/>
              </w:rPr>
            </w:pPr>
          </w:p>
        </w:tc>
        <w:tc>
          <w:tcPr>
            <w:tcW w:w="220" w:type="dxa"/>
            <w:vAlign w:val="bottom"/>
            <w:shd w:val="clear" w:color="auto" w:fill="CBECD5"/>
          </w:tcPr>
          <w:p>
            <w:pPr>
              <w:spacing w:after="0"/>
              <w:rPr>
                <w:sz w:val="2"/>
                <w:szCs w:val="2"/>
                <w:color w:val="auto"/>
              </w:rPr>
            </w:pPr>
          </w:p>
        </w:tc>
        <w:tc>
          <w:tcPr>
            <w:tcW w:w="180" w:type="dxa"/>
            <w:vAlign w:val="bottom"/>
            <w:tcBorders>
              <w:right w:val="single" w:sz="8" w:color="CBECD5"/>
            </w:tcBorders>
            <w:gridSpan w:val="2"/>
            <w:shd w:val="clear" w:color="auto" w:fill="CBECD5"/>
          </w:tcPr>
          <w:p>
            <w:pPr>
              <w:spacing w:after="0"/>
              <w:rPr>
                <w:sz w:val="2"/>
                <w:szCs w:val="2"/>
                <w:color w:val="auto"/>
              </w:rPr>
            </w:pPr>
          </w:p>
        </w:tc>
        <w:tc>
          <w:tcPr>
            <w:tcW w:w="300" w:type="dxa"/>
            <w:vAlign w:val="bottom"/>
            <w:gridSpan w:val="2"/>
            <w:shd w:val="clear" w:color="auto" w:fill="CBECD5"/>
          </w:tcPr>
          <w:p>
            <w:pPr>
              <w:spacing w:after="0"/>
              <w:rPr>
                <w:sz w:val="2"/>
                <w:szCs w:val="2"/>
                <w:color w:val="auto"/>
              </w:rPr>
            </w:pPr>
          </w:p>
        </w:tc>
        <w:tc>
          <w:tcPr>
            <w:tcW w:w="120" w:type="dxa"/>
            <w:vAlign w:val="bottom"/>
            <w:tcBorders>
              <w:right w:val="single" w:sz="8" w:color="CBECD5"/>
            </w:tcBorders>
            <w:shd w:val="clear" w:color="auto" w:fill="CBECD5"/>
          </w:tcPr>
          <w:p>
            <w:pPr>
              <w:spacing w:after="0"/>
              <w:rPr>
                <w:sz w:val="2"/>
                <w:szCs w:val="2"/>
                <w:color w:val="auto"/>
              </w:rPr>
            </w:pPr>
          </w:p>
        </w:tc>
        <w:tc>
          <w:tcPr>
            <w:tcW w:w="160" w:type="dxa"/>
            <w:vAlign w:val="bottom"/>
            <w:shd w:val="clear" w:color="auto" w:fill="CBECD5"/>
          </w:tcPr>
          <w:p>
            <w:pPr>
              <w:spacing w:after="0"/>
              <w:rPr>
                <w:sz w:val="2"/>
                <w:szCs w:val="2"/>
                <w:color w:val="auto"/>
              </w:rPr>
            </w:pPr>
          </w:p>
        </w:tc>
        <w:tc>
          <w:tcPr>
            <w:tcW w:w="60" w:type="dxa"/>
            <w:vAlign w:val="bottom"/>
            <w:shd w:val="clear" w:color="auto" w:fill="CBECD5"/>
          </w:tcPr>
          <w:p>
            <w:pPr>
              <w:spacing w:after="0"/>
              <w:rPr>
                <w:sz w:val="2"/>
                <w:szCs w:val="2"/>
                <w:color w:val="auto"/>
              </w:rPr>
            </w:pPr>
          </w:p>
        </w:tc>
        <w:tc>
          <w:tcPr>
            <w:tcW w:w="60" w:type="dxa"/>
            <w:vAlign w:val="bottom"/>
            <w:shd w:val="clear" w:color="auto" w:fill="CBECD5"/>
          </w:tcPr>
          <w:p>
            <w:pPr>
              <w:spacing w:after="0"/>
              <w:rPr>
                <w:sz w:val="2"/>
                <w:szCs w:val="2"/>
                <w:color w:val="auto"/>
              </w:rPr>
            </w:pPr>
          </w:p>
        </w:tc>
        <w:tc>
          <w:tcPr>
            <w:tcW w:w="180" w:type="dxa"/>
            <w:vAlign w:val="bottom"/>
            <w:shd w:val="clear" w:color="auto" w:fill="CBECD5"/>
          </w:tcPr>
          <w:p>
            <w:pPr>
              <w:spacing w:after="0"/>
              <w:rPr>
                <w:sz w:val="2"/>
                <w:szCs w:val="2"/>
                <w:color w:val="auto"/>
              </w:rPr>
            </w:pPr>
          </w:p>
        </w:tc>
        <w:tc>
          <w:tcPr>
            <w:tcW w:w="340" w:type="dxa"/>
            <w:vAlign w:val="bottom"/>
            <w:gridSpan w:val="2"/>
            <w:shd w:val="clear" w:color="auto" w:fill="CBECD5"/>
          </w:tcPr>
          <w:p>
            <w:pPr>
              <w:spacing w:after="0"/>
              <w:rPr>
                <w:sz w:val="2"/>
                <w:szCs w:val="2"/>
                <w:color w:val="auto"/>
              </w:rPr>
            </w:pPr>
          </w:p>
        </w:tc>
        <w:tc>
          <w:tcPr>
            <w:tcW w:w="20" w:type="dxa"/>
            <w:vAlign w:val="bottom"/>
            <w:shd w:val="clear" w:color="auto" w:fill="CBECD5"/>
          </w:tcPr>
          <w:p>
            <w:pPr>
              <w:spacing w:after="0"/>
              <w:rPr>
                <w:sz w:val="2"/>
                <w:szCs w:val="2"/>
                <w:color w:val="auto"/>
              </w:rPr>
            </w:pPr>
          </w:p>
        </w:tc>
        <w:tc>
          <w:tcPr>
            <w:tcW w:w="420" w:type="dxa"/>
            <w:vAlign w:val="bottom"/>
            <w:shd w:val="clear" w:color="auto" w:fill="CBECD5"/>
          </w:tcPr>
          <w:p>
            <w:pPr>
              <w:spacing w:after="0"/>
              <w:rPr>
                <w:sz w:val="2"/>
                <w:szCs w:val="2"/>
                <w:color w:val="auto"/>
              </w:rPr>
            </w:pPr>
          </w:p>
        </w:tc>
        <w:tc>
          <w:tcPr>
            <w:tcW w:w="260" w:type="dxa"/>
            <w:vAlign w:val="bottom"/>
            <w:tcBorders>
              <w:right w:val="single" w:sz="8" w:color="53C072"/>
            </w:tcBorders>
            <w:shd w:val="clear" w:color="auto" w:fill="0000EE"/>
          </w:tcPr>
          <w:p>
            <w:pPr>
              <w:spacing w:after="0"/>
              <w:rPr>
                <w:sz w:val="2"/>
                <w:szCs w:val="2"/>
                <w:color w:val="auto"/>
              </w:rPr>
            </w:pPr>
          </w:p>
        </w:tc>
      </w:tr>
      <w:tr>
        <w:trPr>
          <w:trHeight w:val="216"/>
        </w:trPr>
        <w:tc>
          <w:tcPr>
            <w:tcW w:w="140" w:type="dxa"/>
            <w:vAlign w:val="bottom"/>
            <w:tcBorders>
              <w:left w:val="single" w:sz="8" w:color="53C072"/>
            </w:tcBorders>
            <w:shd w:val="clear" w:color="auto" w:fill="CBECD5"/>
          </w:tcPr>
          <w:p>
            <w:pPr>
              <w:spacing w:after="0"/>
              <w:rPr>
                <w:sz w:val="18"/>
                <w:szCs w:val="18"/>
                <w:color w:val="auto"/>
              </w:rPr>
            </w:pPr>
          </w:p>
        </w:tc>
        <w:tc>
          <w:tcPr>
            <w:tcW w:w="180" w:type="dxa"/>
            <w:vAlign w:val="bottom"/>
            <w:tcBorders>
              <w:right w:val="single" w:sz="8" w:color="CBECD5"/>
            </w:tcBorders>
            <w:shd w:val="clear" w:color="auto" w:fill="CBECD5"/>
          </w:tcPr>
          <w:p>
            <w:pPr>
              <w:spacing w:after="0"/>
              <w:rPr>
                <w:sz w:val="18"/>
                <w:szCs w:val="18"/>
                <w:color w:val="auto"/>
              </w:rPr>
            </w:pPr>
          </w:p>
        </w:tc>
        <w:tc>
          <w:tcPr>
            <w:tcW w:w="3280" w:type="dxa"/>
            <w:vAlign w:val="bottom"/>
            <w:gridSpan w:val="23"/>
            <w:shd w:val="clear" w:color="auto" w:fill="CBECD5"/>
          </w:tcPr>
          <w:p>
            <w:pPr>
              <w:spacing w:after="0"/>
              <w:rPr>
                <w:sz w:val="20"/>
                <w:szCs w:val="20"/>
                <w:color w:val="auto"/>
              </w:rPr>
            </w:pPr>
            <w:r>
              <w:rPr>
                <w:rFonts w:ascii="Arial" w:cs="Arial" w:eastAsia="Arial" w:hAnsi="Arial"/>
                <w:sz w:val="16"/>
                <w:szCs w:val="16"/>
                <w:color w:val="0000EE"/>
              </w:rPr>
              <w:t>Shareholder Outreach Efforts</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41</w:t>
            </w:r>
          </w:p>
        </w:tc>
      </w:tr>
      <w:tr>
        <w:trPr>
          <w:trHeight w:val="20"/>
        </w:trPr>
        <w:tc>
          <w:tcPr>
            <w:tcW w:w="140" w:type="dxa"/>
            <w:vAlign w:val="bottom"/>
            <w:tcBorders>
              <w:left w:val="single" w:sz="8" w:color="53C072"/>
            </w:tcBorders>
            <w:shd w:val="clear" w:color="auto" w:fill="CBECD5"/>
          </w:tcPr>
          <w:p>
            <w:pPr>
              <w:spacing w:after="0" w:line="20" w:lineRule="exact"/>
              <w:rPr>
                <w:sz w:val="1"/>
                <w:szCs w:val="1"/>
                <w:color w:val="auto"/>
              </w:rPr>
            </w:pPr>
          </w:p>
        </w:tc>
        <w:tc>
          <w:tcPr>
            <w:tcW w:w="180" w:type="dxa"/>
            <w:vAlign w:val="bottom"/>
            <w:tcBorders>
              <w:right w:val="single" w:sz="8" w:color="0000EE"/>
            </w:tcBorders>
            <w:shd w:val="clear" w:color="auto" w:fill="CBECD5"/>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CBECD5"/>
          </w:tcPr>
          <w:p>
            <w:pPr>
              <w:spacing w:after="0" w:line="20" w:lineRule="exact"/>
              <w:rPr>
                <w:sz w:val="1"/>
                <w:szCs w:val="1"/>
                <w:color w:val="auto"/>
              </w:rPr>
            </w:pPr>
          </w:p>
        </w:tc>
        <w:tc>
          <w:tcPr>
            <w:tcW w:w="120" w:type="dxa"/>
            <w:vAlign w:val="bottom"/>
            <w:tcBorders>
              <w:right w:val="single" w:sz="8" w:color="CBECD5"/>
            </w:tcBorders>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60" w:type="dxa"/>
            <w:vAlign w:val="bottom"/>
            <w:shd w:val="clear" w:color="auto" w:fill="CBECD5"/>
          </w:tcPr>
          <w:p>
            <w:pPr>
              <w:spacing w:after="0" w:line="20" w:lineRule="exact"/>
              <w:rPr>
                <w:sz w:val="1"/>
                <w:szCs w:val="1"/>
                <w:color w:val="auto"/>
              </w:rPr>
            </w:pPr>
          </w:p>
        </w:tc>
        <w:tc>
          <w:tcPr>
            <w:tcW w:w="60" w:type="dxa"/>
            <w:vAlign w:val="bottom"/>
            <w:shd w:val="clear" w:color="auto" w:fill="CBECD5"/>
          </w:tcPr>
          <w:p>
            <w:pPr>
              <w:spacing w:after="0" w:line="20" w:lineRule="exact"/>
              <w:rPr>
                <w:sz w:val="1"/>
                <w:szCs w:val="1"/>
                <w:color w:val="auto"/>
              </w:rPr>
            </w:pPr>
          </w:p>
        </w:tc>
        <w:tc>
          <w:tcPr>
            <w:tcW w:w="180" w:type="dxa"/>
            <w:vAlign w:val="bottom"/>
            <w:shd w:val="clear" w:color="auto" w:fill="CBECD5"/>
          </w:tcPr>
          <w:p>
            <w:pPr>
              <w:spacing w:after="0" w:line="20" w:lineRule="exact"/>
              <w:rPr>
                <w:sz w:val="1"/>
                <w:szCs w:val="1"/>
                <w:color w:val="auto"/>
              </w:rPr>
            </w:pPr>
          </w:p>
        </w:tc>
        <w:tc>
          <w:tcPr>
            <w:tcW w:w="340" w:type="dxa"/>
            <w:vAlign w:val="bottom"/>
            <w:gridSpan w:val="2"/>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09"/>
        </w:trPr>
        <w:tc>
          <w:tcPr>
            <w:tcW w:w="140" w:type="dxa"/>
            <w:vAlign w:val="bottom"/>
            <w:tcBorders>
              <w:left w:val="single" w:sz="8" w:color="53C072"/>
              <w:bottom w:val="single" w:sz="8" w:color="CBECD5"/>
            </w:tcBorders>
            <w:shd w:val="clear" w:color="auto" w:fill="CBECD5"/>
          </w:tcPr>
          <w:p>
            <w:pPr>
              <w:spacing w:after="0"/>
              <w:rPr>
                <w:sz w:val="18"/>
                <w:szCs w:val="18"/>
                <w:color w:val="auto"/>
              </w:rPr>
            </w:pPr>
          </w:p>
        </w:tc>
        <w:tc>
          <w:tcPr>
            <w:tcW w:w="3100" w:type="dxa"/>
            <w:vAlign w:val="bottom"/>
            <w:tcBorders>
              <w:bottom w:val="single" w:sz="8" w:color="0000EE"/>
            </w:tcBorders>
            <w:gridSpan w:val="21"/>
            <w:shd w:val="clear" w:color="auto" w:fill="CBECD5"/>
          </w:tcPr>
          <w:p>
            <w:pPr>
              <w:spacing w:after="0"/>
              <w:rPr>
                <w:sz w:val="20"/>
                <w:szCs w:val="20"/>
                <w:color w:val="auto"/>
              </w:rPr>
            </w:pPr>
            <w:r>
              <w:rPr>
                <w:rFonts w:ascii="Arial" w:cs="Arial" w:eastAsia="Arial" w:hAnsi="Arial"/>
                <w:sz w:val="16"/>
                <w:szCs w:val="16"/>
                <w:b w:val="1"/>
                <w:bCs w:val="1"/>
                <w:color w:val="0000EE"/>
              </w:rPr>
              <w:t>Compensation Governance and Process</w:t>
            </w:r>
          </w:p>
        </w:tc>
        <w:tc>
          <w:tcPr>
            <w:tcW w:w="360" w:type="dxa"/>
            <w:vAlign w:val="bottom"/>
            <w:tcBorders>
              <w:bottom w:val="single" w:sz="8" w:color="CBECD5"/>
            </w:tcBorders>
            <w:gridSpan w:val="3"/>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42</w:t>
            </w:r>
          </w:p>
        </w:tc>
      </w:tr>
      <w:tr>
        <w:trPr>
          <w:trHeight w:val="210"/>
        </w:trPr>
        <w:tc>
          <w:tcPr>
            <w:tcW w:w="140" w:type="dxa"/>
            <w:vAlign w:val="bottom"/>
            <w:tcBorders>
              <w:left w:val="single" w:sz="8" w:color="53C072"/>
              <w:bottom w:val="single" w:sz="8" w:color="CBECD5"/>
            </w:tcBorders>
            <w:shd w:val="clear" w:color="auto" w:fill="CBECD5"/>
          </w:tcPr>
          <w:p>
            <w:pPr>
              <w:spacing w:after="0"/>
              <w:rPr>
                <w:sz w:val="18"/>
                <w:szCs w:val="18"/>
                <w:color w:val="auto"/>
              </w:rPr>
            </w:pPr>
          </w:p>
        </w:tc>
        <w:tc>
          <w:tcPr>
            <w:tcW w:w="180" w:type="dxa"/>
            <w:vAlign w:val="bottom"/>
            <w:tcBorders>
              <w:bottom w:val="single" w:sz="8" w:color="CBECD5"/>
              <w:right w:val="single" w:sz="8" w:color="CBECD5"/>
            </w:tcBorders>
            <w:shd w:val="clear" w:color="auto" w:fill="CBECD5"/>
          </w:tcPr>
          <w:p>
            <w:pPr>
              <w:spacing w:after="0"/>
              <w:rPr>
                <w:sz w:val="18"/>
                <w:szCs w:val="18"/>
                <w:color w:val="auto"/>
              </w:rPr>
            </w:pPr>
          </w:p>
        </w:tc>
        <w:tc>
          <w:tcPr>
            <w:tcW w:w="2460" w:type="dxa"/>
            <w:vAlign w:val="bottom"/>
            <w:tcBorders>
              <w:bottom w:val="single" w:sz="8" w:color="0000EE"/>
              <w:right w:val="single" w:sz="8" w:color="CBECD5"/>
            </w:tcBorders>
            <w:gridSpan w:val="16"/>
            <w:shd w:val="clear" w:color="auto" w:fill="CBECD5"/>
          </w:tcPr>
          <w:p>
            <w:pPr>
              <w:spacing w:after="0"/>
              <w:rPr>
                <w:sz w:val="20"/>
                <w:szCs w:val="20"/>
                <w:color w:val="auto"/>
              </w:rPr>
            </w:pPr>
            <w:r>
              <w:rPr>
                <w:rFonts w:ascii="Arial" w:cs="Arial" w:eastAsia="Arial" w:hAnsi="Arial"/>
                <w:sz w:val="16"/>
                <w:szCs w:val="16"/>
                <w:color w:val="0000EE"/>
              </w:rPr>
              <w:t>Role of the Committee and Board</w:t>
            </w:r>
          </w:p>
        </w:tc>
        <w:tc>
          <w:tcPr>
            <w:tcW w:w="820" w:type="dxa"/>
            <w:vAlign w:val="bottom"/>
            <w:tcBorders>
              <w:bottom w:val="single" w:sz="8" w:color="CBECD5"/>
            </w:tcBorders>
            <w:gridSpan w:val="7"/>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42</w:t>
            </w:r>
          </w:p>
        </w:tc>
      </w:tr>
      <w:tr>
        <w:trPr>
          <w:trHeight w:val="209"/>
        </w:trPr>
        <w:tc>
          <w:tcPr>
            <w:tcW w:w="140" w:type="dxa"/>
            <w:vAlign w:val="bottom"/>
            <w:tcBorders>
              <w:left w:val="single" w:sz="8" w:color="53C072"/>
              <w:bottom w:val="single" w:sz="8" w:color="CBECD5"/>
            </w:tcBorders>
            <w:shd w:val="clear" w:color="auto" w:fill="CBECD5"/>
          </w:tcPr>
          <w:p>
            <w:pPr>
              <w:spacing w:after="0"/>
              <w:rPr>
                <w:sz w:val="18"/>
                <w:szCs w:val="18"/>
                <w:color w:val="auto"/>
              </w:rPr>
            </w:pPr>
          </w:p>
        </w:tc>
        <w:tc>
          <w:tcPr>
            <w:tcW w:w="180" w:type="dxa"/>
            <w:vAlign w:val="bottom"/>
            <w:tcBorders>
              <w:bottom w:val="single" w:sz="8" w:color="CBECD5"/>
              <w:right w:val="single" w:sz="8" w:color="CBECD5"/>
            </w:tcBorders>
            <w:shd w:val="clear" w:color="auto" w:fill="CBECD5"/>
          </w:tcPr>
          <w:p>
            <w:pPr>
              <w:spacing w:after="0"/>
              <w:rPr>
                <w:sz w:val="18"/>
                <w:szCs w:val="18"/>
                <w:color w:val="auto"/>
              </w:rPr>
            </w:pPr>
          </w:p>
        </w:tc>
        <w:tc>
          <w:tcPr>
            <w:tcW w:w="1460" w:type="dxa"/>
            <w:vAlign w:val="bottom"/>
            <w:tcBorders>
              <w:bottom w:val="single" w:sz="8" w:color="0000EE"/>
            </w:tcBorders>
            <w:gridSpan w:val="6"/>
            <w:shd w:val="clear" w:color="auto" w:fill="CBECD5"/>
          </w:tcPr>
          <w:p>
            <w:pPr>
              <w:spacing w:after="0"/>
              <w:rPr>
                <w:sz w:val="20"/>
                <w:szCs w:val="20"/>
                <w:color w:val="auto"/>
              </w:rPr>
            </w:pPr>
            <w:r>
              <w:rPr>
                <w:rFonts w:ascii="Arial" w:cs="Arial" w:eastAsia="Arial" w:hAnsi="Arial"/>
                <w:sz w:val="16"/>
                <w:szCs w:val="16"/>
                <w:color w:val="0000EE"/>
                <w:w w:val="96"/>
              </w:rPr>
              <w:t>Role of Management</w:t>
            </w:r>
          </w:p>
        </w:tc>
        <w:tc>
          <w:tcPr>
            <w:tcW w:w="1820" w:type="dxa"/>
            <w:vAlign w:val="bottom"/>
            <w:tcBorders>
              <w:bottom w:val="single" w:sz="8" w:color="CBECD5"/>
            </w:tcBorders>
            <w:gridSpan w:val="17"/>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42</w:t>
            </w:r>
          </w:p>
        </w:tc>
      </w:tr>
      <w:tr>
        <w:trPr>
          <w:trHeight w:val="209"/>
        </w:trPr>
        <w:tc>
          <w:tcPr>
            <w:tcW w:w="140" w:type="dxa"/>
            <w:vAlign w:val="bottom"/>
            <w:tcBorders>
              <w:left w:val="single" w:sz="8" w:color="53C072"/>
            </w:tcBorders>
            <w:shd w:val="clear" w:color="auto" w:fill="CBECD5"/>
          </w:tcPr>
          <w:p>
            <w:pPr>
              <w:spacing w:after="0"/>
              <w:rPr>
                <w:sz w:val="18"/>
                <w:szCs w:val="18"/>
                <w:color w:val="auto"/>
              </w:rPr>
            </w:pPr>
          </w:p>
        </w:tc>
        <w:tc>
          <w:tcPr>
            <w:tcW w:w="180" w:type="dxa"/>
            <w:vAlign w:val="bottom"/>
            <w:tcBorders>
              <w:right w:val="single" w:sz="8" w:color="CBECD5"/>
            </w:tcBorders>
            <w:shd w:val="clear" w:color="auto" w:fill="CBECD5"/>
          </w:tcPr>
          <w:p>
            <w:pPr>
              <w:spacing w:after="0"/>
              <w:rPr>
                <w:sz w:val="18"/>
                <w:szCs w:val="18"/>
                <w:color w:val="auto"/>
              </w:rPr>
            </w:pPr>
          </w:p>
        </w:tc>
        <w:tc>
          <w:tcPr>
            <w:tcW w:w="3280" w:type="dxa"/>
            <w:vAlign w:val="bottom"/>
            <w:gridSpan w:val="23"/>
            <w:shd w:val="clear" w:color="auto" w:fill="CBECD5"/>
          </w:tcPr>
          <w:p>
            <w:pPr>
              <w:spacing w:after="0"/>
              <w:rPr>
                <w:sz w:val="20"/>
                <w:szCs w:val="20"/>
                <w:color w:val="auto"/>
              </w:rPr>
            </w:pPr>
            <w:r>
              <w:rPr>
                <w:rFonts w:ascii="Arial" w:cs="Arial" w:eastAsia="Arial" w:hAnsi="Arial"/>
                <w:sz w:val="16"/>
                <w:szCs w:val="16"/>
                <w:color w:val="0000EE"/>
              </w:rPr>
              <w:t>Role of the Independent Compensation</w:t>
            </w:r>
          </w:p>
        </w:tc>
        <w:tc>
          <w:tcPr>
            <w:tcW w:w="420" w:type="dxa"/>
            <w:vAlign w:val="bottom"/>
            <w:shd w:val="clear" w:color="auto" w:fill="CBECD5"/>
          </w:tcPr>
          <w:p>
            <w:pPr>
              <w:spacing w:after="0"/>
              <w:rPr>
                <w:sz w:val="18"/>
                <w:szCs w:val="18"/>
                <w:color w:val="auto"/>
              </w:rPr>
            </w:pPr>
          </w:p>
        </w:tc>
        <w:tc>
          <w:tcPr>
            <w:tcW w:w="260" w:type="dxa"/>
            <w:vAlign w:val="bottom"/>
            <w:tcBorders>
              <w:right w:val="single" w:sz="8" w:color="53C072"/>
            </w:tcBorders>
            <w:shd w:val="clear" w:color="auto" w:fill="CBECD5"/>
          </w:tcPr>
          <w:p>
            <w:pPr>
              <w:spacing w:after="0"/>
              <w:rPr>
                <w:sz w:val="18"/>
                <w:szCs w:val="18"/>
                <w:color w:val="auto"/>
              </w:rPr>
            </w:pPr>
          </w:p>
        </w:tc>
      </w:tr>
      <w:tr>
        <w:trPr>
          <w:trHeight w:val="176"/>
        </w:trPr>
        <w:tc>
          <w:tcPr>
            <w:tcW w:w="140" w:type="dxa"/>
            <w:vAlign w:val="bottom"/>
            <w:tcBorders>
              <w:top w:val="single" w:sz="8" w:color="CBECD5"/>
              <w:left w:val="single" w:sz="8" w:color="53C072"/>
              <w:bottom w:val="single" w:sz="8" w:color="CBECD5"/>
            </w:tcBorders>
            <w:shd w:val="clear" w:color="auto" w:fill="CBECD5"/>
          </w:tcPr>
          <w:p>
            <w:pPr>
              <w:spacing w:after="0"/>
              <w:rPr>
                <w:sz w:val="15"/>
                <w:szCs w:val="15"/>
                <w:color w:val="auto"/>
              </w:rPr>
            </w:pPr>
          </w:p>
        </w:tc>
        <w:tc>
          <w:tcPr>
            <w:tcW w:w="180" w:type="dxa"/>
            <w:vAlign w:val="bottom"/>
            <w:tcBorders>
              <w:top w:val="single" w:sz="8" w:color="CBECD5"/>
              <w:bottom w:val="single" w:sz="8" w:color="CBECD5"/>
              <w:right w:val="single" w:sz="8" w:color="CBECD5"/>
            </w:tcBorders>
            <w:shd w:val="clear" w:color="auto" w:fill="CBECD5"/>
          </w:tcPr>
          <w:p>
            <w:pPr>
              <w:spacing w:after="0"/>
              <w:rPr>
                <w:sz w:val="15"/>
                <w:szCs w:val="15"/>
                <w:color w:val="auto"/>
              </w:rPr>
            </w:pPr>
          </w:p>
        </w:tc>
        <w:tc>
          <w:tcPr>
            <w:tcW w:w="840" w:type="dxa"/>
            <w:vAlign w:val="bottom"/>
            <w:tcBorders>
              <w:top w:val="single" w:sz="8" w:color="0000EE"/>
              <w:bottom w:val="single" w:sz="8" w:color="0000EE"/>
            </w:tcBorders>
            <w:gridSpan w:val="3"/>
            <w:shd w:val="clear" w:color="auto" w:fill="CBECD5"/>
          </w:tcPr>
          <w:p>
            <w:pPr>
              <w:spacing w:after="0" w:line="155" w:lineRule="exact"/>
              <w:rPr>
                <w:sz w:val="20"/>
                <w:szCs w:val="20"/>
                <w:color w:val="auto"/>
              </w:rPr>
            </w:pPr>
            <w:r>
              <w:rPr>
                <w:rFonts w:ascii="Arial" w:cs="Arial" w:eastAsia="Arial" w:hAnsi="Arial"/>
                <w:sz w:val="16"/>
                <w:szCs w:val="16"/>
                <w:color w:val="0000EE"/>
              </w:rPr>
              <w:t>Consultant</w:t>
            </w:r>
          </w:p>
        </w:tc>
        <w:tc>
          <w:tcPr>
            <w:tcW w:w="1900" w:type="dxa"/>
            <w:vAlign w:val="bottom"/>
            <w:tcBorders>
              <w:top w:val="single" w:sz="8" w:color="0000EE"/>
              <w:bottom w:val="single" w:sz="8" w:color="CBECD5"/>
            </w:tcBorders>
            <w:gridSpan w:val="16"/>
            <w:shd w:val="clear" w:color="auto" w:fill="CBECD5"/>
          </w:tcPr>
          <w:p>
            <w:pPr>
              <w:spacing w:after="0"/>
              <w:rPr>
                <w:sz w:val="15"/>
                <w:szCs w:val="15"/>
                <w:color w:val="auto"/>
              </w:rPr>
            </w:pPr>
          </w:p>
        </w:tc>
        <w:tc>
          <w:tcPr>
            <w:tcW w:w="520" w:type="dxa"/>
            <w:vAlign w:val="bottom"/>
            <w:tcBorders>
              <w:top w:val="single" w:sz="8" w:color="CBECD5"/>
              <w:bottom w:val="single" w:sz="8" w:color="CBECD5"/>
            </w:tcBorders>
            <w:gridSpan w:val="3"/>
            <w:shd w:val="clear" w:color="auto" w:fill="CBECD5"/>
          </w:tcPr>
          <w:p>
            <w:pPr>
              <w:spacing w:after="0"/>
              <w:rPr>
                <w:sz w:val="15"/>
                <w:szCs w:val="15"/>
                <w:color w:val="auto"/>
              </w:rPr>
            </w:pPr>
          </w:p>
        </w:tc>
        <w:tc>
          <w:tcPr>
            <w:tcW w:w="20" w:type="dxa"/>
            <w:vAlign w:val="bottom"/>
            <w:tcBorders>
              <w:top w:val="single" w:sz="8" w:color="CBECD5"/>
              <w:bottom w:val="single" w:sz="8" w:color="CBECD5"/>
            </w:tcBorders>
            <w:shd w:val="clear" w:color="auto" w:fill="CBECD5"/>
          </w:tcPr>
          <w:p>
            <w:pPr>
              <w:spacing w:after="0"/>
              <w:rPr>
                <w:sz w:val="15"/>
                <w:szCs w:val="15"/>
                <w:color w:val="auto"/>
              </w:rPr>
            </w:pPr>
          </w:p>
        </w:tc>
        <w:tc>
          <w:tcPr>
            <w:tcW w:w="420" w:type="dxa"/>
            <w:vAlign w:val="bottom"/>
            <w:tcBorders>
              <w:top w:val="single" w:sz="8" w:color="CBECD5"/>
              <w:bottom w:val="single" w:sz="8" w:color="CBECD5"/>
            </w:tcBorders>
            <w:shd w:val="clear" w:color="auto" w:fill="CBECD5"/>
          </w:tcPr>
          <w:p>
            <w:pPr>
              <w:spacing w:after="0"/>
              <w:rPr>
                <w:sz w:val="15"/>
                <w:szCs w:val="15"/>
                <w:color w:val="auto"/>
              </w:rPr>
            </w:pPr>
          </w:p>
        </w:tc>
        <w:tc>
          <w:tcPr>
            <w:tcW w:w="260" w:type="dxa"/>
            <w:vAlign w:val="bottom"/>
            <w:tcBorders>
              <w:top w:val="single" w:sz="8" w:color="CBECD5"/>
              <w:bottom w:val="single" w:sz="8" w:color="0000EE"/>
              <w:right w:val="single" w:sz="8" w:color="53C072"/>
            </w:tcBorders>
            <w:shd w:val="clear" w:color="auto" w:fill="CBECD5"/>
          </w:tcPr>
          <w:p>
            <w:pPr>
              <w:jc w:val="right"/>
              <w:spacing w:after="0" w:line="155" w:lineRule="exact"/>
              <w:rPr>
                <w:sz w:val="20"/>
                <w:szCs w:val="20"/>
                <w:color w:val="auto"/>
              </w:rPr>
            </w:pPr>
            <w:r>
              <w:rPr>
                <w:rFonts w:ascii="Arial" w:cs="Arial" w:eastAsia="Arial" w:hAnsi="Arial"/>
                <w:sz w:val="16"/>
                <w:szCs w:val="16"/>
                <w:color w:val="0000EE"/>
                <w:w w:val="89"/>
              </w:rPr>
              <w:t>43</w:t>
            </w:r>
          </w:p>
        </w:tc>
      </w:tr>
      <w:tr>
        <w:trPr>
          <w:trHeight w:val="216"/>
        </w:trPr>
        <w:tc>
          <w:tcPr>
            <w:tcW w:w="140" w:type="dxa"/>
            <w:vAlign w:val="bottom"/>
            <w:tcBorders>
              <w:left w:val="single" w:sz="8" w:color="53C072"/>
              <w:bottom w:val="single" w:sz="8" w:color="CBECD5"/>
            </w:tcBorders>
            <w:shd w:val="clear" w:color="auto" w:fill="CBECD5"/>
          </w:tcPr>
          <w:p>
            <w:pPr>
              <w:spacing w:after="0"/>
              <w:rPr>
                <w:sz w:val="18"/>
                <w:szCs w:val="18"/>
                <w:color w:val="auto"/>
              </w:rPr>
            </w:pPr>
          </w:p>
        </w:tc>
        <w:tc>
          <w:tcPr>
            <w:tcW w:w="180" w:type="dxa"/>
            <w:vAlign w:val="bottom"/>
            <w:tcBorders>
              <w:bottom w:val="single" w:sz="8" w:color="CBECD5"/>
              <w:right w:val="single" w:sz="8" w:color="CBECD5"/>
            </w:tcBorders>
            <w:shd w:val="clear" w:color="auto" w:fill="CBECD5"/>
          </w:tcPr>
          <w:p>
            <w:pPr>
              <w:spacing w:after="0"/>
              <w:rPr>
                <w:sz w:val="18"/>
                <w:szCs w:val="18"/>
                <w:color w:val="auto"/>
              </w:rPr>
            </w:pPr>
          </w:p>
        </w:tc>
        <w:tc>
          <w:tcPr>
            <w:tcW w:w="1000" w:type="dxa"/>
            <w:vAlign w:val="bottom"/>
            <w:tcBorders>
              <w:bottom w:val="single" w:sz="8" w:color="0000EE"/>
            </w:tcBorders>
            <w:gridSpan w:val="4"/>
            <w:shd w:val="clear" w:color="auto" w:fill="CBECD5"/>
          </w:tcPr>
          <w:p>
            <w:pPr>
              <w:spacing w:after="0"/>
              <w:rPr>
                <w:sz w:val="20"/>
                <w:szCs w:val="20"/>
                <w:color w:val="auto"/>
              </w:rPr>
            </w:pPr>
            <w:r>
              <w:rPr>
                <w:rFonts w:ascii="Arial" w:cs="Arial" w:eastAsia="Arial" w:hAnsi="Arial"/>
                <w:sz w:val="16"/>
                <w:szCs w:val="16"/>
                <w:color w:val="0000EE"/>
                <w:w w:val="95"/>
              </w:rPr>
              <w:t>Benchmarking</w:t>
            </w:r>
          </w:p>
        </w:tc>
        <w:tc>
          <w:tcPr>
            <w:tcW w:w="2280" w:type="dxa"/>
            <w:vAlign w:val="bottom"/>
            <w:tcBorders>
              <w:bottom w:val="single" w:sz="8" w:color="CBECD5"/>
            </w:tcBorders>
            <w:gridSpan w:val="19"/>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43</w:t>
            </w:r>
          </w:p>
        </w:tc>
      </w:tr>
      <w:tr>
        <w:trPr>
          <w:trHeight w:val="210"/>
        </w:trPr>
        <w:tc>
          <w:tcPr>
            <w:tcW w:w="140" w:type="dxa"/>
            <w:vAlign w:val="bottom"/>
            <w:tcBorders>
              <w:left w:val="single" w:sz="8" w:color="53C072"/>
              <w:bottom w:val="single" w:sz="8" w:color="CBECD5"/>
            </w:tcBorders>
            <w:shd w:val="clear" w:color="auto" w:fill="CBECD5"/>
          </w:tcPr>
          <w:p>
            <w:pPr>
              <w:spacing w:after="0"/>
              <w:rPr>
                <w:sz w:val="18"/>
                <w:szCs w:val="18"/>
                <w:color w:val="auto"/>
              </w:rPr>
            </w:pPr>
          </w:p>
        </w:tc>
        <w:tc>
          <w:tcPr>
            <w:tcW w:w="2040" w:type="dxa"/>
            <w:vAlign w:val="bottom"/>
            <w:tcBorders>
              <w:bottom w:val="single" w:sz="8" w:color="0000EE"/>
            </w:tcBorders>
            <w:gridSpan w:val="12"/>
            <w:shd w:val="clear" w:color="auto" w:fill="CBECD5"/>
          </w:tcPr>
          <w:p>
            <w:pPr>
              <w:spacing w:after="0"/>
              <w:rPr>
                <w:sz w:val="20"/>
                <w:szCs w:val="20"/>
                <w:color w:val="auto"/>
              </w:rPr>
            </w:pPr>
            <w:r>
              <w:rPr>
                <w:rFonts w:ascii="Arial" w:cs="Arial" w:eastAsia="Arial" w:hAnsi="Arial"/>
                <w:sz w:val="16"/>
                <w:szCs w:val="16"/>
                <w:b w:val="1"/>
                <w:bCs w:val="1"/>
                <w:color w:val="0000EE"/>
                <w:w w:val="99"/>
              </w:rPr>
              <w:t>Overview of Pay Programs</w:t>
            </w:r>
          </w:p>
        </w:tc>
        <w:tc>
          <w:tcPr>
            <w:tcW w:w="1420" w:type="dxa"/>
            <w:vAlign w:val="bottom"/>
            <w:tcBorders>
              <w:bottom w:val="single" w:sz="8" w:color="CBECD5"/>
            </w:tcBorders>
            <w:gridSpan w:val="12"/>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44</w:t>
            </w:r>
          </w:p>
        </w:tc>
      </w:tr>
      <w:tr>
        <w:trPr>
          <w:trHeight w:val="210"/>
        </w:trPr>
        <w:tc>
          <w:tcPr>
            <w:tcW w:w="140" w:type="dxa"/>
            <w:vAlign w:val="bottom"/>
            <w:tcBorders>
              <w:left w:val="single" w:sz="8" w:color="53C072"/>
            </w:tcBorders>
            <w:shd w:val="clear" w:color="auto" w:fill="CBECD5"/>
          </w:tcPr>
          <w:p>
            <w:pPr>
              <w:spacing w:after="0"/>
              <w:rPr>
                <w:sz w:val="18"/>
                <w:szCs w:val="18"/>
                <w:color w:val="auto"/>
              </w:rPr>
            </w:pPr>
          </w:p>
        </w:tc>
        <w:tc>
          <w:tcPr>
            <w:tcW w:w="180" w:type="dxa"/>
            <w:vAlign w:val="bottom"/>
            <w:tcBorders>
              <w:right w:val="single" w:sz="8" w:color="CBECD5"/>
            </w:tcBorders>
            <w:shd w:val="clear" w:color="auto" w:fill="CBECD5"/>
          </w:tcPr>
          <w:p>
            <w:pPr>
              <w:spacing w:after="0"/>
              <w:rPr>
                <w:sz w:val="18"/>
                <w:szCs w:val="18"/>
                <w:color w:val="auto"/>
              </w:rPr>
            </w:pPr>
          </w:p>
        </w:tc>
        <w:tc>
          <w:tcPr>
            <w:tcW w:w="3280" w:type="dxa"/>
            <w:vAlign w:val="bottom"/>
            <w:gridSpan w:val="23"/>
            <w:shd w:val="clear" w:color="auto" w:fill="CBECD5"/>
          </w:tcPr>
          <w:p>
            <w:pPr>
              <w:spacing w:after="0"/>
              <w:rPr>
                <w:sz w:val="20"/>
                <w:szCs w:val="20"/>
                <w:color w:val="auto"/>
              </w:rPr>
            </w:pPr>
            <w:r>
              <w:rPr>
                <w:rFonts w:ascii="Arial" w:cs="Arial" w:eastAsia="Arial" w:hAnsi="Arial"/>
                <w:sz w:val="16"/>
                <w:szCs w:val="16"/>
                <w:color w:val="0000EE"/>
              </w:rPr>
              <w:t>Pay Mix</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45</w:t>
            </w:r>
          </w:p>
        </w:tc>
      </w:tr>
      <w:tr>
        <w:trPr>
          <w:trHeight w:val="20"/>
        </w:trPr>
        <w:tc>
          <w:tcPr>
            <w:tcW w:w="140" w:type="dxa"/>
            <w:vAlign w:val="bottom"/>
            <w:tcBorders>
              <w:left w:val="single" w:sz="8" w:color="53C072"/>
            </w:tcBorders>
            <w:shd w:val="clear" w:color="auto" w:fill="CBECD5"/>
          </w:tcPr>
          <w:p>
            <w:pPr>
              <w:spacing w:after="0" w:line="20" w:lineRule="exact"/>
              <w:rPr>
                <w:sz w:val="1"/>
                <w:szCs w:val="1"/>
                <w:color w:val="auto"/>
              </w:rPr>
            </w:pPr>
          </w:p>
        </w:tc>
        <w:tc>
          <w:tcPr>
            <w:tcW w:w="180" w:type="dxa"/>
            <w:vAlign w:val="bottom"/>
            <w:tcBorders>
              <w:right w:val="single" w:sz="8" w:color="0000EE"/>
            </w:tcBorders>
            <w:shd w:val="clear" w:color="auto" w:fill="CBECD5"/>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CBECD5"/>
          </w:tcPr>
          <w:p>
            <w:pPr>
              <w:spacing w:after="0" w:line="20" w:lineRule="exact"/>
              <w:rPr>
                <w:sz w:val="1"/>
                <w:szCs w:val="1"/>
                <w:color w:val="auto"/>
              </w:rPr>
            </w:pPr>
          </w:p>
        </w:tc>
        <w:tc>
          <w:tcPr>
            <w:tcW w:w="500" w:type="dxa"/>
            <w:vAlign w:val="bottom"/>
            <w:gridSpan w:val="2"/>
            <w:shd w:val="clear" w:color="auto" w:fill="CBECD5"/>
          </w:tcPr>
          <w:p>
            <w:pPr>
              <w:spacing w:after="0" w:line="20" w:lineRule="exact"/>
              <w:rPr>
                <w:sz w:val="1"/>
                <w:szCs w:val="1"/>
                <w:color w:val="auto"/>
              </w:rPr>
            </w:pPr>
          </w:p>
        </w:tc>
        <w:tc>
          <w:tcPr>
            <w:tcW w:w="160" w:type="dxa"/>
            <w:vAlign w:val="bottom"/>
            <w:gridSpan w:val="2"/>
            <w:shd w:val="clear" w:color="auto" w:fill="CBECD5"/>
          </w:tcPr>
          <w:p>
            <w:pPr>
              <w:spacing w:after="0" w:line="20" w:lineRule="exact"/>
              <w:rPr>
                <w:sz w:val="1"/>
                <w:szCs w:val="1"/>
                <w:color w:val="auto"/>
              </w:rPr>
            </w:pPr>
          </w:p>
        </w:tc>
        <w:tc>
          <w:tcPr>
            <w:tcW w:w="60" w:type="dxa"/>
            <w:vAlign w:val="bottom"/>
            <w:shd w:val="clear" w:color="auto" w:fill="CBECD5"/>
          </w:tcPr>
          <w:p>
            <w:pPr>
              <w:spacing w:after="0" w:line="20" w:lineRule="exact"/>
              <w:rPr>
                <w:sz w:val="1"/>
                <w:szCs w:val="1"/>
                <w:color w:val="auto"/>
              </w:rPr>
            </w:pPr>
          </w:p>
        </w:tc>
        <w:tc>
          <w:tcPr>
            <w:tcW w:w="80" w:type="dxa"/>
            <w:vAlign w:val="bottom"/>
            <w:gridSpan w:val="2"/>
            <w:shd w:val="clear" w:color="auto" w:fill="CBECD5"/>
          </w:tcPr>
          <w:p>
            <w:pPr>
              <w:spacing w:after="0" w:line="20" w:lineRule="exact"/>
              <w:rPr>
                <w:sz w:val="1"/>
                <w:szCs w:val="1"/>
                <w:color w:val="auto"/>
              </w:rPr>
            </w:pPr>
          </w:p>
        </w:tc>
        <w:tc>
          <w:tcPr>
            <w:tcW w:w="400" w:type="dxa"/>
            <w:vAlign w:val="bottom"/>
            <w:tcBorders>
              <w:right w:val="single" w:sz="8" w:color="CBECD5"/>
            </w:tcBorders>
            <w:gridSpan w:val="3"/>
            <w:shd w:val="clear" w:color="auto" w:fill="CBECD5"/>
          </w:tcPr>
          <w:p>
            <w:pPr>
              <w:spacing w:after="0" w:line="20" w:lineRule="exact"/>
              <w:rPr>
                <w:sz w:val="1"/>
                <w:szCs w:val="1"/>
                <w:color w:val="auto"/>
              </w:rPr>
            </w:pPr>
          </w:p>
        </w:tc>
        <w:tc>
          <w:tcPr>
            <w:tcW w:w="300" w:type="dxa"/>
            <w:vAlign w:val="bottom"/>
            <w:gridSpan w:val="2"/>
            <w:shd w:val="clear" w:color="auto" w:fill="CBECD5"/>
          </w:tcPr>
          <w:p>
            <w:pPr>
              <w:spacing w:after="0" w:line="20" w:lineRule="exact"/>
              <w:rPr>
                <w:sz w:val="1"/>
                <w:szCs w:val="1"/>
                <w:color w:val="auto"/>
              </w:rPr>
            </w:pPr>
          </w:p>
        </w:tc>
        <w:tc>
          <w:tcPr>
            <w:tcW w:w="120" w:type="dxa"/>
            <w:vAlign w:val="bottom"/>
            <w:tcBorders>
              <w:right w:val="single" w:sz="8" w:color="CBECD5"/>
            </w:tcBorders>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60" w:type="dxa"/>
            <w:vAlign w:val="bottom"/>
            <w:shd w:val="clear" w:color="auto" w:fill="CBECD5"/>
          </w:tcPr>
          <w:p>
            <w:pPr>
              <w:spacing w:after="0" w:line="20" w:lineRule="exact"/>
              <w:rPr>
                <w:sz w:val="1"/>
                <w:szCs w:val="1"/>
                <w:color w:val="auto"/>
              </w:rPr>
            </w:pPr>
          </w:p>
        </w:tc>
        <w:tc>
          <w:tcPr>
            <w:tcW w:w="580" w:type="dxa"/>
            <w:vAlign w:val="bottom"/>
            <w:gridSpan w:val="4"/>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10"/>
        </w:trPr>
        <w:tc>
          <w:tcPr>
            <w:tcW w:w="140" w:type="dxa"/>
            <w:vAlign w:val="bottom"/>
            <w:tcBorders>
              <w:left w:val="single" w:sz="8" w:color="53C072"/>
              <w:bottom w:val="single" w:sz="8" w:color="CBECD5"/>
            </w:tcBorders>
            <w:shd w:val="clear" w:color="auto" w:fill="CBECD5"/>
          </w:tcPr>
          <w:p>
            <w:pPr>
              <w:spacing w:after="0"/>
              <w:rPr>
                <w:sz w:val="18"/>
                <w:szCs w:val="18"/>
                <w:color w:val="auto"/>
              </w:rPr>
            </w:pPr>
          </w:p>
        </w:tc>
        <w:tc>
          <w:tcPr>
            <w:tcW w:w="180" w:type="dxa"/>
            <w:vAlign w:val="bottom"/>
            <w:tcBorders>
              <w:bottom w:val="single" w:sz="8" w:color="CBECD5"/>
              <w:right w:val="single" w:sz="8" w:color="CBECD5"/>
            </w:tcBorders>
            <w:shd w:val="clear" w:color="auto" w:fill="CBECD5"/>
          </w:tcPr>
          <w:p>
            <w:pPr>
              <w:spacing w:after="0"/>
              <w:rPr>
                <w:sz w:val="18"/>
                <w:szCs w:val="18"/>
                <w:color w:val="auto"/>
              </w:rPr>
            </w:pPr>
          </w:p>
        </w:tc>
        <w:tc>
          <w:tcPr>
            <w:tcW w:w="2620" w:type="dxa"/>
            <w:vAlign w:val="bottom"/>
            <w:tcBorders>
              <w:bottom w:val="single" w:sz="8" w:color="0000EE"/>
            </w:tcBorders>
            <w:gridSpan w:val="17"/>
            <w:shd w:val="clear" w:color="auto" w:fill="CBECD5"/>
          </w:tcPr>
          <w:p>
            <w:pPr>
              <w:spacing w:after="0"/>
              <w:rPr>
                <w:sz w:val="20"/>
                <w:szCs w:val="20"/>
                <w:color w:val="auto"/>
              </w:rPr>
            </w:pPr>
            <w:r>
              <w:rPr>
                <w:rFonts w:ascii="Arial" w:cs="Arial" w:eastAsia="Arial" w:hAnsi="Arial"/>
                <w:sz w:val="16"/>
                <w:szCs w:val="16"/>
                <w:color w:val="0000EE"/>
                <w:w w:val="98"/>
              </w:rPr>
              <w:t>Compensation Governance Practices</w:t>
            </w:r>
          </w:p>
        </w:tc>
        <w:tc>
          <w:tcPr>
            <w:tcW w:w="660" w:type="dxa"/>
            <w:vAlign w:val="bottom"/>
            <w:tcBorders>
              <w:bottom w:val="single" w:sz="8" w:color="CBECD5"/>
            </w:tcBorders>
            <w:gridSpan w:val="6"/>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46</w:t>
            </w:r>
          </w:p>
        </w:tc>
      </w:tr>
      <w:tr>
        <w:trPr>
          <w:trHeight w:val="209"/>
        </w:trPr>
        <w:tc>
          <w:tcPr>
            <w:tcW w:w="140" w:type="dxa"/>
            <w:vAlign w:val="bottom"/>
            <w:tcBorders>
              <w:left w:val="single" w:sz="8" w:color="53C072"/>
              <w:bottom w:val="single" w:sz="8" w:color="CBECD5"/>
            </w:tcBorders>
            <w:shd w:val="clear" w:color="auto" w:fill="CBECD5"/>
          </w:tcPr>
          <w:p>
            <w:pPr>
              <w:spacing w:after="0"/>
              <w:rPr>
                <w:sz w:val="18"/>
                <w:szCs w:val="18"/>
                <w:color w:val="auto"/>
              </w:rPr>
            </w:pPr>
          </w:p>
        </w:tc>
        <w:tc>
          <w:tcPr>
            <w:tcW w:w="180" w:type="dxa"/>
            <w:vAlign w:val="bottom"/>
            <w:tcBorders>
              <w:bottom w:val="single" w:sz="8" w:color="CBECD5"/>
              <w:right w:val="single" w:sz="8" w:color="CBECD5"/>
            </w:tcBorders>
            <w:shd w:val="clear" w:color="auto" w:fill="CBECD5"/>
          </w:tcPr>
          <w:p>
            <w:pPr>
              <w:spacing w:after="0"/>
              <w:rPr>
                <w:sz w:val="18"/>
                <w:szCs w:val="18"/>
                <w:color w:val="auto"/>
              </w:rPr>
            </w:pPr>
          </w:p>
        </w:tc>
        <w:tc>
          <w:tcPr>
            <w:tcW w:w="2340" w:type="dxa"/>
            <w:vAlign w:val="bottom"/>
            <w:tcBorders>
              <w:bottom w:val="single" w:sz="8" w:color="0000EE"/>
            </w:tcBorders>
            <w:gridSpan w:val="15"/>
            <w:shd w:val="clear" w:color="auto" w:fill="CBECD5"/>
          </w:tcPr>
          <w:p>
            <w:pPr>
              <w:spacing w:after="0"/>
              <w:rPr>
                <w:sz w:val="20"/>
                <w:szCs w:val="20"/>
                <w:color w:val="auto"/>
              </w:rPr>
            </w:pPr>
            <w:r>
              <w:rPr>
                <w:rFonts w:ascii="Arial" w:cs="Arial" w:eastAsia="Arial" w:hAnsi="Arial"/>
                <w:sz w:val="16"/>
                <w:szCs w:val="16"/>
                <w:color w:val="0000EE"/>
                <w:w w:val="98"/>
              </w:rPr>
              <w:t>Compensation Risk Management</w:t>
            </w:r>
          </w:p>
        </w:tc>
        <w:tc>
          <w:tcPr>
            <w:tcW w:w="940" w:type="dxa"/>
            <w:vAlign w:val="bottom"/>
            <w:tcBorders>
              <w:bottom w:val="single" w:sz="8" w:color="CBECD5"/>
            </w:tcBorders>
            <w:gridSpan w:val="8"/>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47</w:t>
            </w:r>
          </w:p>
        </w:tc>
      </w:tr>
      <w:tr>
        <w:trPr>
          <w:trHeight w:val="210"/>
        </w:trPr>
        <w:tc>
          <w:tcPr>
            <w:tcW w:w="140" w:type="dxa"/>
            <w:vAlign w:val="bottom"/>
            <w:tcBorders>
              <w:left w:val="single" w:sz="8" w:color="53C072"/>
            </w:tcBorders>
            <w:shd w:val="clear" w:color="auto" w:fill="CBECD5"/>
          </w:tcPr>
          <w:p>
            <w:pPr>
              <w:spacing w:after="0"/>
              <w:rPr>
                <w:sz w:val="18"/>
                <w:szCs w:val="18"/>
                <w:color w:val="auto"/>
              </w:rPr>
            </w:pPr>
          </w:p>
        </w:tc>
        <w:tc>
          <w:tcPr>
            <w:tcW w:w="3460" w:type="dxa"/>
            <w:vAlign w:val="bottom"/>
            <w:gridSpan w:val="24"/>
            <w:shd w:val="clear" w:color="auto" w:fill="CBECD5"/>
          </w:tcPr>
          <w:p>
            <w:pPr>
              <w:spacing w:after="0"/>
              <w:rPr>
                <w:sz w:val="20"/>
                <w:szCs w:val="20"/>
                <w:color w:val="auto"/>
              </w:rPr>
            </w:pPr>
            <w:r>
              <w:rPr>
                <w:rFonts w:ascii="Arial" w:cs="Arial" w:eastAsia="Arial" w:hAnsi="Arial"/>
                <w:sz w:val="16"/>
                <w:szCs w:val="16"/>
                <w:b w:val="1"/>
                <w:bCs w:val="1"/>
                <w:color w:val="0000EE"/>
              </w:rPr>
              <w:t>Elements of Executive Compensation</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47</w:t>
            </w:r>
          </w:p>
        </w:tc>
      </w:tr>
      <w:tr>
        <w:trPr>
          <w:trHeight w:val="210"/>
        </w:trPr>
        <w:tc>
          <w:tcPr>
            <w:tcW w:w="140" w:type="dxa"/>
            <w:vAlign w:val="bottom"/>
            <w:tcBorders>
              <w:top w:val="single" w:sz="8" w:color="CBECD5"/>
              <w:left w:val="single" w:sz="8" w:color="53C072"/>
              <w:bottom w:val="single" w:sz="8" w:color="CBECD5"/>
            </w:tcBorders>
            <w:shd w:val="clear" w:color="auto" w:fill="CBECD5"/>
          </w:tcPr>
          <w:p>
            <w:pPr>
              <w:spacing w:after="0"/>
              <w:rPr>
                <w:sz w:val="18"/>
                <w:szCs w:val="18"/>
                <w:color w:val="auto"/>
              </w:rPr>
            </w:pPr>
          </w:p>
        </w:tc>
        <w:tc>
          <w:tcPr>
            <w:tcW w:w="180" w:type="dxa"/>
            <w:vAlign w:val="bottom"/>
            <w:tcBorders>
              <w:top w:val="single" w:sz="8" w:color="0000EE"/>
              <w:bottom w:val="single" w:sz="8" w:color="CBECD5"/>
              <w:right w:val="single" w:sz="8" w:color="CBECD5"/>
            </w:tcBorders>
            <w:shd w:val="clear" w:color="auto" w:fill="CBECD5"/>
          </w:tcPr>
          <w:p>
            <w:pPr>
              <w:spacing w:after="0"/>
              <w:rPr>
                <w:sz w:val="18"/>
                <w:szCs w:val="18"/>
                <w:color w:val="auto"/>
              </w:rPr>
            </w:pPr>
          </w:p>
        </w:tc>
        <w:tc>
          <w:tcPr>
            <w:tcW w:w="840" w:type="dxa"/>
            <w:vAlign w:val="bottom"/>
            <w:tcBorders>
              <w:top w:val="single" w:sz="8" w:color="0000EE"/>
              <w:bottom w:val="single" w:sz="8" w:color="0000EE"/>
            </w:tcBorders>
            <w:gridSpan w:val="3"/>
            <w:shd w:val="clear" w:color="auto" w:fill="CBECD5"/>
          </w:tcPr>
          <w:p>
            <w:pPr>
              <w:spacing w:after="0"/>
              <w:rPr>
                <w:sz w:val="20"/>
                <w:szCs w:val="20"/>
                <w:color w:val="auto"/>
              </w:rPr>
            </w:pPr>
            <w:r>
              <w:rPr>
                <w:rFonts w:ascii="Arial" w:cs="Arial" w:eastAsia="Arial" w:hAnsi="Arial"/>
                <w:sz w:val="16"/>
                <w:szCs w:val="16"/>
                <w:color w:val="0000EE"/>
                <w:w w:val="95"/>
              </w:rPr>
              <w:t>Base Salary</w:t>
            </w:r>
          </w:p>
        </w:tc>
        <w:tc>
          <w:tcPr>
            <w:tcW w:w="1840" w:type="dxa"/>
            <w:vAlign w:val="bottom"/>
            <w:tcBorders>
              <w:top w:val="single" w:sz="8" w:color="0000EE"/>
              <w:bottom w:val="single" w:sz="8" w:color="CBECD5"/>
            </w:tcBorders>
            <w:gridSpan w:val="15"/>
            <w:shd w:val="clear" w:color="auto" w:fill="CBECD5"/>
          </w:tcPr>
          <w:p>
            <w:pPr>
              <w:spacing w:after="0"/>
              <w:rPr>
                <w:sz w:val="18"/>
                <w:szCs w:val="18"/>
                <w:color w:val="auto"/>
              </w:rPr>
            </w:pPr>
          </w:p>
        </w:tc>
        <w:tc>
          <w:tcPr>
            <w:tcW w:w="600" w:type="dxa"/>
            <w:vAlign w:val="bottom"/>
            <w:tcBorders>
              <w:top w:val="single" w:sz="8" w:color="CBECD5"/>
              <w:bottom w:val="single" w:sz="8" w:color="CBECD5"/>
            </w:tcBorders>
            <w:gridSpan w:val="5"/>
            <w:shd w:val="clear" w:color="auto" w:fill="CBECD5"/>
          </w:tcPr>
          <w:p>
            <w:pPr>
              <w:spacing w:after="0"/>
              <w:rPr>
                <w:sz w:val="18"/>
                <w:szCs w:val="18"/>
                <w:color w:val="auto"/>
              </w:rPr>
            </w:pPr>
          </w:p>
        </w:tc>
        <w:tc>
          <w:tcPr>
            <w:tcW w:w="420" w:type="dxa"/>
            <w:vAlign w:val="bottom"/>
            <w:tcBorders>
              <w:top w:val="single" w:sz="8" w:color="CBECD5"/>
              <w:bottom w:val="single" w:sz="8" w:color="CBECD5"/>
            </w:tcBorders>
            <w:shd w:val="clear" w:color="auto" w:fill="CBECD5"/>
          </w:tcPr>
          <w:p>
            <w:pPr>
              <w:spacing w:after="0"/>
              <w:rPr>
                <w:sz w:val="18"/>
                <w:szCs w:val="18"/>
                <w:color w:val="auto"/>
              </w:rPr>
            </w:pPr>
          </w:p>
        </w:tc>
        <w:tc>
          <w:tcPr>
            <w:tcW w:w="260" w:type="dxa"/>
            <w:vAlign w:val="bottom"/>
            <w:tcBorders>
              <w:top w:val="single" w:sz="8" w:color="0000EE"/>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47</w:t>
            </w:r>
          </w:p>
        </w:tc>
      </w:tr>
      <w:tr>
        <w:trPr>
          <w:trHeight w:val="210"/>
        </w:trPr>
        <w:tc>
          <w:tcPr>
            <w:tcW w:w="140" w:type="dxa"/>
            <w:vAlign w:val="bottom"/>
            <w:tcBorders>
              <w:left w:val="single" w:sz="8" w:color="53C072"/>
            </w:tcBorders>
            <w:shd w:val="clear" w:color="auto" w:fill="CBECD5"/>
          </w:tcPr>
          <w:p>
            <w:pPr>
              <w:spacing w:after="0"/>
              <w:rPr>
                <w:sz w:val="18"/>
                <w:szCs w:val="18"/>
                <w:color w:val="auto"/>
              </w:rPr>
            </w:pPr>
          </w:p>
        </w:tc>
        <w:tc>
          <w:tcPr>
            <w:tcW w:w="180" w:type="dxa"/>
            <w:vAlign w:val="bottom"/>
            <w:tcBorders>
              <w:right w:val="single" w:sz="8" w:color="CBECD5"/>
            </w:tcBorders>
            <w:shd w:val="clear" w:color="auto" w:fill="CBECD5"/>
          </w:tcPr>
          <w:p>
            <w:pPr>
              <w:spacing w:after="0"/>
              <w:rPr>
                <w:sz w:val="18"/>
                <w:szCs w:val="18"/>
                <w:color w:val="auto"/>
              </w:rPr>
            </w:pPr>
          </w:p>
        </w:tc>
        <w:tc>
          <w:tcPr>
            <w:tcW w:w="3280" w:type="dxa"/>
            <w:vAlign w:val="bottom"/>
            <w:gridSpan w:val="23"/>
            <w:shd w:val="clear" w:color="auto" w:fill="CBECD5"/>
          </w:tcPr>
          <w:p>
            <w:pPr>
              <w:spacing w:after="0"/>
              <w:rPr>
                <w:sz w:val="20"/>
                <w:szCs w:val="20"/>
                <w:color w:val="auto"/>
              </w:rPr>
            </w:pPr>
            <w:r>
              <w:rPr>
                <w:rFonts w:ascii="Arial" w:cs="Arial" w:eastAsia="Arial" w:hAnsi="Arial"/>
                <w:sz w:val="16"/>
                <w:szCs w:val="16"/>
                <w:color w:val="0000EE"/>
              </w:rPr>
              <w:t>Annual Cash Incentives</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48</w:t>
            </w:r>
          </w:p>
        </w:tc>
      </w:tr>
      <w:tr>
        <w:trPr>
          <w:trHeight w:val="209"/>
        </w:trPr>
        <w:tc>
          <w:tcPr>
            <w:tcW w:w="140" w:type="dxa"/>
            <w:vAlign w:val="bottom"/>
            <w:tcBorders>
              <w:top w:val="single" w:sz="8" w:color="CBECD5"/>
              <w:left w:val="single" w:sz="8" w:color="53C072"/>
              <w:bottom w:val="single" w:sz="8" w:color="CBECD5"/>
            </w:tcBorders>
            <w:shd w:val="clear" w:color="auto" w:fill="CBECD5"/>
          </w:tcPr>
          <w:p>
            <w:pPr>
              <w:spacing w:after="0"/>
              <w:rPr>
                <w:sz w:val="18"/>
                <w:szCs w:val="18"/>
                <w:color w:val="auto"/>
              </w:rPr>
            </w:pPr>
          </w:p>
        </w:tc>
        <w:tc>
          <w:tcPr>
            <w:tcW w:w="180" w:type="dxa"/>
            <w:vAlign w:val="bottom"/>
            <w:tcBorders>
              <w:top w:val="single" w:sz="8" w:color="CBECD5"/>
              <w:bottom w:val="single" w:sz="8" w:color="CBECD5"/>
              <w:right w:val="single" w:sz="8" w:color="CBECD5"/>
            </w:tcBorders>
            <w:shd w:val="clear" w:color="auto" w:fill="CBECD5"/>
          </w:tcPr>
          <w:p>
            <w:pPr>
              <w:spacing w:after="0"/>
              <w:rPr>
                <w:sz w:val="18"/>
                <w:szCs w:val="18"/>
                <w:color w:val="auto"/>
              </w:rPr>
            </w:pPr>
          </w:p>
        </w:tc>
        <w:tc>
          <w:tcPr>
            <w:tcW w:w="1500" w:type="dxa"/>
            <w:vAlign w:val="bottom"/>
            <w:tcBorders>
              <w:top w:val="single" w:sz="8" w:color="0000EE"/>
              <w:bottom w:val="single" w:sz="8" w:color="0000EE"/>
            </w:tcBorders>
            <w:gridSpan w:val="7"/>
            <w:shd w:val="clear" w:color="auto" w:fill="CBECD5"/>
          </w:tcPr>
          <w:p>
            <w:pPr>
              <w:spacing w:after="0"/>
              <w:rPr>
                <w:sz w:val="20"/>
                <w:szCs w:val="20"/>
                <w:color w:val="auto"/>
              </w:rPr>
            </w:pPr>
            <w:r>
              <w:rPr>
                <w:rFonts w:ascii="Arial" w:cs="Arial" w:eastAsia="Arial" w:hAnsi="Arial"/>
                <w:sz w:val="16"/>
                <w:szCs w:val="16"/>
                <w:color w:val="0000EE"/>
                <w:w w:val="95"/>
              </w:rPr>
              <w:t>Long-Term Incentives</w:t>
            </w:r>
          </w:p>
        </w:tc>
        <w:tc>
          <w:tcPr>
            <w:tcW w:w="140" w:type="dxa"/>
            <w:vAlign w:val="bottom"/>
            <w:tcBorders>
              <w:top w:val="single" w:sz="8" w:color="0000EE"/>
              <w:bottom w:val="single" w:sz="8" w:color="CBECD5"/>
            </w:tcBorders>
            <w:gridSpan w:val="3"/>
            <w:shd w:val="clear" w:color="auto" w:fill="CBECD5"/>
          </w:tcPr>
          <w:p>
            <w:pPr>
              <w:spacing w:after="0"/>
              <w:rPr>
                <w:sz w:val="18"/>
                <w:szCs w:val="18"/>
                <w:color w:val="auto"/>
              </w:rPr>
            </w:pPr>
          </w:p>
        </w:tc>
        <w:tc>
          <w:tcPr>
            <w:tcW w:w="1640" w:type="dxa"/>
            <w:vAlign w:val="bottom"/>
            <w:tcBorders>
              <w:top w:val="single" w:sz="8" w:color="CBECD5"/>
              <w:bottom w:val="single" w:sz="8" w:color="CBECD5"/>
            </w:tcBorders>
            <w:gridSpan w:val="13"/>
            <w:shd w:val="clear" w:color="auto" w:fill="CBECD5"/>
          </w:tcPr>
          <w:p>
            <w:pPr>
              <w:spacing w:after="0"/>
              <w:rPr>
                <w:sz w:val="18"/>
                <w:szCs w:val="18"/>
                <w:color w:val="auto"/>
              </w:rPr>
            </w:pPr>
          </w:p>
        </w:tc>
        <w:tc>
          <w:tcPr>
            <w:tcW w:w="420" w:type="dxa"/>
            <w:vAlign w:val="bottom"/>
            <w:tcBorders>
              <w:top w:val="single" w:sz="8" w:color="CBECD5"/>
              <w:bottom w:val="single" w:sz="8" w:color="CBECD5"/>
            </w:tcBorders>
            <w:shd w:val="clear" w:color="auto" w:fill="CBECD5"/>
          </w:tcPr>
          <w:p>
            <w:pPr>
              <w:spacing w:after="0"/>
              <w:rPr>
                <w:sz w:val="18"/>
                <w:szCs w:val="18"/>
                <w:color w:val="auto"/>
              </w:rPr>
            </w:pPr>
          </w:p>
        </w:tc>
        <w:tc>
          <w:tcPr>
            <w:tcW w:w="260" w:type="dxa"/>
            <w:vAlign w:val="bottom"/>
            <w:tcBorders>
              <w:top w:val="single" w:sz="8" w:color="0000EE"/>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51</w:t>
            </w:r>
          </w:p>
        </w:tc>
      </w:tr>
      <w:tr>
        <w:trPr>
          <w:trHeight w:val="210"/>
        </w:trPr>
        <w:tc>
          <w:tcPr>
            <w:tcW w:w="140" w:type="dxa"/>
            <w:vAlign w:val="bottom"/>
            <w:tcBorders>
              <w:left w:val="single" w:sz="8" w:color="53C072"/>
              <w:bottom w:val="single" w:sz="8" w:color="CBECD5"/>
            </w:tcBorders>
            <w:shd w:val="clear" w:color="auto" w:fill="CBECD5"/>
          </w:tcPr>
          <w:p>
            <w:pPr>
              <w:spacing w:after="0"/>
              <w:rPr>
                <w:sz w:val="18"/>
                <w:szCs w:val="18"/>
                <w:color w:val="auto"/>
              </w:rPr>
            </w:pPr>
          </w:p>
        </w:tc>
        <w:tc>
          <w:tcPr>
            <w:tcW w:w="180" w:type="dxa"/>
            <w:vAlign w:val="bottom"/>
            <w:tcBorders>
              <w:bottom w:val="single" w:sz="8" w:color="CBECD5"/>
              <w:right w:val="single" w:sz="8" w:color="CBECD5"/>
            </w:tcBorders>
            <w:shd w:val="clear" w:color="auto" w:fill="CBECD5"/>
          </w:tcPr>
          <w:p>
            <w:pPr>
              <w:spacing w:after="0"/>
              <w:rPr>
                <w:sz w:val="18"/>
                <w:szCs w:val="18"/>
                <w:color w:val="auto"/>
              </w:rPr>
            </w:pPr>
          </w:p>
        </w:tc>
        <w:tc>
          <w:tcPr>
            <w:tcW w:w="2460" w:type="dxa"/>
            <w:vAlign w:val="bottom"/>
            <w:tcBorders>
              <w:bottom w:val="single" w:sz="8" w:color="0000EE"/>
              <w:right w:val="single" w:sz="8" w:color="CBECD5"/>
            </w:tcBorders>
            <w:gridSpan w:val="16"/>
            <w:shd w:val="clear" w:color="auto" w:fill="CBECD5"/>
          </w:tcPr>
          <w:p>
            <w:pPr>
              <w:spacing w:after="0"/>
              <w:rPr>
                <w:sz w:val="20"/>
                <w:szCs w:val="20"/>
                <w:color w:val="auto"/>
              </w:rPr>
            </w:pPr>
            <w:r>
              <w:rPr>
                <w:rFonts w:ascii="Arial" w:cs="Arial" w:eastAsia="Arial" w:hAnsi="Arial"/>
                <w:sz w:val="16"/>
                <w:szCs w:val="16"/>
                <w:color w:val="0000EE"/>
                <w:w w:val="97"/>
              </w:rPr>
              <w:t>Additional Compensation Elements</w:t>
            </w:r>
          </w:p>
        </w:tc>
        <w:tc>
          <w:tcPr>
            <w:tcW w:w="820" w:type="dxa"/>
            <w:vAlign w:val="bottom"/>
            <w:tcBorders>
              <w:bottom w:val="single" w:sz="8" w:color="CBECD5"/>
            </w:tcBorders>
            <w:gridSpan w:val="7"/>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54</w:t>
            </w:r>
          </w:p>
        </w:tc>
      </w:tr>
      <w:tr>
        <w:trPr>
          <w:trHeight w:val="210"/>
        </w:trPr>
        <w:tc>
          <w:tcPr>
            <w:tcW w:w="140" w:type="dxa"/>
            <w:vAlign w:val="bottom"/>
            <w:tcBorders>
              <w:left w:val="single" w:sz="8" w:color="53C072"/>
            </w:tcBorders>
            <w:shd w:val="clear" w:color="auto" w:fill="CBECD5"/>
          </w:tcPr>
          <w:p>
            <w:pPr>
              <w:spacing w:after="0"/>
              <w:rPr>
                <w:sz w:val="18"/>
                <w:szCs w:val="18"/>
                <w:color w:val="auto"/>
              </w:rPr>
            </w:pPr>
          </w:p>
        </w:tc>
        <w:tc>
          <w:tcPr>
            <w:tcW w:w="3460" w:type="dxa"/>
            <w:vAlign w:val="bottom"/>
            <w:gridSpan w:val="24"/>
            <w:shd w:val="clear" w:color="auto" w:fill="CBECD5"/>
          </w:tcPr>
          <w:p>
            <w:pPr>
              <w:spacing w:after="0"/>
              <w:rPr>
                <w:sz w:val="20"/>
                <w:szCs w:val="20"/>
                <w:color w:val="auto"/>
              </w:rPr>
            </w:pPr>
            <w:r>
              <w:rPr>
                <w:rFonts w:ascii="Arial" w:cs="Arial" w:eastAsia="Arial" w:hAnsi="Arial"/>
                <w:sz w:val="16"/>
                <w:szCs w:val="16"/>
                <w:b w:val="1"/>
                <w:bCs w:val="1"/>
                <w:color w:val="0000EE"/>
              </w:rPr>
              <w:t>Additional Practices, Policies and Guidelines</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55</w:t>
            </w:r>
          </w:p>
        </w:tc>
      </w:tr>
      <w:tr>
        <w:trPr>
          <w:trHeight w:val="210"/>
        </w:trPr>
        <w:tc>
          <w:tcPr>
            <w:tcW w:w="140" w:type="dxa"/>
            <w:vAlign w:val="bottom"/>
            <w:tcBorders>
              <w:top w:val="single" w:sz="8" w:color="CBECD5"/>
              <w:left w:val="single" w:sz="8" w:color="53C072"/>
              <w:bottom w:val="single" w:sz="8" w:color="CBECD5"/>
            </w:tcBorders>
            <w:shd w:val="clear" w:color="auto" w:fill="CBECD5"/>
          </w:tcPr>
          <w:p>
            <w:pPr>
              <w:spacing w:after="0"/>
              <w:rPr>
                <w:sz w:val="18"/>
                <w:szCs w:val="18"/>
                <w:color w:val="auto"/>
              </w:rPr>
            </w:pPr>
          </w:p>
        </w:tc>
        <w:tc>
          <w:tcPr>
            <w:tcW w:w="180" w:type="dxa"/>
            <w:vAlign w:val="bottom"/>
            <w:tcBorders>
              <w:top w:val="single" w:sz="8" w:color="0000EE"/>
              <w:bottom w:val="single" w:sz="8" w:color="CBECD5"/>
              <w:right w:val="single" w:sz="8" w:color="CBECD5"/>
            </w:tcBorders>
            <w:shd w:val="clear" w:color="auto" w:fill="CBECD5"/>
          </w:tcPr>
          <w:p>
            <w:pPr>
              <w:spacing w:after="0"/>
              <w:rPr>
                <w:sz w:val="18"/>
                <w:szCs w:val="18"/>
                <w:color w:val="auto"/>
              </w:rPr>
            </w:pPr>
          </w:p>
        </w:tc>
        <w:tc>
          <w:tcPr>
            <w:tcW w:w="2040" w:type="dxa"/>
            <w:vAlign w:val="bottom"/>
            <w:tcBorders>
              <w:top w:val="single" w:sz="8" w:color="0000EE"/>
              <w:bottom w:val="single" w:sz="8" w:color="0000EE"/>
              <w:right w:val="single" w:sz="8" w:color="CBECD5"/>
            </w:tcBorders>
            <w:gridSpan w:val="13"/>
            <w:shd w:val="clear" w:color="auto" w:fill="CBECD5"/>
          </w:tcPr>
          <w:p>
            <w:pPr>
              <w:spacing w:after="0"/>
              <w:rPr>
                <w:sz w:val="20"/>
                <w:szCs w:val="20"/>
                <w:color w:val="auto"/>
              </w:rPr>
            </w:pPr>
            <w:r>
              <w:rPr>
                <w:rFonts w:ascii="Arial" w:cs="Arial" w:eastAsia="Arial" w:hAnsi="Arial"/>
                <w:sz w:val="16"/>
                <w:szCs w:val="16"/>
                <w:color w:val="0000EE"/>
                <w:w w:val="99"/>
              </w:rPr>
              <w:t>Stock Ownership Guidelines</w:t>
            </w:r>
          </w:p>
        </w:tc>
        <w:tc>
          <w:tcPr>
            <w:tcW w:w="1220" w:type="dxa"/>
            <w:vAlign w:val="bottom"/>
            <w:tcBorders>
              <w:top w:val="single" w:sz="8" w:color="0000EE"/>
              <w:bottom w:val="single" w:sz="8" w:color="CBECD5"/>
            </w:tcBorders>
            <w:gridSpan w:val="9"/>
            <w:shd w:val="clear" w:color="auto" w:fill="CBECD5"/>
          </w:tcPr>
          <w:p>
            <w:pPr>
              <w:spacing w:after="0"/>
              <w:rPr>
                <w:sz w:val="18"/>
                <w:szCs w:val="18"/>
                <w:color w:val="auto"/>
              </w:rPr>
            </w:pPr>
          </w:p>
        </w:tc>
        <w:tc>
          <w:tcPr>
            <w:tcW w:w="20" w:type="dxa"/>
            <w:vAlign w:val="bottom"/>
            <w:tcBorders>
              <w:top w:val="single" w:sz="8" w:color="CBECD5"/>
              <w:bottom w:val="single" w:sz="8" w:color="CBECD5"/>
            </w:tcBorders>
            <w:shd w:val="clear" w:color="auto" w:fill="CBECD5"/>
          </w:tcPr>
          <w:p>
            <w:pPr>
              <w:spacing w:after="0"/>
              <w:rPr>
                <w:sz w:val="18"/>
                <w:szCs w:val="18"/>
                <w:color w:val="auto"/>
              </w:rPr>
            </w:pPr>
          </w:p>
        </w:tc>
        <w:tc>
          <w:tcPr>
            <w:tcW w:w="420" w:type="dxa"/>
            <w:vAlign w:val="bottom"/>
            <w:tcBorders>
              <w:top w:val="single" w:sz="8" w:color="CBECD5"/>
              <w:bottom w:val="single" w:sz="8" w:color="CBECD5"/>
            </w:tcBorders>
            <w:shd w:val="clear" w:color="auto" w:fill="CBECD5"/>
          </w:tcPr>
          <w:p>
            <w:pPr>
              <w:spacing w:after="0"/>
              <w:rPr>
                <w:sz w:val="18"/>
                <w:szCs w:val="18"/>
                <w:color w:val="auto"/>
              </w:rPr>
            </w:pPr>
          </w:p>
        </w:tc>
        <w:tc>
          <w:tcPr>
            <w:tcW w:w="260" w:type="dxa"/>
            <w:vAlign w:val="bottom"/>
            <w:tcBorders>
              <w:top w:val="single" w:sz="8" w:color="0000EE"/>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55</w:t>
            </w:r>
          </w:p>
        </w:tc>
      </w:tr>
      <w:tr>
        <w:trPr>
          <w:trHeight w:val="209"/>
        </w:trPr>
        <w:tc>
          <w:tcPr>
            <w:tcW w:w="140" w:type="dxa"/>
            <w:vAlign w:val="bottom"/>
            <w:tcBorders>
              <w:left w:val="single" w:sz="8" w:color="53C072"/>
            </w:tcBorders>
            <w:shd w:val="clear" w:color="auto" w:fill="CBECD5"/>
          </w:tcPr>
          <w:p>
            <w:pPr>
              <w:spacing w:after="0"/>
              <w:rPr>
                <w:sz w:val="18"/>
                <w:szCs w:val="18"/>
                <w:color w:val="auto"/>
              </w:rPr>
            </w:pPr>
          </w:p>
        </w:tc>
        <w:tc>
          <w:tcPr>
            <w:tcW w:w="180" w:type="dxa"/>
            <w:vAlign w:val="bottom"/>
            <w:tcBorders>
              <w:right w:val="single" w:sz="8" w:color="CBECD5"/>
            </w:tcBorders>
            <w:shd w:val="clear" w:color="auto" w:fill="CBECD5"/>
          </w:tcPr>
          <w:p>
            <w:pPr>
              <w:spacing w:after="0"/>
              <w:rPr>
                <w:sz w:val="18"/>
                <w:szCs w:val="18"/>
                <w:color w:val="auto"/>
              </w:rPr>
            </w:pPr>
          </w:p>
        </w:tc>
        <w:tc>
          <w:tcPr>
            <w:tcW w:w="3280" w:type="dxa"/>
            <w:vAlign w:val="bottom"/>
            <w:gridSpan w:val="23"/>
            <w:shd w:val="clear" w:color="auto" w:fill="CBECD5"/>
          </w:tcPr>
          <w:p>
            <w:pPr>
              <w:spacing w:after="0"/>
              <w:rPr>
                <w:sz w:val="20"/>
                <w:szCs w:val="20"/>
                <w:color w:val="auto"/>
              </w:rPr>
            </w:pPr>
            <w:r>
              <w:rPr>
                <w:rFonts w:ascii="Arial" w:cs="Arial" w:eastAsia="Arial" w:hAnsi="Arial"/>
                <w:sz w:val="16"/>
                <w:szCs w:val="16"/>
                <w:color w:val="0000EE"/>
              </w:rPr>
              <w:t>Recoupment Policy</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55</w:t>
            </w:r>
          </w:p>
        </w:tc>
      </w:tr>
      <w:tr>
        <w:trPr>
          <w:trHeight w:val="20"/>
        </w:trPr>
        <w:tc>
          <w:tcPr>
            <w:tcW w:w="140" w:type="dxa"/>
            <w:vAlign w:val="bottom"/>
            <w:tcBorders>
              <w:left w:val="single" w:sz="8" w:color="53C072"/>
            </w:tcBorders>
            <w:shd w:val="clear" w:color="auto" w:fill="CBECD5"/>
          </w:tcPr>
          <w:p>
            <w:pPr>
              <w:spacing w:after="0" w:line="20" w:lineRule="exact"/>
              <w:rPr>
                <w:sz w:val="1"/>
                <w:szCs w:val="1"/>
                <w:color w:val="auto"/>
              </w:rPr>
            </w:pPr>
          </w:p>
        </w:tc>
        <w:tc>
          <w:tcPr>
            <w:tcW w:w="180" w:type="dxa"/>
            <w:vAlign w:val="bottom"/>
            <w:tcBorders>
              <w:right w:val="single" w:sz="8" w:color="0000EE"/>
            </w:tcBorders>
            <w:shd w:val="clear" w:color="auto" w:fill="CBECD5"/>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220" w:type="dxa"/>
            <w:vAlign w:val="bottom"/>
            <w:gridSpan w:val="3"/>
            <w:shd w:val="clear" w:color="auto" w:fill="CBECD5"/>
          </w:tcPr>
          <w:p>
            <w:pPr>
              <w:spacing w:after="0" w:line="20" w:lineRule="exact"/>
              <w:rPr>
                <w:sz w:val="1"/>
                <w:szCs w:val="1"/>
                <w:color w:val="auto"/>
              </w:rPr>
            </w:pPr>
          </w:p>
        </w:tc>
        <w:tc>
          <w:tcPr>
            <w:tcW w:w="1720" w:type="dxa"/>
            <w:vAlign w:val="bottom"/>
            <w:gridSpan w:val="15"/>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10"/>
        </w:trPr>
        <w:tc>
          <w:tcPr>
            <w:tcW w:w="140" w:type="dxa"/>
            <w:vAlign w:val="bottom"/>
            <w:tcBorders>
              <w:left w:val="single" w:sz="8" w:color="53C072"/>
            </w:tcBorders>
            <w:shd w:val="clear" w:color="auto" w:fill="CBECD5"/>
          </w:tcPr>
          <w:p>
            <w:pPr>
              <w:spacing w:after="0"/>
              <w:rPr>
                <w:sz w:val="18"/>
                <w:szCs w:val="18"/>
                <w:color w:val="auto"/>
              </w:rPr>
            </w:pPr>
          </w:p>
        </w:tc>
        <w:tc>
          <w:tcPr>
            <w:tcW w:w="180" w:type="dxa"/>
            <w:vAlign w:val="bottom"/>
            <w:tcBorders>
              <w:right w:val="single" w:sz="8" w:color="CBECD5"/>
            </w:tcBorders>
            <w:shd w:val="clear" w:color="auto" w:fill="CBECD5"/>
          </w:tcPr>
          <w:p>
            <w:pPr>
              <w:spacing w:after="0"/>
              <w:rPr>
                <w:sz w:val="18"/>
                <w:szCs w:val="18"/>
                <w:color w:val="auto"/>
              </w:rPr>
            </w:pPr>
          </w:p>
        </w:tc>
        <w:tc>
          <w:tcPr>
            <w:tcW w:w="3280" w:type="dxa"/>
            <w:vAlign w:val="bottom"/>
            <w:gridSpan w:val="23"/>
            <w:shd w:val="clear" w:color="auto" w:fill="CBECD5"/>
          </w:tcPr>
          <w:p>
            <w:pPr>
              <w:spacing w:after="0"/>
              <w:rPr>
                <w:sz w:val="20"/>
                <w:szCs w:val="20"/>
                <w:color w:val="auto"/>
              </w:rPr>
            </w:pPr>
            <w:r>
              <w:rPr>
                <w:rFonts w:ascii="Arial" w:cs="Arial" w:eastAsia="Arial" w:hAnsi="Arial"/>
                <w:sz w:val="16"/>
                <w:szCs w:val="16"/>
                <w:color w:val="0000EE"/>
              </w:rPr>
              <w:t>Equity Grant Practices</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56</w:t>
            </w:r>
          </w:p>
        </w:tc>
      </w:tr>
      <w:tr>
        <w:trPr>
          <w:trHeight w:val="61"/>
        </w:trPr>
        <w:tc>
          <w:tcPr>
            <w:tcW w:w="140" w:type="dxa"/>
            <w:vAlign w:val="bottom"/>
            <w:tcBorders>
              <w:top w:val="single" w:sz="8" w:color="CBECD5"/>
              <w:left w:val="single" w:sz="8" w:color="53C072"/>
              <w:bottom w:val="single" w:sz="8" w:color="53C072"/>
            </w:tcBorders>
            <w:shd w:val="clear" w:color="auto" w:fill="CBECD5"/>
          </w:tcPr>
          <w:p>
            <w:pPr>
              <w:spacing w:after="0"/>
              <w:rPr>
                <w:sz w:val="5"/>
                <w:szCs w:val="5"/>
                <w:color w:val="auto"/>
              </w:rPr>
            </w:pPr>
          </w:p>
        </w:tc>
        <w:tc>
          <w:tcPr>
            <w:tcW w:w="180" w:type="dxa"/>
            <w:vAlign w:val="bottom"/>
            <w:tcBorders>
              <w:top w:val="single" w:sz="8" w:color="CBECD5"/>
              <w:bottom w:val="single" w:sz="8" w:color="53C072"/>
              <w:right w:val="single" w:sz="8" w:color="CBECD5"/>
            </w:tcBorders>
            <w:shd w:val="clear" w:color="auto" w:fill="CBECD5"/>
          </w:tcPr>
          <w:p>
            <w:pPr>
              <w:spacing w:after="0"/>
              <w:rPr>
                <w:sz w:val="5"/>
                <w:szCs w:val="5"/>
                <w:color w:val="auto"/>
              </w:rPr>
            </w:pPr>
          </w:p>
        </w:tc>
        <w:tc>
          <w:tcPr>
            <w:tcW w:w="540" w:type="dxa"/>
            <w:vAlign w:val="bottom"/>
            <w:tcBorders>
              <w:top w:val="single" w:sz="8" w:color="0000EE"/>
              <w:bottom w:val="single" w:sz="8" w:color="53C072"/>
            </w:tcBorders>
            <w:shd w:val="clear" w:color="auto" w:fill="CBECD5"/>
          </w:tcPr>
          <w:p>
            <w:pPr>
              <w:spacing w:after="0"/>
              <w:rPr>
                <w:sz w:val="5"/>
                <w:szCs w:val="5"/>
                <w:color w:val="auto"/>
              </w:rPr>
            </w:pPr>
          </w:p>
        </w:tc>
        <w:tc>
          <w:tcPr>
            <w:tcW w:w="200" w:type="dxa"/>
            <w:vAlign w:val="bottom"/>
            <w:tcBorders>
              <w:top w:val="single" w:sz="8" w:color="0000EE"/>
              <w:bottom w:val="single" w:sz="8" w:color="53C072"/>
            </w:tcBorders>
            <w:shd w:val="clear" w:color="auto" w:fill="CBECD5"/>
          </w:tcPr>
          <w:p>
            <w:pPr>
              <w:spacing w:after="0"/>
              <w:rPr>
                <w:sz w:val="5"/>
                <w:szCs w:val="5"/>
                <w:color w:val="auto"/>
              </w:rPr>
            </w:pPr>
          </w:p>
        </w:tc>
        <w:tc>
          <w:tcPr>
            <w:tcW w:w="100" w:type="dxa"/>
            <w:vAlign w:val="bottom"/>
            <w:tcBorders>
              <w:top w:val="single" w:sz="8" w:color="0000EE"/>
              <w:bottom w:val="single" w:sz="8" w:color="53C072"/>
            </w:tcBorders>
            <w:shd w:val="clear" w:color="auto" w:fill="CBECD5"/>
          </w:tcPr>
          <w:p>
            <w:pPr>
              <w:spacing w:after="0"/>
              <w:rPr>
                <w:sz w:val="5"/>
                <w:szCs w:val="5"/>
                <w:color w:val="auto"/>
              </w:rPr>
            </w:pPr>
          </w:p>
        </w:tc>
        <w:tc>
          <w:tcPr>
            <w:tcW w:w="160" w:type="dxa"/>
            <w:vAlign w:val="bottom"/>
            <w:tcBorders>
              <w:top w:val="single" w:sz="8" w:color="0000EE"/>
              <w:bottom w:val="single" w:sz="8" w:color="53C072"/>
            </w:tcBorders>
            <w:shd w:val="clear" w:color="auto" w:fill="CBECD5"/>
          </w:tcPr>
          <w:p>
            <w:pPr>
              <w:spacing w:after="0"/>
              <w:rPr>
                <w:sz w:val="5"/>
                <w:szCs w:val="5"/>
                <w:color w:val="auto"/>
              </w:rPr>
            </w:pPr>
          </w:p>
        </w:tc>
        <w:tc>
          <w:tcPr>
            <w:tcW w:w="340" w:type="dxa"/>
            <w:vAlign w:val="bottom"/>
            <w:tcBorders>
              <w:top w:val="single" w:sz="8" w:color="0000EE"/>
              <w:bottom w:val="single" w:sz="8" w:color="53C072"/>
            </w:tcBorders>
            <w:shd w:val="clear" w:color="auto" w:fill="CBECD5"/>
          </w:tcPr>
          <w:p>
            <w:pPr>
              <w:spacing w:after="0"/>
              <w:rPr>
                <w:sz w:val="5"/>
                <w:szCs w:val="5"/>
                <w:color w:val="auto"/>
              </w:rPr>
            </w:pPr>
          </w:p>
        </w:tc>
        <w:tc>
          <w:tcPr>
            <w:tcW w:w="120" w:type="dxa"/>
            <w:vAlign w:val="bottom"/>
            <w:tcBorders>
              <w:top w:val="single" w:sz="8" w:color="0000EE"/>
              <w:bottom w:val="single" w:sz="8" w:color="53C072"/>
            </w:tcBorders>
            <w:shd w:val="clear" w:color="auto" w:fill="CBECD5"/>
          </w:tcPr>
          <w:p>
            <w:pPr>
              <w:spacing w:after="0"/>
              <w:rPr>
                <w:sz w:val="5"/>
                <w:szCs w:val="5"/>
                <w:color w:val="auto"/>
              </w:rPr>
            </w:pPr>
          </w:p>
        </w:tc>
        <w:tc>
          <w:tcPr>
            <w:tcW w:w="40" w:type="dxa"/>
            <w:vAlign w:val="bottom"/>
            <w:tcBorders>
              <w:top w:val="single" w:sz="8" w:color="0000EE"/>
              <w:bottom w:val="single" w:sz="8" w:color="53C072"/>
            </w:tcBorders>
            <w:shd w:val="clear" w:color="auto" w:fill="CBECD5"/>
          </w:tcPr>
          <w:p>
            <w:pPr>
              <w:spacing w:after="0"/>
              <w:rPr>
                <w:sz w:val="5"/>
                <w:szCs w:val="5"/>
                <w:color w:val="auto"/>
              </w:rPr>
            </w:pPr>
          </w:p>
        </w:tc>
        <w:tc>
          <w:tcPr>
            <w:tcW w:w="60" w:type="dxa"/>
            <w:vAlign w:val="bottom"/>
            <w:tcBorders>
              <w:top w:val="single" w:sz="8" w:color="0000EE"/>
              <w:bottom w:val="single" w:sz="8" w:color="53C072"/>
            </w:tcBorders>
            <w:shd w:val="clear" w:color="auto" w:fill="CBECD5"/>
          </w:tcPr>
          <w:p>
            <w:pPr>
              <w:spacing w:after="0"/>
              <w:rPr>
                <w:sz w:val="5"/>
                <w:szCs w:val="5"/>
                <w:color w:val="auto"/>
              </w:rPr>
            </w:pPr>
          </w:p>
        </w:tc>
        <w:tc>
          <w:tcPr>
            <w:tcW w:w="20" w:type="dxa"/>
            <w:vAlign w:val="bottom"/>
            <w:tcBorders>
              <w:top w:val="single" w:sz="8" w:color="CBECD5"/>
              <w:bottom w:val="single" w:sz="8" w:color="53C072"/>
            </w:tcBorders>
            <w:shd w:val="clear" w:color="auto" w:fill="CBECD5"/>
          </w:tcPr>
          <w:p>
            <w:pPr>
              <w:spacing w:after="0"/>
              <w:rPr>
                <w:sz w:val="5"/>
                <w:szCs w:val="5"/>
                <w:color w:val="auto"/>
              </w:rPr>
            </w:pPr>
          </w:p>
        </w:tc>
        <w:tc>
          <w:tcPr>
            <w:tcW w:w="60" w:type="dxa"/>
            <w:vAlign w:val="bottom"/>
            <w:tcBorders>
              <w:top w:val="single" w:sz="8" w:color="CBECD5"/>
              <w:bottom w:val="single" w:sz="8" w:color="53C072"/>
            </w:tcBorders>
            <w:shd w:val="clear" w:color="auto" w:fill="CBECD5"/>
          </w:tcPr>
          <w:p>
            <w:pPr>
              <w:spacing w:after="0"/>
              <w:rPr>
                <w:sz w:val="5"/>
                <w:szCs w:val="5"/>
                <w:color w:val="auto"/>
              </w:rPr>
            </w:pPr>
          </w:p>
        </w:tc>
        <w:tc>
          <w:tcPr>
            <w:tcW w:w="220" w:type="dxa"/>
            <w:vAlign w:val="bottom"/>
            <w:tcBorders>
              <w:top w:val="single" w:sz="8" w:color="CBECD5"/>
              <w:bottom w:val="single" w:sz="8" w:color="53C072"/>
            </w:tcBorders>
            <w:shd w:val="clear" w:color="auto" w:fill="CBECD5"/>
          </w:tcPr>
          <w:p>
            <w:pPr>
              <w:spacing w:after="0"/>
              <w:rPr>
                <w:sz w:val="5"/>
                <w:szCs w:val="5"/>
                <w:color w:val="auto"/>
              </w:rPr>
            </w:pPr>
          </w:p>
        </w:tc>
        <w:tc>
          <w:tcPr>
            <w:tcW w:w="80" w:type="dxa"/>
            <w:vAlign w:val="bottom"/>
            <w:tcBorders>
              <w:top w:val="single" w:sz="8" w:color="CBECD5"/>
              <w:bottom w:val="single" w:sz="8" w:color="53C072"/>
            </w:tcBorders>
            <w:shd w:val="clear" w:color="auto" w:fill="CBECD5"/>
          </w:tcPr>
          <w:p>
            <w:pPr>
              <w:spacing w:after="0"/>
              <w:rPr>
                <w:sz w:val="5"/>
                <w:szCs w:val="5"/>
                <w:color w:val="auto"/>
              </w:rPr>
            </w:pPr>
          </w:p>
        </w:tc>
        <w:tc>
          <w:tcPr>
            <w:tcW w:w="100" w:type="dxa"/>
            <w:vAlign w:val="bottom"/>
            <w:tcBorders>
              <w:top w:val="single" w:sz="8" w:color="CBECD5"/>
              <w:bottom w:val="single" w:sz="8" w:color="53C072"/>
              <w:right w:val="single" w:sz="8" w:color="CBECD5"/>
            </w:tcBorders>
            <w:shd w:val="clear" w:color="auto" w:fill="CBECD5"/>
          </w:tcPr>
          <w:p>
            <w:pPr>
              <w:spacing w:after="0"/>
              <w:rPr>
                <w:sz w:val="5"/>
                <w:szCs w:val="5"/>
                <w:color w:val="auto"/>
              </w:rPr>
            </w:pPr>
          </w:p>
        </w:tc>
        <w:tc>
          <w:tcPr>
            <w:tcW w:w="260" w:type="dxa"/>
            <w:vAlign w:val="bottom"/>
            <w:tcBorders>
              <w:top w:val="single" w:sz="8" w:color="CBECD5"/>
              <w:bottom w:val="single" w:sz="8" w:color="53C072"/>
            </w:tcBorders>
            <w:shd w:val="clear" w:color="auto" w:fill="CBECD5"/>
          </w:tcPr>
          <w:p>
            <w:pPr>
              <w:spacing w:after="0"/>
              <w:rPr>
                <w:sz w:val="5"/>
                <w:szCs w:val="5"/>
                <w:color w:val="auto"/>
              </w:rPr>
            </w:pPr>
          </w:p>
        </w:tc>
        <w:tc>
          <w:tcPr>
            <w:tcW w:w="40" w:type="dxa"/>
            <w:vAlign w:val="bottom"/>
            <w:tcBorders>
              <w:top w:val="single" w:sz="8" w:color="CBECD5"/>
              <w:bottom w:val="single" w:sz="8" w:color="53C072"/>
            </w:tcBorders>
            <w:shd w:val="clear" w:color="auto" w:fill="CBECD5"/>
          </w:tcPr>
          <w:p>
            <w:pPr>
              <w:spacing w:after="0"/>
              <w:rPr>
                <w:sz w:val="5"/>
                <w:szCs w:val="5"/>
                <w:color w:val="auto"/>
              </w:rPr>
            </w:pPr>
          </w:p>
        </w:tc>
        <w:tc>
          <w:tcPr>
            <w:tcW w:w="120" w:type="dxa"/>
            <w:vAlign w:val="bottom"/>
            <w:tcBorders>
              <w:top w:val="single" w:sz="8" w:color="CBECD5"/>
              <w:bottom w:val="single" w:sz="8" w:color="53C072"/>
              <w:right w:val="single" w:sz="8" w:color="CBECD5"/>
            </w:tcBorders>
            <w:shd w:val="clear" w:color="auto" w:fill="CBECD5"/>
          </w:tcPr>
          <w:p>
            <w:pPr>
              <w:spacing w:after="0"/>
              <w:rPr>
                <w:sz w:val="5"/>
                <w:szCs w:val="5"/>
                <w:color w:val="auto"/>
              </w:rPr>
            </w:pPr>
          </w:p>
        </w:tc>
        <w:tc>
          <w:tcPr>
            <w:tcW w:w="160" w:type="dxa"/>
            <w:vAlign w:val="bottom"/>
            <w:tcBorders>
              <w:top w:val="single" w:sz="8" w:color="CBECD5"/>
              <w:bottom w:val="single" w:sz="8" w:color="53C072"/>
            </w:tcBorders>
            <w:shd w:val="clear" w:color="auto" w:fill="CBECD5"/>
          </w:tcPr>
          <w:p>
            <w:pPr>
              <w:spacing w:after="0"/>
              <w:rPr>
                <w:sz w:val="5"/>
                <w:szCs w:val="5"/>
                <w:color w:val="auto"/>
              </w:rPr>
            </w:pPr>
          </w:p>
        </w:tc>
        <w:tc>
          <w:tcPr>
            <w:tcW w:w="60" w:type="dxa"/>
            <w:vAlign w:val="bottom"/>
            <w:tcBorders>
              <w:top w:val="single" w:sz="8" w:color="CBECD5"/>
              <w:bottom w:val="single" w:sz="8" w:color="53C072"/>
            </w:tcBorders>
            <w:shd w:val="clear" w:color="auto" w:fill="CBECD5"/>
          </w:tcPr>
          <w:p>
            <w:pPr>
              <w:spacing w:after="0"/>
              <w:rPr>
                <w:sz w:val="5"/>
                <w:szCs w:val="5"/>
                <w:color w:val="auto"/>
              </w:rPr>
            </w:pPr>
          </w:p>
        </w:tc>
        <w:tc>
          <w:tcPr>
            <w:tcW w:w="60" w:type="dxa"/>
            <w:vAlign w:val="bottom"/>
            <w:tcBorders>
              <w:top w:val="single" w:sz="8" w:color="CBECD5"/>
              <w:bottom w:val="single" w:sz="8" w:color="53C072"/>
            </w:tcBorders>
            <w:shd w:val="clear" w:color="auto" w:fill="CBECD5"/>
          </w:tcPr>
          <w:p>
            <w:pPr>
              <w:spacing w:after="0"/>
              <w:rPr>
                <w:sz w:val="5"/>
                <w:szCs w:val="5"/>
                <w:color w:val="auto"/>
              </w:rPr>
            </w:pPr>
          </w:p>
        </w:tc>
        <w:tc>
          <w:tcPr>
            <w:tcW w:w="180" w:type="dxa"/>
            <w:vAlign w:val="bottom"/>
            <w:tcBorders>
              <w:top w:val="single" w:sz="8" w:color="CBECD5"/>
              <w:bottom w:val="single" w:sz="8" w:color="53C072"/>
            </w:tcBorders>
            <w:shd w:val="clear" w:color="auto" w:fill="CBECD5"/>
          </w:tcPr>
          <w:p>
            <w:pPr>
              <w:spacing w:after="0"/>
              <w:rPr>
                <w:sz w:val="5"/>
                <w:szCs w:val="5"/>
                <w:color w:val="auto"/>
              </w:rPr>
            </w:pPr>
          </w:p>
        </w:tc>
        <w:tc>
          <w:tcPr>
            <w:tcW w:w="200" w:type="dxa"/>
            <w:vAlign w:val="bottom"/>
            <w:tcBorders>
              <w:top w:val="single" w:sz="8" w:color="CBECD5"/>
              <w:bottom w:val="single" w:sz="8" w:color="53C072"/>
            </w:tcBorders>
            <w:shd w:val="clear" w:color="auto" w:fill="CBECD5"/>
          </w:tcPr>
          <w:p>
            <w:pPr>
              <w:spacing w:after="0"/>
              <w:rPr>
                <w:sz w:val="5"/>
                <w:szCs w:val="5"/>
                <w:color w:val="auto"/>
              </w:rPr>
            </w:pPr>
          </w:p>
        </w:tc>
        <w:tc>
          <w:tcPr>
            <w:tcW w:w="140" w:type="dxa"/>
            <w:vAlign w:val="bottom"/>
            <w:tcBorders>
              <w:top w:val="single" w:sz="8" w:color="CBECD5"/>
              <w:bottom w:val="single" w:sz="8" w:color="53C072"/>
            </w:tcBorders>
            <w:shd w:val="clear" w:color="auto" w:fill="CBECD5"/>
          </w:tcPr>
          <w:p>
            <w:pPr>
              <w:spacing w:after="0"/>
              <w:rPr>
                <w:sz w:val="5"/>
                <w:szCs w:val="5"/>
                <w:color w:val="auto"/>
              </w:rPr>
            </w:pPr>
          </w:p>
        </w:tc>
        <w:tc>
          <w:tcPr>
            <w:tcW w:w="20" w:type="dxa"/>
            <w:vAlign w:val="bottom"/>
            <w:tcBorders>
              <w:top w:val="single" w:sz="8" w:color="CBECD5"/>
              <w:bottom w:val="single" w:sz="8" w:color="53C072"/>
            </w:tcBorders>
            <w:shd w:val="clear" w:color="auto" w:fill="CBECD5"/>
          </w:tcPr>
          <w:p>
            <w:pPr>
              <w:spacing w:after="0"/>
              <w:rPr>
                <w:sz w:val="5"/>
                <w:szCs w:val="5"/>
                <w:color w:val="auto"/>
              </w:rPr>
            </w:pPr>
          </w:p>
        </w:tc>
        <w:tc>
          <w:tcPr>
            <w:tcW w:w="420" w:type="dxa"/>
            <w:vAlign w:val="bottom"/>
            <w:tcBorders>
              <w:top w:val="single" w:sz="8" w:color="CBECD5"/>
              <w:bottom w:val="single" w:sz="8" w:color="53C072"/>
            </w:tcBorders>
            <w:shd w:val="clear" w:color="auto" w:fill="CBECD5"/>
          </w:tcPr>
          <w:p>
            <w:pPr>
              <w:spacing w:after="0"/>
              <w:rPr>
                <w:sz w:val="5"/>
                <w:szCs w:val="5"/>
                <w:color w:val="auto"/>
              </w:rPr>
            </w:pPr>
          </w:p>
        </w:tc>
        <w:tc>
          <w:tcPr>
            <w:tcW w:w="260" w:type="dxa"/>
            <w:vAlign w:val="bottom"/>
            <w:tcBorders>
              <w:top w:val="single" w:sz="8" w:color="0000EE"/>
              <w:bottom w:val="single" w:sz="8" w:color="53C072"/>
              <w:right w:val="single" w:sz="8" w:color="53C072"/>
            </w:tcBorders>
            <w:shd w:val="clear" w:color="auto" w:fill="CBECD5"/>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-4208145</wp:posOffset>
            </wp:positionV>
            <wp:extent cx="8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53C072"/>
        </w:rPr>
        <w:t>EXECUTIVE SUMMARY</w:t>
      </w:r>
    </w:p>
    <w:p>
      <w:pPr>
        <w:spacing w:after="0" w:line="148" w:lineRule="exact"/>
        <w:rPr>
          <w:sz w:val="20"/>
          <w:szCs w:val="20"/>
          <w:color w:val="auto"/>
        </w:rPr>
      </w:pPr>
    </w:p>
    <w:p>
      <w:pPr>
        <w:ind w:right="179"/>
        <w:spacing w:after="0" w:line="263" w:lineRule="auto"/>
        <w:rPr>
          <w:sz w:val="20"/>
          <w:szCs w:val="20"/>
          <w:color w:val="auto"/>
        </w:rPr>
      </w:pPr>
      <w:r>
        <w:rPr>
          <w:rFonts w:ascii="Arial" w:cs="Arial" w:eastAsia="Arial" w:hAnsi="Arial"/>
          <w:sz w:val="18"/>
          <w:szCs w:val="18"/>
          <w:color w:val="auto"/>
        </w:rPr>
        <w:t>The Company designs its compensation programs and practices around a pay-for-performance philosophy geared toward the achievement of short-and long-term goals. Senior executives are encouraged to think and behave like owners of the business and to consider the impact of their decisions and performance on the aggregate success of the Company as reflected in its total shareholder return (“TSR”). This section explains how the Compensation and Leadership Development Committee (“Compensation Committee” or “Committee”) made its compensation decisions for fiscal 2025 for the named executive officers (“NEOs”). The compensation awarded to the NEOs for fiscal 2025 is set forth in the Summary Compensation Table in this Proxy Statement.</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Named Executive Officers (NEOs)</w:t>
      </w:r>
    </w:p>
    <w:p>
      <w:pPr>
        <w:spacing w:after="0" w:line="153" w:lineRule="exact"/>
        <w:rPr>
          <w:sz w:val="20"/>
          <w:szCs w:val="20"/>
          <w:color w:val="auto"/>
        </w:rPr>
      </w:pPr>
    </w:p>
    <w:p>
      <w:pPr>
        <w:ind w:right="339"/>
        <w:spacing w:after="0" w:line="294" w:lineRule="auto"/>
        <w:rPr>
          <w:sz w:val="20"/>
          <w:szCs w:val="20"/>
          <w:color w:val="auto"/>
        </w:rPr>
      </w:pPr>
      <w:r>
        <w:rPr>
          <w:rFonts w:ascii="Arial" w:cs="Arial" w:eastAsia="Arial" w:hAnsi="Arial"/>
          <w:sz w:val="17"/>
          <w:szCs w:val="17"/>
          <w:color w:val="auto"/>
        </w:rPr>
        <w:t>The NEOs for fiscal 2025 are listed below. The titles represent their current position with the Company. Please see “Executive Officers of the Company” for additional information on current officers’ roles.</w:t>
      </w:r>
    </w:p>
    <w:p>
      <w:pPr>
        <w:spacing w:after="0" w:line="1367" w:lineRule="exact"/>
        <w:rPr>
          <w:sz w:val="20"/>
          <w:szCs w:val="20"/>
          <w:color w:val="auto"/>
        </w:rPr>
      </w:pPr>
    </w:p>
    <w:p>
      <w:pPr>
        <w:sectPr>
          <w:pgSz w:w="11900" w:h="16838" w:orient="portrait"/>
          <w:cols w:equalWidth="0" w:num="2">
            <w:col w:w="5260" w:space="220"/>
            <w:col w:w="4399"/>
          </w:cols>
          <w:pgMar w:left="580" w:top="97" w:right="1440" w:bottom="1440" w:gutter="0" w:footer="0" w:header="0"/>
          <w:type w:val="continuous"/>
        </w:sectPr>
      </w:pPr>
    </w:p>
    <w:p>
      <w:pPr>
        <w:spacing w:after="0" w:line="124"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226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FFFFF"/>
              </w:rPr>
              <w:t>NEOs</w:t>
            </w:r>
          </w:p>
        </w:tc>
        <w:tc>
          <w:tcPr>
            <w:tcW w:w="6500" w:type="dxa"/>
            <w:vAlign w:val="bottom"/>
            <w:shd w:val="clear" w:color="auto" w:fill="53C072"/>
          </w:tcPr>
          <w:p>
            <w:pPr>
              <w:ind w:left="460"/>
              <w:spacing w:after="0"/>
              <w:rPr>
                <w:sz w:val="20"/>
                <w:szCs w:val="20"/>
                <w:color w:val="auto"/>
              </w:rPr>
            </w:pPr>
            <w:r>
              <w:rPr>
                <w:rFonts w:ascii="Arial" w:cs="Arial" w:eastAsia="Arial" w:hAnsi="Arial"/>
                <w:sz w:val="14"/>
                <w:szCs w:val="14"/>
                <w:b w:val="1"/>
                <w:bCs w:val="1"/>
                <w:color w:val="FFFFFF"/>
              </w:rPr>
              <w:t>Position</w:t>
            </w:r>
          </w:p>
        </w:tc>
      </w:tr>
      <w:tr>
        <w:trPr>
          <w:trHeight w:val="243"/>
        </w:trPr>
        <w:tc>
          <w:tcPr>
            <w:tcW w:w="2260" w:type="dxa"/>
            <w:vAlign w:val="bottom"/>
          </w:tcPr>
          <w:p>
            <w:pPr>
              <w:ind w:left="120"/>
              <w:spacing w:after="0"/>
              <w:rPr>
                <w:sz w:val="20"/>
                <w:szCs w:val="20"/>
                <w:color w:val="auto"/>
              </w:rPr>
            </w:pPr>
            <w:r>
              <w:rPr>
                <w:rFonts w:ascii="Arial" w:cs="Arial" w:eastAsia="Arial" w:hAnsi="Arial"/>
                <w:sz w:val="18"/>
                <w:szCs w:val="18"/>
                <w:color w:val="auto"/>
              </w:rPr>
              <w:t>Philip R. Gallagher</w:t>
            </w:r>
          </w:p>
        </w:tc>
        <w:tc>
          <w:tcPr>
            <w:tcW w:w="6500" w:type="dxa"/>
            <w:vAlign w:val="bottom"/>
          </w:tcPr>
          <w:p>
            <w:pPr>
              <w:ind w:left="460"/>
              <w:spacing w:after="0"/>
              <w:rPr>
                <w:sz w:val="20"/>
                <w:szCs w:val="20"/>
                <w:color w:val="auto"/>
              </w:rPr>
            </w:pPr>
            <w:r>
              <w:rPr>
                <w:rFonts w:ascii="Arial" w:cs="Arial" w:eastAsia="Arial" w:hAnsi="Arial"/>
                <w:sz w:val="18"/>
                <w:szCs w:val="18"/>
                <w:color w:val="auto"/>
              </w:rPr>
              <w:t>Chief Executive Officer (“CEO”) and President, Electronic Components</w:t>
            </w:r>
          </w:p>
        </w:tc>
      </w:tr>
      <w:tr>
        <w:trPr>
          <w:trHeight w:val="243"/>
        </w:trPr>
        <w:tc>
          <w:tcPr>
            <w:tcW w:w="2260" w:type="dxa"/>
            <w:vAlign w:val="bottom"/>
            <w:shd w:val="clear" w:color="auto" w:fill="CBECD5"/>
          </w:tcPr>
          <w:p>
            <w:pPr>
              <w:ind w:left="120"/>
              <w:spacing w:after="0"/>
              <w:rPr>
                <w:sz w:val="20"/>
                <w:szCs w:val="20"/>
                <w:color w:val="auto"/>
              </w:rPr>
            </w:pPr>
            <w:r>
              <w:rPr>
                <w:rFonts w:ascii="Arial" w:cs="Arial" w:eastAsia="Arial" w:hAnsi="Arial"/>
                <w:sz w:val="18"/>
                <w:szCs w:val="18"/>
                <w:color w:val="auto"/>
              </w:rPr>
              <w:t>Kenneth A. Jacobson</w:t>
            </w:r>
          </w:p>
        </w:tc>
        <w:tc>
          <w:tcPr>
            <w:tcW w:w="6500" w:type="dxa"/>
            <w:vAlign w:val="bottom"/>
            <w:shd w:val="clear" w:color="auto" w:fill="CBECD5"/>
          </w:tcPr>
          <w:p>
            <w:pPr>
              <w:ind w:left="460"/>
              <w:spacing w:after="0"/>
              <w:rPr>
                <w:sz w:val="20"/>
                <w:szCs w:val="20"/>
                <w:color w:val="auto"/>
              </w:rPr>
            </w:pPr>
            <w:r>
              <w:rPr>
                <w:rFonts w:ascii="Arial" w:cs="Arial" w:eastAsia="Arial" w:hAnsi="Arial"/>
                <w:sz w:val="18"/>
                <w:szCs w:val="18"/>
                <w:color w:val="auto"/>
              </w:rPr>
              <w:t>Chief Financial Officer (“CFO”)</w:t>
            </w:r>
          </w:p>
        </w:tc>
      </w:tr>
      <w:tr>
        <w:trPr>
          <w:trHeight w:val="243"/>
        </w:trPr>
        <w:tc>
          <w:tcPr>
            <w:tcW w:w="2260" w:type="dxa"/>
            <w:vAlign w:val="bottom"/>
          </w:tcPr>
          <w:p>
            <w:pPr>
              <w:ind w:left="120"/>
              <w:spacing w:after="0"/>
              <w:rPr>
                <w:sz w:val="20"/>
                <w:szCs w:val="20"/>
                <w:color w:val="auto"/>
              </w:rPr>
            </w:pPr>
            <w:r>
              <w:rPr>
                <w:rFonts w:ascii="Arial" w:cs="Arial" w:eastAsia="Arial" w:hAnsi="Arial"/>
                <w:sz w:val="18"/>
                <w:szCs w:val="18"/>
                <w:color w:val="auto"/>
              </w:rPr>
              <w:t>Ken E. Arnold</w:t>
            </w:r>
          </w:p>
        </w:tc>
        <w:tc>
          <w:tcPr>
            <w:tcW w:w="6500" w:type="dxa"/>
            <w:vAlign w:val="bottom"/>
          </w:tcPr>
          <w:p>
            <w:pPr>
              <w:ind w:left="460"/>
              <w:spacing w:after="0"/>
              <w:rPr>
                <w:sz w:val="20"/>
                <w:szCs w:val="20"/>
                <w:color w:val="auto"/>
              </w:rPr>
            </w:pPr>
            <w:r>
              <w:rPr>
                <w:rFonts w:ascii="Arial" w:cs="Arial" w:eastAsia="Arial" w:hAnsi="Arial"/>
                <w:sz w:val="18"/>
                <w:szCs w:val="18"/>
                <w:color w:val="auto"/>
              </w:rPr>
              <w:t>Senior Vice President, Chief People Officer</w:t>
            </w:r>
          </w:p>
        </w:tc>
      </w:tr>
      <w:tr>
        <w:trPr>
          <w:trHeight w:val="243"/>
        </w:trPr>
        <w:tc>
          <w:tcPr>
            <w:tcW w:w="2260" w:type="dxa"/>
            <w:vAlign w:val="bottom"/>
            <w:shd w:val="clear" w:color="auto" w:fill="CBECD5"/>
          </w:tcPr>
          <w:p>
            <w:pPr>
              <w:ind w:left="120"/>
              <w:spacing w:after="0"/>
              <w:rPr>
                <w:sz w:val="20"/>
                <w:szCs w:val="20"/>
                <w:color w:val="auto"/>
              </w:rPr>
            </w:pPr>
            <w:r>
              <w:rPr>
                <w:rFonts w:ascii="Arial" w:cs="Arial" w:eastAsia="Arial" w:hAnsi="Arial"/>
                <w:sz w:val="18"/>
                <w:szCs w:val="18"/>
                <w:color w:val="auto"/>
              </w:rPr>
              <w:t>Leng Jin (Max) Chan</w:t>
            </w:r>
          </w:p>
        </w:tc>
        <w:tc>
          <w:tcPr>
            <w:tcW w:w="6500" w:type="dxa"/>
            <w:vAlign w:val="bottom"/>
            <w:shd w:val="clear" w:color="auto" w:fill="CBECD5"/>
          </w:tcPr>
          <w:p>
            <w:pPr>
              <w:ind w:left="460"/>
              <w:spacing w:after="0"/>
              <w:rPr>
                <w:sz w:val="20"/>
                <w:szCs w:val="20"/>
                <w:color w:val="auto"/>
              </w:rPr>
            </w:pPr>
            <w:r>
              <w:rPr>
                <w:rFonts w:ascii="Arial" w:cs="Arial" w:eastAsia="Arial" w:hAnsi="Arial"/>
                <w:sz w:val="18"/>
                <w:szCs w:val="18"/>
                <w:color w:val="auto"/>
              </w:rPr>
              <w:t>Senior Vice President, Chief Information Officer</w:t>
            </w:r>
          </w:p>
        </w:tc>
      </w:tr>
      <w:tr>
        <w:trPr>
          <w:trHeight w:val="260"/>
        </w:trPr>
        <w:tc>
          <w:tcPr>
            <w:tcW w:w="2260" w:type="dxa"/>
            <w:vAlign w:val="bottom"/>
          </w:tcPr>
          <w:p>
            <w:pPr>
              <w:ind w:left="120"/>
              <w:spacing w:after="0"/>
              <w:rPr>
                <w:sz w:val="20"/>
                <w:szCs w:val="20"/>
                <w:color w:val="auto"/>
              </w:rPr>
            </w:pPr>
            <w:r>
              <w:rPr>
                <w:rFonts w:ascii="Arial" w:cs="Arial" w:eastAsia="Arial" w:hAnsi="Arial"/>
                <w:sz w:val="18"/>
                <w:szCs w:val="18"/>
                <w:color w:val="auto"/>
              </w:rPr>
              <w:t>Michael R. McCoy</w:t>
            </w:r>
          </w:p>
        </w:tc>
        <w:tc>
          <w:tcPr>
            <w:tcW w:w="6500" w:type="dxa"/>
            <w:vAlign w:val="bottom"/>
          </w:tcPr>
          <w:p>
            <w:pPr>
              <w:ind w:left="460"/>
              <w:spacing w:after="0"/>
              <w:rPr>
                <w:sz w:val="20"/>
                <w:szCs w:val="20"/>
                <w:color w:val="auto"/>
              </w:rPr>
            </w:pPr>
            <w:r>
              <w:rPr>
                <w:rFonts w:ascii="Arial" w:cs="Arial" w:eastAsia="Arial" w:hAnsi="Arial"/>
                <w:sz w:val="18"/>
                <w:szCs w:val="18"/>
                <w:color w:val="auto"/>
              </w:rPr>
              <w:t>Senior Vice President, General Counsel and Chief Legal Officer</w:t>
            </w:r>
          </w:p>
        </w:tc>
      </w:tr>
      <w:tr>
        <w:trPr>
          <w:trHeight w:val="30"/>
        </w:trPr>
        <w:tc>
          <w:tcPr>
            <w:tcW w:w="2260" w:type="dxa"/>
            <w:vAlign w:val="bottom"/>
            <w:tcBorders>
              <w:bottom w:val="single" w:sz="8" w:color="53C072"/>
            </w:tcBorders>
          </w:tcPr>
          <w:p>
            <w:pPr>
              <w:spacing w:after="0"/>
              <w:rPr>
                <w:sz w:val="2"/>
                <w:szCs w:val="2"/>
                <w:color w:val="auto"/>
              </w:rPr>
            </w:pPr>
          </w:p>
        </w:tc>
        <w:tc>
          <w:tcPr>
            <w:tcW w:w="6500" w:type="dxa"/>
            <w:vAlign w:val="bottom"/>
            <w:tcBorders>
              <w:bottom w:val="single" w:sz="8" w:color="53C072"/>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43" w:lineRule="exact"/>
        <w:rPr>
          <w:sz w:val="20"/>
          <w:szCs w:val="20"/>
          <w:color w:val="auto"/>
        </w:rPr>
      </w:pPr>
    </w:p>
    <w:p>
      <w:pPr>
        <w:jc w:val="right"/>
        <w:ind w:right="139"/>
        <w:spacing w:after="0"/>
        <w:tabs>
          <w:tab w:leader="none" w:pos="2460" w:val="left"/>
        </w:tabs>
        <w:rPr>
          <w:sz w:val="20"/>
          <w:szCs w:val="20"/>
          <w:color w:val="auto"/>
        </w:rPr>
      </w:pPr>
      <w:r>
        <w:rPr>
          <w:rFonts w:ascii="Arial" w:cs="Arial" w:eastAsia="Arial" w:hAnsi="Arial"/>
          <w:sz w:val="28"/>
          <w:szCs w:val="28"/>
          <w:b w:val="1"/>
          <w:bCs w:val="1"/>
          <w:color w:val="53C072"/>
          <w:vertAlign w:val="superscript"/>
        </w:rPr>
        <w:t>2025 ANNUAL</w:t>
      </w:r>
      <w:r>
        <w:rPr>
          <w:rFonts w:ascii="Arial" w:cs="Arial" w:eastAsia="Arial" w:hAnsi="Arial"/>
          <w:sz w:val="28"/>
          <w:szCs w:val="28"/>
          <w:b w:val="1"/>
          <w:bCs w:val="1"/>
          <w:color w:val="auto"/>
          <w:vertAlign w:val="superscript"/>
        </w:rPr>
        <w:t xml:space="preserve"> </w:t>
      </w:r>
      <w:r>
        <w:rPr>
          <w:sz w:val="20"/>
          <w:szCs w:val="20"/>
          <w:color w:val="auto"/>
        </w:rPr>
        <w:tab/>
      </w:r>
      <w:r>
        <w:rPr>
          <w:rFonts w:ascii="Arial" w:cs="Arial" w:eastAsia="Arial" w:hAnsi="Arial"/>
          <w:sz w:val="14"/>
          <w:szCs w:val="14"/>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6"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Business Performance</w:t>
      </w:r>
    </w:p>
    <w:p>
      <w:pPr>
        <w:spacing w:after="0" w:line="153" w:lineRule="exact"/>
        <w:rPr>
          <w:sz w:val="20"/>
          <w:szCs w:val="20"/>
          <w:color w:val="auto"/>
        </w:rPr>
      </w:pPr>
    </w:p>
    <w:p>
      <w:pPr>
        <w:ind w:left="1000" w:right="459"/>
        <w:spacing w:after="0" w:line="287" w:lineRule="auto"/>
        <w:rPr>
          <w:sz w:val="20"/>
          <w:szCs w:val="20"/>
          <w:color w:val="auto"/>
        </w:rPr>
      </w:pPr>
      <w:r>
        <w:rPr>
          <w:rFonts w:ascii="Arial" w:cs="Arial" w:eastAsia="Arial" w:hAnsi="Arial"/>
          <w:sz w:val="18"/>
          <w:szCs w:val="18"/>
          <w:color w:val="auto"/>
        </w:rPr>
        <w:t>The Company’s performance, including some of the financial performance metrics utilized in the Company’s incentive plans payable for fiscal 2025, is detailed in the table below.</w:t>
      </w:r>
    </w:p>
    <w:p>
      <w:pPr>
        <w:spacing w:after="0" w:line="131"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4380" w:type="dxa"/>
            <w:vAlign w:val="bottom"/>
            <w:shd w:val="clear" w:color="auto" w:fill="53C072"/>
          </w:tcPr>
          <w:p>
            <w:pPr>
              <w:spacing w:after="0"/>
              <w:rPr>
                <w:sz w:val="19"/>
                <w:szCs w:val="19"/>
                <w:color w:val="auto"/>
              </w:rPr>
            </w:pPr>
          </w:p>
        </w:tc>
        <w:tc>
          <w:tcPr>
            <w:tcW w:w="2500" w:type="dxa"/>
            <w:vAlign w:val="bottom"/>
            <w:gridSpan w:val="2"/>
            <w:shd w:val="clear" w:color="auto" w:fill="53C072"/>
          </w:tcPr>
          <w:p>
            <w:pPr>
              <w:jc w:val="right"/>
              <w:ind w:right="112"/>
              <w:spacing w:after="0"/>
              <w:rPr>
                <w:sz w:val="20"/>
                <w:szCs w:val="20"/>
                <w:color w:val="auto"/>
              </w:rPr>
            </w:pPr>
            <w:r>
              <w:rPr>
                <w:rFonts w:ascii="Arial" w:cs="Arial" w:eastAsia="Arial" w:hAnsi="Arial"/>
                <w:sz w:val="14"/>
                <w:szCs w:val="14"/>
                <w:b w:val="1"/>
                <w:bCs w:val="1"/>
                <w:color w:val="FEFEFE"/>
              </w:rPr>
              <w:t>Fiscal 2024</w:t>
            </w:r>
          </w:p>
        </w:tc>
        <w:tc>
          <w:tcPr>
            <w:tcW w:w="1040" w:type="dxa"/>
            <w:vAlign w:val="bottom"/>
            <w:gridSpan w:val="2"/>
            <w:shd w:val="clear" w:color="auto" w:fill="53C072"/>
          </w:tcPr>
          <w:p>
            <w:pPr>
              <w:ind w:left="80"/>
              <w:spacing w:after="0"/>
              <w:rPr>
                <w:sz w:val="20"/>
                <w:szCs w:val="20"/>
                <w:color w:val="auto"/>
              </w:rPr>
            </w:pPr>
            <w:r>
              <w:rPr>
                <w:rFonts w:ascii="Arial" w:cs="Arial" w:eastAsia="Arial" w:hAnsi="Arial"/>
                <w:sz w:val="14"/>
                <w:szCs w:val="14"/>
                <w:b w:val="1"/>
                <w:bCs w:val="1"/>
                <w:color w:val="FEFEFE"/>
              </w:rPr>
              <w:t>Fiscal 2025</w:t>
            </w:r>
          </w:p>
        </w:tc>
        <w:tc>
          <w:tcPr>
            <w:tcW w:w="840" w:type="dxa"/>
            <w:vAlign w:val="bottom"/>
            <w:shd w:val="clear" w:color="auto" w:fill="53C072"/>
          </w:tcPr>
          <w:p>
            <w:pPr>
              <w:jc w:val="right"/>
              <w:ind w:right="32"/>
              <w:spacing w:after="0"/>
              <w:rPr>
                <w:sz w:val="20"/>
                <w:szCs w:val="20"/>
                <w:color w:val="auto"/>
              </w:rPr>
            </w:pPr>
            <w:r>
              <w:rPr>
                <w:rFonts w:ascii="Arial" w:cs="Arial" w:eastAsia="Arial" w:hAnsi="Arial"/>
                <w:sz w:val="14"/>
                <w:szCs w:val="14"/>
                <w:b w:val="1"/>
                <w:bCs w:val="1"/>
                <w:color w:val="FEFEFE"/>
              </w:rPr>
              <w:t>% Change</w:t>
            </w:r>
          </w:p>
        </w:tc>
      </w:tr>
      <w:tr>
        <w:trPr>
          <w:trHeight w:val="252"/>
        </w:trPr>
        <w:tc>
          <w:tcPr>
            <w:tcW w:w="4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72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 in millions, except per share data</w:t>
            </w:r>
            <w:r>
              <w:rPr>
                <w:rFonts w:ascii="Arial" w:cs="Arial" w:eastAsia="Arial" w:hAnsi="Arial"/>
                <w:sz w:val="17"/>
                <w:szCs w:val="17"/>
                <w:b w:val="1"/>
                <w:bCs w:val="1"/>
                <w:color w:val="auto"/>
              </w:rPr>
              <w:t>​</w:t>
            </w:r>
          </w:p>
        </w:tc>
      </w:tr>
      <w:tr>
        <w:trPr>
          <w:trHeight w:val="261"/>
        </w:trPr>
        <w:tc>
          <w:tcPr>
            <w:tcW w:w="4380" w:type="dxa"/>
            <w:vAlign w:val="bottom"/>
            <w:shd w:val="clear" w:color="auto" w:fill="CBECD5"/>
          </w:tcPr>
          <w:p>
            <w:pPr>
              <w:ind w:left="120"/>
              <w:spacing w:after="0"/>
              <w:rPr>
                <w:sz w:val="20"/>
                <w:szCs w:val="20"/>
                <w:color w:val="auto"/>
              </w:rPr>
            </w:pPr>
            <w:r>
              <w:rPr>
                <w:rFonts w:ascii="Arial" w:cs="Arial" w:eastAsia="Arial" w:hAnsi="Arial"/>
                <w:sz w:val="18"/>
                <w:szCs w:val="18"/>
                <w:color w:val="auto"/>
              </w:rPr>
              <w:t>Sales</w:t>
            </w:r>
          </w:p>
        </w:tc>
        <w:tc>
          <w:tcPr>
            <w:tcW w:w="2500" w:type="dxa"/>
            <w:vAlign w:val="bottom"/>
            <w:gridSpan w:val="2"/>
            <w:shd w:val="clear" w:color="auto" w:fill="CBECD5"/>
          </w:tcPr>
          <w:p>
            <w:pPr>
              <w:jc w:val="right"/>
              <w:ind w:right="92"/>
              <w:spacing w:after="0"/>
              <w:rPr>
                <w:sz w:val="20"/>
                <w:szCs w:val="20"/>
                <w:color w:val="auto"/>
              </w:rPr>
            </w:pPr>
            <w:r>
              <w:rPr>
                <w:rFonts w:ascii="Arial" w:cs="Arial" w:eastAsia="Arial" w:hAnsi="Arial"/>
                <w:sz w:val="18"/>
                <w:szCs w:val="18"/>
                <w:color w:val="auto"/>
              </w:rPr>
              <w:t>​$23,757.1</w:t>
            </w:r>
          </w:p>
        </w:tc>
        <w:tc>
          <w:tcPr>
            <w:tcW w:w="1040" w:type="dxa"/>
            <w:vAlign w:val="bottom"/>
            <w:gridSpan w:val="2"/>
            <w:shd w:val="clear" w:color="auto" w:fill="CBECD5"/>
          </w:tcPr>
          <w:p>
            <w:pPr>
              <w:ind w:left="40"/>
              <w:spacing w:after="0"/>
              <w:rPr>
                <w:sz w:val="20"/>
                <w:szCs w:val="20"/>
                <w:color w:val="auto"/>
              </w:rPr>
            </w:pPr>
            <w:r>
              <w:rPr>
                <w:rFonts w:ascii="Arial" w:cs="Arial" w:eastAsia="Arial" w:hAnsi="Arial"/>
                <w:sz w:val="18"/>
                <w:szCs w:val="18"/>
                <w:color w:val="auto"/>
              </w:rPr>
              <w:t>​$22,200.8</w:t>
            </w:r>
          </w:p>
        </w:tc>
        <w:tc>
          <w:tcPr>
            <w:tcW w:w="840" w:type="dxa"/>
            <w:vAlign w:val="bottom"/>
            <w:shd w:val="clear" w:color="auto" w:fill="CBECD5"/>
          </w:tcPr>
          <w:p>
            <w:pPr>
              <w:jc w:val="right"/>
              <w:ind w:right="32"/>
              <w:spacing w:after="0"/>
              <w:rPr>
                <w:sz w:val="20"/>
                <w:szCs w:val="20"/>
                <w:color w:val="auto"/>
              </w:rPr>
            </w:pPr>
            <w:r>
              <w:rPr>
                <w:rFonts w:ascii="Arial" w:cs="Arial" w:eastAsia="Arial" w:hAnsi="Arial"/>
                <w:sz w:val="18"/>
                <w:szCs w:val="18"/>
                <w:color w:val="auto"/>
              </w:rPr>
              <w:t>-6.6%</w:t>
            </w:r>
          </w:p>
        </w:tc>
      </w:tr>
      <w:tr>
        <w:trPr>
          <w:trHeight w:val="257"/>
        </w:trPr>
        <w:tc>
          <w:tcPr>
            <w:tcW w:w="4380" w:type="dxa"/>
            <w:vAlign w:val="bottom"/>
          </w:tcPr>
          <w:p>
            <w:pPr>
              <w:ind w:left="120"/>
              <w:spacing w:after="0"/>
              <w:rPr>
                <w:sz w:val="20"/>
                <w:szCs w:val="20"/>
                <w:color w:val="auto"/>
              </w:rPr>
            </w:pPr>
            <w:r>
              <w:rPr>
                <w:rFonts w:ascii="Arial" w:cs="Arial" w:eastAsia="Arial" w:hAnsi="Arial"/>
                <w:sz w:val="18"/>
                <w:szCs w:val="18"/>
                <w:color w:val="auto"/>
              </w:rPr>
              <w:t>Gross profit dollars</w:t>
            </w:r>
          </w:p>
        </w:tc>
        <w:tc>
          <w:tcPr>
            <w:tcW w:w="1660" w:type="dxa"/>
            <w:vAlign w:val="bottom"/>
          </w:tcPr>
          <w:p>
            <w:pPr>
              <w:ind w:left="15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2,766.4</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2,385.0</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-13.8%</w:t>
            </w:r>
          </w:p>
        </w:tc>
      </w:tr>
      <w:tr>
        <w:trPr>
          <w:trHeight w:val="257"/>
        </w:trPr>
        <w:tc>
          <w:tcPr>
            <w:tcW w:w="4380" w:type="dxa"/>
            <w:vAlign w:val="bottom"/>
            <w:shd w:val="clear" w:color="auto" w:fill="CBECD5"/>
          </w:tcPr>
          <w:p>
            <w:pPr>
              <w:ind w:left="120"/>
              <w:spacing w:after="0"/>
              <w:rPr>
                <w:sz w:val="20"/>
                <w:szCs w:val="20"/>
                <w:color w:val="auto"/>
              </w:rPr>
            </w:pPr>
            <w:r>
              <w:rPr>
                <w:rFonts w:ascii="Arial" w:cs="Arial" w:eastAsia="Arial" w:hAnsi="Arial"/>
                <w:sz w:val="18"/>
                <w:szCs w:val="18"/>
                <w:color w:val="auto"/>
              </w:rPr>
              <w:t>Operating income</w:t>
            </w:r>
          </w:p>
        </w:tc>
        <w:tc>
          <w:tcPr>
            <w:tcW w:w="1660" w:type="dxa"/>
            <w:vAlign w:val="bottom"/>
            <w:shd w:val="clear" w:color="auto" w:fill="CBECD5"/>
          </w:tcPr>
          <w:p>
            <w:pPr>
              <w:ind w:left="15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92"/>
              <w:spacing w:after="0"/>
              <w:rPr>
                <w:sz w:val="20"/>
                <w:szCs w:val="20"/>
                <w:color w:val="auto"/>
              </w:rPr>
            </w:pPr>
            <w:r>
              <w:rPr>
                <w:rFonts w:ascii="Arial" w:cs="Arial" w:eastAsia="Arial" w:hAnsi="Arial"/>
                <w:sz w:val="18"/>
                <w:szCs w:val="18"/>
                <w:color w:val="auto"/>
              </w:rPr>
              <w:t>844.4</w:t>
            </w:r>
          </w:p>
        </w:tc>
        <w:tc>
          <w:tcPr>
            <w:tcW w:w="200" w:type="dxa"/>
            <w:vAlign w:val="bottom"/>
            <w:shd w:val="clear" w:color="auto" w:fill="CBECD5"/>
          </w:tcPr>
          <w:p>
            <w:pPr>
              <w:ind w:lef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90"/>
              <w:spacing w:after="0"/>
              <w:rPr>
                <w:sz w:val="20"/>
                <w:szCs w:val="20"/>
                <w:color w:val="auto"/>
              </w:rPr>
            </w:pPr>
            <w:r>
              <w:rPr>
                <w:rFonts w:ascii="Arial" w:cs="Arial" w:eastAsia="Arial" w:hAnsi="Arial"/>
                <w:sz w:val="18"/>
                <w:szCs w:val="18"/>
                <w:color w:val="auto"/>
              </w:rPr>
              <w:t>514.3</w:t>
            </w:r>
          </w:p>
        </w:tc>
        <w:tc>
          <w:tcPr>
            <w:tcW w:w="840" w:type="dxa"/>
            <w:vAlign w:val="bottom"/>
            <w:shd w:val="clear" w:color="auto" w:fill="CBECD5"/>
          </w:tcPr>
          <w:p>
            <w:pPr>
              <w:jc w:val="right"/>
              <w:ind w:right="32"/>
              <w:spacing w:after="0"/>
              <w:rPr>
                <w:sz w:val="20"/>
                <w:szCs w:val="20"/>
                <w:color w:val="auto"/>
              </w:rPr>
            </w:pPr>
            <w:r>
              <w:rPr>
                <w:rFonts w:ascii="Arial" w:cs="Arial" w:eastAsia="Arial" w:hAnsi="Arial"/>
                <w:sz w:val="18"/>
                <w:szCs w:val="18"/>
                <w:color w:val="auto"/>
              </w:rPr>
              <w:t>-39.1%</w:t>
            </w:r>
          </w:p>
        </w:tc>
      </w:tr>
      <w:tr>
        <w:trPr>
          <w:trHeight w:val="256"/>
        </w:trPr>
        <w:tc>
          <w:tcPr>
            <w:tcW w:w="4380" w:type="dxa"/>
            <w:vAlign w:val="bottom"/>
          </w:tcPr>
          <w:p>
            <w:pPr>
              <w:ind w:left="120"/>
              <w:spacing w:after="0"/>
              <w:rPr>
                <w:sz w:val="20"/>
                <w:szCs w:val="20"/>
                <w:color w:val="auto"/>
              </w:rPr>
            </w:pPr>
            <w:r>
              <w:rPr>
                <w:rFonts w:ascii="Arial" w:cs="Arial" w:eastAsia="Arial" w:hAnsi="Arial"/>
                <w:sz w:val="18"/>
                <w:szCs w:val="18"/>
                <w:color w:val="auto"/>
              </w:rPr>
              <w:t>Adjusted operating income</w:t>
            </w:r>
          </w:p>
        </w:tc>
        <w:tc>
          <w:tcPr>
            <w:tcW w:w="1660" w:type="dxa"/>
            <w:vAlign w:val="bottom"/>
          </w:tcPr>
          <w:p>
            <w:pPr>
              <w:ind w:left="15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900.0</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624.0</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-30.7%</w:t>
            </w:r>
          </w:p>
        </w:tc>
      </w:tr>
      <w:tr>
        <w:trPr>
          <w:trHeight w:val="257"/>
        </w:trPr>
        <w:tc>
          <w:tcPr>
            <w:tcW w:w="4380" w:type="dxa"/>
            <w:vAlign w:val="bottom"/>
            <w:shd w:val="clear" w:color="auto" w:fill="CBECD5"/>
          </w:tcPr>
          <w:p>
            <w:pPr>
              <w:ind w:left="120"/>
              <w:spacing w:after="0"/>
              <w:rPr>
                <w:sz w:val="20"/>
                <w:szCs w:val="20"/>
                <w:color w:val="auto"/>
              </w:rPr>
            </w:pPr>
            <w:r>
              <w:rPr>
                <w:rFonts w:ascii="Arial" w:cs="Arial" w:eastAsia="Arial" w:hAnsi="Arial"/>
                <w:sz w:val="18"/>
                <w:szCs w:val="18"/>
                <w:color w:val="auto"/>
              </w:rPr>
              <w:t>Operating income margin</w:t>
            </w:r>
          </w:p>
        </w:tc>
        <w:tc>
          <w:tcPr>
            <w:tcW w:w="1660" w:type="dxa"/>
            <w:vAlign w:val="bottom"/>
            <w:shd w:val="clear" w:color="auto" w:fill="CBECD5"/>
          </w:tcPr>
          <w:p>
            <w:pPr>
              <w:ind w:left="15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BECD5"/>
          </w:tcPr>
          <w:p>
            <w:pPr>
              <w:ind w:left="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BECD5"/>
          </w:tcPr>
          <w:p>
            <w:pPr>
              <w:jc w:val="right"/>
              <w:ind w:right="32"/>
              <w:spacing w:after="0"/>
              <w:rPr>
                <w:sz w:val="20"/>
                <w:szCs w:val="20"/>
                <w:color w:val="auto"/>
              </w:rPr>
            </w:pPr>
            <w:r>
              <w:rPr>
                <w:rFonts w:ascii="Arial" w:cs="Arial" w:eastAsia="Arial" w:hAnsi="Arial"/>
                <w:sz w:val="18"/>
                <w:szCs w:val="18"/>
                <w:color w:val="auto"/>
              </w:rPr>
              <w:t>2.32% -123 bps</w:t>
            </w:r>
          </w:p>
        </w:tc>
      </w:tr>
      <w:tr>
        <w:trPr>
          <w:trHeight w:val="257"/>
        </w:trPr>
        <w:tc>
          <w:tcPr>
            <w:tcW w:w="4380" w:type="dxa"/>
            <w:vAlign w:val="bottom"/>
          </w:tcPr>
          <w:p>
            <w:pPr>
              <w:ind w:left="120"/>
              <w:spacing w:after="0"/>
              <w:rPr>
                <w:sz w:val="20"/>
                <w:szCs w:val="20"/>
                <w:color w:val="auto"/>
              </w:rPr>
            </w:pPr>
            <w:r>
              <w:rPr>
                <w:rFonts w:ascii="Arial" w:cs="Arial" w:eastAsia="Arial" w:hAnsi="Arial"/>
                <w:sz w:val="18"/>
                <w:szCs w:val="18"/>
                <w:color w:val="auto"/>
              </w:rPr>
              <w:t>Adjusted operating income margin</w:t>
            </w:r>
          </w:p>
        </w:tc>
        <w:tc>
          <w:tcPr>
            <w:tcW w:w="1660" w:type="dxa"/>
            <w:vAlign w:val="bottom"/>
          </w:tcPr>
          <w:p>
            <w:pPr>
              <w:ind w:left="15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2.81%</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-98 bps</w:t>
            </w:r>
          </w:p>
        </w:tc>
      </w:tr>
      <w:tr>
        <w:trPr>
          <w:trHeight w:val="257"/>
        </w:trPr>
        <w:tc>
          <w:tcPr>
            <w:tcW w:w="4380" w:type="dxa"/>
            <w:vAlign w:val="bottom"/>
            <w:shd w:val="clear" w:color="auto" w:fill="CBECD5"/>
          </w:tcPr>
          <w:p>
            <w:pPr>
              <w:ind w:left="120"/>
              <w:spacing w:after="0"/>
              <w:rPr>
                <w:sz w:val="20"/>
                <w:szCs w:val="20"/>
                <w:color w:val="auto"/>
              </w:rPr>
            </w:pPr>
            <w:r>
              <w:rPr>
                <w:rFonts w:ascii="Arial" w:cs="Arial" w:eastAsia="Arial" w:hAnsi="Arial"/>
                <w:sz w:val="18"/>
                <w:szCs w:val="18"/>
                <w:color w:val="auto"/>
              </w:rPr>
              <w:t>Diluted earnings per share</w:t>
            </w:r>
          </w:p>
        </w:tc>
        <w:tc>
          <w:tcPr>
            <w:tcW w:w="1660" w:type="dxa"/>
            <w:vAlign w:val="bottom"/>
            <w:shd w:val="clear" w:color="auto" w:fill="CBECD5"/>
          </w:tcPr>
          <w:p>
            <w:pPr>
              <w:ind w:left="15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92"/>
              <w:spacing w:after="0"/>
              <w:rPr>
                <w:sz w:val="20"/>
                <w:szCs w:val="20"/>
                <w:color w:val="auto"/>
              </w:rPr>
            </w:pPr>
            <w:r>
              <w:rPr>
                <w:rFonts w:ascii="Arial" w:cs="Arial" w:eastAsia="Arial" w:hAnsi="Arial"/>
                <w:sz w:val="18"/>
                <w:szCs w:val="18"/>
                <w:color w:val="auto"/>
              </w:rPr>
              <w:t>5.43</w:t>
            </w:r>
          </w:p>
        </w:tc>
        <w:tc>
          <w:tcPr>
            <w:tcW w:w="200" w:type="dxa"/>
            <w:vAlign w:val="bottom"/>
            <w:shd w:val="clear" w:color="auto" w:fill="CBECD5"/>
          </w:tcPr>
          <w:p>
            <w:pPr>
              <w:ind w:lef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90"/>
              <w:spacing w:after="0"/>
              <w:rPr>
                <w:sz w:val="20"/>
                <w:szCs w:val="20"/>
                <w:color w:val="auto"/>
              </w:rPr>
            </w:pPr>
            <w:r>
              <w:rPr>
                <w:rFonts w:ascii="Arial" w:cs="Arial" w:eastAsia="Arial" w:hAnsi="Arial"/>
                <w:sz w:val="18"/>
                <w:szCs w:val="18"/>
                <w:color w:val="auto"/>
              </w:rPr>
              <w:t>2.75</w:t>
            </w:r>
          </w:p>
        </w:tc>
        <w:tc>
          <w:tcPr>
            <w:tcW w:w="840" w:type="dxa"/>
            <w:vAlign w:val="bottom"/>
            <w:shd w:val="clear" w:color="auto" w:fill="CBECD5"/>
          </w:tcPr>
          <w:p>
            <w:pPr>
              <w:jc w:val="right"/>
              <w:ind w:right="32"/>
              <w:spacing w:after="0"/>
              <w:rPr>
                <w:sz w:val="20"/>
                <w:szCs w:val="20"/>
                <w:color w:val="auto"/>
              </w:rPr>
            </w:pPr>
            <w:r>
              <w:rPr>
                <w:rFonts w:ascii="Arial" w:cs="Arial" w:eastAsia="Arial" w:hAnsi="Arial"/>
                <w:sz w:val="18"/>
                <w:szCs w:val="18"/>
                <w:color w:val="auto"/>
              </w:rPr>
              <w:t>-49.4%</w:t>
            </w:r>
          </w:p>
        </w:tc>
      </w:tr>
      <w:tr>
        <w:trPr>
          <w:trHeight w:val="256"/>
        </w:trPr>
        <w:tc>
          <w:tcPr>
            <w:tcW w:w="4380" w:type="dxa"/>
            <w:vAlign w:val="bottom"/>
          </w:tcPr>
          <w:p>
            <w:pPr>
              <w:ind w:left="120"/>
              <w:spacing w:after="0"/>
              <w:rPr>
                <w:sz w:val="20"/>
                <w:szCs w:val="20"/>
                <w:color w:val="auto"/>
              </w:rPr>
            </w:pPr>
            <w:r>
              <w:rPr>
                <w:rFonts w:ascii="Arial" w:cs="Arial" w:eastAsia="Arial" w:hAnsi="Arial"/>
                <w:sz w:val="18"/>
                <w:szCs w:val="18"/>
                <w:color w:val="auto"/>
              </w:rPr>
              <w:t>Adjusted diluted earnings per share</w:t>
            </w:r>
          </w:p>
        </w:tc>
        <w:tc>
          <w:tcPr>
            <w:tcW w:w="1660" w:type="dxa"/>
            <w:vAlign w:val="bottom"/>
          </w:tcPr>
          <w:p>
            <w:pPr>
              <w:ind w:left="15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5.34</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3.44</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-35.6%</w:t>
            </w:r>
          </w:p>
        </w:tc>
      </w:tr>
      <w:tr>
        <w:trPr>
          <w:trHeight w:val="257"/>
        </w:trPr>
        <w:tc>
          <w:tcPr>
            <w:tcW w:w="4380" w:type="dxa"/>
            <w:vAlign w:val="bottom"/>
            <w:shd w:val="clear" w:color="auto" w:fill="CBECD5"/>
          </w:tcPr>
          <w:p>
            <w:pPr>
              <w:ind w:left="120"/>
              <w:spacing w:after="0"/>
              <w:rPr>
                <w:sz w:val="20"/>
                <w:szCs w:val="20"/>
                <w:color w:val="auto"/>
              </w:rPr>
            </w:pPr>
            <w:r>
              <w:rPr>
                <w:rFonts w:ascii="Arial" w:cs="Arial" w:eastAsia="Arial" w:hAnsi="Arial"/>
                <w:sz w:val="18"/>
                <w:szCs w:val="18"/>
                <w:color w:val="auto"/>
              </w:rPr>
              <w:t>Net working capital days</w:t>
            </w:r>
          </w:p>
        </w:tc>
        <w:tc>
          <w:tcPr>
            <w:tcW w:w="1660" w:type="dxa"/>
            <w:vAlign w:val="bottom"/>
            <w:shd w:val="clear" w:color="auto" w:fill="CBECD5"/>
          </w:tcPr>
          <w:p>
            <w:pPr>
              <w:ind w:left="15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92"/>
              <w:spacing w:after="0"/>
              <w:rPr>
                <w:sz w:val="20"/>
                <w:szCs w:val="20"/>
                <w:color w:val="auto"/>
              </w:rPr>
            </w:pPr>
            <w:r>
              <w:rPr>
                <w:rFonts w:ascii="Arial" w:cs="Arial" w:eastAsia="Arial" w:hAnsi="Arial"/>
                <w:sz w:val="18"/>
                <w:szCs w:val="18"/>
                <w:color w:val="auto"/>
              </w:rPr>
              <w:t>106.96</w:t>
            </w:r>
          </w:p>
        </w:tc>
        <w:tc>
          <w:tcPr>
            <w:tcW w:w="200" w:type="dxa"/>
            <w:vAlign w:val="bottom"/>
            <w:shd w:val="clear" w:color="auto" w:fill="CBECD5"/>
          </w:tcPr>
          <w:p>
            <w:pPr>
              <w:ind w:lef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90"/>
              <w:spacing w:after="0"/>
              <w:rPr>
                <w:sz w:val="20"/>
                <w:szCs w:val="20"/>
                <w:color w:val="auto"/>
              </w:rPr>
            </w:pPr>
            <w:r>
              <w:rPr>
                <w:rFonts w:ascii="Arial" w:cs="Arial" w:eastAsia="Arial" w:hAnsi="Arial"/>
                <w:sz w:val="18"/>
                <w:szCs w:val="18"/>
                <w:color w:val="auto"/>
              </w:rPr>
              <w:t>103.17</w:t>
            </w:r>
          </w:p>
        </w:tc>
        <w:tc>
          <w:tcPr>
            <w:tcW w:w="840" w:type="dxa"/>
            <w:vAlign w:val="bottom"/>
            <w:shd w:val="clear" w:color="auto" w:fill="CBECD5"/>
          </w:tcPr>
          <w:p>
            <w:pPr>
              <w:jc w:val="right"/>
              <w:ind w:right="32"/>
              <w:spacing w:after="0"/>
              <w:rPr>
                <w:sz w:val="20"/>
                <w:szCs w:val="20"/>
                <w:color w:val="auto"/>
              </w:rPr>
            </w:pPr>
            <w:r>
              <w:rPr>
                <w:rFonts w:ascii="Arial" w:cs="Arial" w:eastAsia="Arial" w:hAnsi="Arial"/>
                <w:sz w:val="18"/>
                <w:szCs w:val="18"/>
                <w:color w:val="auto"/>
              </w:rPr>
              <w:t>-3.5%</w:t>
            </w:r>
          </w:p>
        </w:tc>
      </w:tr>
      <w:tr>
        <w:trPr>
          <w:trHeight w:val="291"/>
        </w:trPr>
        <w:tc>
          <w:tcPr>
            <w:tcW w:w="4380" w:type="dxa"/>
            <w:vAlign w:val="bottom"/>
            <w:tcBorders>
              <w:bottom w:val="single" w:sz="8" w:color="53C072"/>
            </w:tcBorders>
          </w:tcPr>
          <w:p>
            <w:pPr>
              <w:ind w:left="120"/>
              <w:spacing w:after="0"/>
              <w:rPr>
                <w:sz w:val="20"/>
                <w:szCs w:val="20"/>
                <w:color w:val="auto"/>
              </w:rPr>
            </w:pPr>
            <w:r>
              <w:rPr>
                <w:rFonts w:ascii="Arial" w:cs="Arial" w:eastAsia="Arial" w:hAnsi="Arial"/>
                <w:sz w:val="18"/>
                <w:szCs w:val="18"/>
                <w:color w:val="auto"/>
              </w:rPr>
              <w:t>Return on Working Capital</w:t>
            </w:r>
          </w:p>
        </w:tc>
        <w:tc>
          <w:tcPr>
            <w:tcW w:w="1660" w:type="dxa"/>
            <w:vAlign w:val="bottom"/>
            <w:tcBorders>
              <w:bottom w:val="single" w:sz="8" w:color="53C072"/>
            </w:tcBorders>
          </w:tcPr>
          <w:p>
            <w:pPr>
              <w:ind w:left="15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13.08%</w:t>
            </w:r>
          </w:p>
        </w:tc>
        <w:tc>
          <w:tcPr>
            <w:tcW w:w="2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53C072"/>
            </w:tcBorders>
            <w:gridSpan w:val="2"/>
          </w:tcPr>
          <w:p>
            <w:pPr>
              <w:jc w:val="right"/>
              <w:ind w:right="32"/>
              <w:spacing w:after="0"/>
              <w:rPr>
                <w:sz w:val="20"/>
                <w:szCs w:val="20"/>
                <w:color w:val="auto"/>
              </w:rPr>
            </w:pPr>
            <w:r>
              <w:rPr>
                <w:rFonts w:ascii="Arial" w:cs="Arial" w:eastAsia="Arial" w:hAnsi="Arial"/>
                <w:sz w:val="18"/>
                <w:szCs w:val="18"/>
                <w:color w:val="auto"/>
              </w:rPr>
              <w:t>9.97% -311 bps</w:t>
            </w:r>
          </w:p>
        </w:tc>
      </w:tr>
    </w:tbl>
    <w:p>
      <w:pPr>
        <w:spacing w:after="0" w:line="89" w:lineRule="exact"/>
        <w:rPr>
          <w:sz w:val="20"/>
          <w:szCs w:val="20"/>
          <w:color w:val="auto"/>
        </w:rPr>
      </w:pPr>
    </w:p>
    <w:p>
      <w:pPr>
        <w:ind w:left="1000" w:right="199"/>
        <w:spacing w:after="0" w:line="271" w:lineRule="auto"/>
        <w:rPr>
          <w:sz w:val="20"/>
          <w:szCs w:val="20"/>
          <w:color w:val="auto"/>
        </w:rPr>
      </w:pPr>
      <w:r>
        <w:rPr>
          <w:rFonts w:ascii="Arial" w:cs="Arial" w:eastAsia="Arial" w:hAnsi="Arial"/>
          <w:sz w:val="17"/>
          <w:szCs w:val="17"/>
          <w:color w:val="auto"/>
        </w:rPr>
        <w:t xml:space="preserve">In addition to presenting financial results that are determined in accordance with generally accepted accounting principles in the United States (“GAAP”), the Company also discloses certain non-GAAP financial information, including adjusted operating income, adjusted operating income margin, adjusted income from operations, and adjusted diluted earnings per share from operations to exclude certain items in the table above. The Company believes that these metrics, adjusted for the impact of certain items, are useful measures to help shareholders better assess and understand the Company’s performance, especially when comparing results with previous periods, primarily because management views the excluded items to be outside of the Company’s normal operating results. See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for a reconciliation of these non-GAAP measures to the most directly comparable GAAP measures. Non-GAAP measures should be viewed in addition to, and not as an alternative for, financial results prepared in accordance with GAAP.</w:t>
      </w:r>
    </w:p>
    <w:p>
      <w:pPr>
        <w:spacing w:after="0" w:line="101" w:lineRule="exact"/>
        <w:rPr>
          <w:sz w:val="20"/>
          <w:szCs w:val="20"/>
          <w:color w:val="auto"/>
        </w:rPr>
      </w:pPr>
    </w:p>
    <w:p>
      <w:pPr>
        <w:ind w:left="1000" w:right="339"/>
        <w:spacing w:after="0" w:line="268" w:lineRule="auto"/>
        <w:rPr>
          <w:sz w:val="20"/>
          <w:szCs w:val="20"/>
          <w:color w:val="auto"/>
        </w:rPr>
      </w:pPr>
      <w:r>
        <w:rPr>
          <w:rFonts w:ascii="Arial" w:cs="Arial" w:eastAsia="Arial" w:hAnsi="Arial"/>
          <w:sz w:val="18"/>
          <w:szCs w:val="18"/>
          <w:color w:val="auto"/>
        </w:rPr>
        <w:t>For more details on the Company’s performance, please see the Company’s Annual Report on Form 10-K for the fiscal year ending June 28, 2025, including the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94615</wp:posOffset>
            </wp:positionV>
            <wp:extent cx="3540125" cy="12001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54012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40     </w:t>
      </w:r>
      <w:r>
        <w:rPr>
          <w:sz w:val="1"/>
          <w:szCs w:val="1"/>
          <w:color w:val="auto"/>
        </w:rPr>
        <w:drawing>
          <wp:inline distT="0" distB="0" distL="0" distR="0">
            <wp:extent cx="1242695" cy="24003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43" w:lineRule="exact"/>
        <w:rPr>
          <w:sz w:val="20"/>
          <w:szCs w:val="20"/>
          <w:color w:val="auto"/>
        </w:rPr>
      </w:pPr>
    </w:p>
    <w:p>
      <w:pPr>
        <w:jc w:val="right"/>
        <w:ind w:right="139"/>
        <w:spacing w:after="0"/>
        <w:tabs>
          <w:tab w:leader="none" w:pos="2460" w:val="left"/>
        </w:tabs>
        <w:rPr>
          <w:sz w:val="20"/>
          <w:szCs w:val="20"/>
          <w:color w:val="auto"/>
        </w:rPr>
      </w:pPr>
      <w:r>
        <w:rPr>
          <w:rFonts w:ascii="Arial" w:cs="Arial" w:eastAsia="Arial" w:hAnsi="Arial"/>
          <w:sz w:val="28"/>
          <w:szCs w:val="28"/>
          <w:b w:val="1"/>
          <w:bCs w:val="1"/>
          <w:color w:val="53C072"/>
          <w:vertAlign w:val="superscript"/>
        </w:rPr>
        <w:t>2025 ANNUAL</w:t>
      </w:r>
      <w:r>
        <w:rPr>
          <w:rFonts w:ascii="Arial" w:cs="Arial" w:eastAsia="Arial" w:hAnsi="Arial"/>
          <w:sz w:val="28"/>
          <w:szCs w:val="28"/>
          <w:b w:val="1"/>
          <w:bCs w:val="1"/>
          <w:color w:val="auto"/>
          <w:vertAlign w:val="superscript"/>
        </w:rPr>
        <w:t xml:space="preserve"> </w:t>
      </w:r>
      <w:r>
        <w:rPr>
          <w:sz w:val="20"/>
          <w:szCs w:val="20"/>
          <w:color w:val="auto"/>
        </w:rPr>
        <w:tab/>
      </w:r>
      <w:r>
        <w:rPr>
          <w:rFonts w:ascii="Arial" w:cs="Arial" w:eastAsia="Arial" w:hAnsi="Arial"/>
          <w:sz w:val="14"/>
          <w:szCs w:val="14"/>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6"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Summary of Incentive Compensation Design and Payouts for Fiscal 2025</w:t>
      </w:r>
    </w:p>
    <w:p>
      <w:pPr>
        <w:spacing w:after="0" w:line="153" w:lineRule="exact"/>
        <w:rPr>
          <w:sz w:val="20"/>
          <w:szCs w:val="20"/>
          <w:color w:val="auto"/>
        </w:rPr>
      </w:pPr>
    </w:p>
    <w:p>
      <w:pPr>
        <w:ind w:left="1000" w:right="259"/>
        <w:spacing w:after="0" w:line="255" w:lineRule="auto"/>
        <w:rPr>
          <w:sz w:val="20"/>
          <w:szCs w:val="20"/>
          <w:color w:val="auto"/>
        </w:rPr>
      </w:pPr>
      <w:r>
        <w:rPr>
          <w:rFonts w:ascii="Arial" w:cs="Arial" w:eastAsia="Arial" w:hAnsi="Arial"/>
          <w:sz w:val="18"/>
          <w:szCs w:val="18"/>
          <w:b w:val="1"/>
          <w:bCs w:val="1"/>
          <w:i w:val="1"/>
          <w:iCs w:val="1"/>
          <w:color w:val="auto"/>
        </w:rPr>
        <w:t xml:space="preserve">Annual Cash Incentive Design and Payout: </w:t>
      </w:r>
      <w:r>
        <w:rPr>
          <w:rFonts w:ascii="Arial" w:cs="Arial" w:eastAsia="Arial" w:hAnsi="Arial"/>
          <w:sz w:val="18"/>
          <w:szCs w:val="18"/>
          <w:color w:val="auto"/>
        </w:rPr>
        <w:t>The annual cash incentive plan for fiscal 2025 consisted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two components — financial performance metrics and non-financial performance metrics, weighted 80% and 20%, respectively. The financial performance metrics had three performance goals: (1) adjusted operating income dollars (OI$), weighted 40%; (2) return on working capital (ROWC), weighted 40%; and (3) relative market share, weighted 20%. Relative market share measures the Company’s ability to increase market share against its main competitor in its Core business. The non-financial performance metric was comprised of goals related to talent management, leadership development and employee engagement. Each NEO’s achievement was determined on an individualized basis, which provided the opportunity to recognize each NEO’s individual contributions to their goals. </w:t>
      </w:r>
      <w:r>
        <w:rPr>
          <w:rFonts w:ascii="Arial" w:cs="Arial" w:eastAsia="Arial" w:hAnsi="Arial"/>
          <w:sz w:val="18"/>
          <w:szCs w:val="18"/>
          <w:b w:val="1"/>
          <w:bCs w:val="1"/>
          <w:color w:val="auto"/>
        </w:rPr>
        <w:t>The payout for the fiscal 2025 annual cash incentive awards was 72% of</w:t>
      </w:r>
      <w:r>
        <w:rPr>
          <w:rFonts w:ascii="Arial" w:cs="Arial" w:eastAsia="Arial" w:hAnsi="Arial"/>
          <w:sz w:val="18"/>
          <w:szCs w:val="18"/>
          <w:color w:val="auto"/>
        </w:rPr>
        <w:t xml:space="preserve"> </w:t>
      </w:r>
      <w:r>
        <w:rPr>
          <w:rFonts w:ascii="Arial" w:cs="Arial" w:eastAsia="Arial" w:hAnsi="Arial"/>
          <w:sz w:val="18"/>
          <w:szCs w:val="18"/>
          <w:b w:val="1"/>
          <w:bCs w:val="1"/>
          <w:color w:val="auto"/>
        </w:rPr>
        <w:t>target for the CEO and for other NEOs</w:t>
      </w:r>
      <w:r>
        <w:rPr>
          <w:rFonts w:ascii="Arial" w:cs="Arial" w:eastAsia="Arial" w:hAnsi="Arial"/>
          <w:sz w:val="18"/>
          <w:szCs w:val="18"/>
          <w:color w:val="auto"/>
        </w:rPr>
        <w:t>.</w:t>
      </w:r>
    </w:p>
    <w:p>
      <w:pPr>
        <w:spacing w:after="0" w:line="96" w:lineRule="exact"/>
        <w:rPr>
          <w:sz w:val="20"/>
          <w:szCs w:val="20"/>
          <w:color w:val="auto"/>
        </w:rPr>
      </w:pPr>
    </w:p>
    <w:p>
      <w:pPr>
        <w:ind w:left="1000" w:right="199"/>
        <w:spacing w:after="0" w:line="268" w:lineRule="auto"/>
        <w:rPr>
          <w:sz w:val="20"/>
          <w:szCs w:val="20"/>
          <w:color w:val="auto"/>
        </w:rPr>
      </w:pPr>
      <w:r>
        <w:rPr>
          <w:rFonts w:ascii="Arial" w:cs="Arial" w:eastAsia="Arial" w:hAnsi="Arial"/>
          <w:sz w:val="17"/>
          <w:szCs w:val="17"/>
          <w:b w:val="1"/>
          <w:bCs w:val="1"/>
          <w:i w:val="1"/>
          <w:iCs w:val="1"/>
          <w:color w:val="auto"/>
        </w:rPr>
        <w:t xml:space="preserve">Long-Term Incentive Design: </w:t>
      </w:r>
      <w:r>
        <w:rPr>
          <w:rFonts w:ascii="Arial" w:cs="Arial" w:eastAsia="Arial" w:hAnsi="Arial"/>
          <w:sz w:val="17"/>
          <w:szCs w:val="17"/>
          <w:color w:val="auto"/>
        </w:rPr>
        <w:t>The long-term equity incentive plan for fiscal 2025 consisted of 50%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share units (“PSUs”) and 50% time-based restricted stock units (“RSUs”). The PSUs were divided equally into three tranches, each with a different one-fiscal year performance period, which collectively vest at the end of the third fiscal year. PSUs earned under each tranche will be based on (1) adjusted return on invested capital exceeding weighted average cost of capital (“ROIC&gt;WACC”), weighted 50%, and (2) relative adjusted earnings per share growth, weighted 50%, with relative total shareholder return (“rTSR”) as a modifier.</w:t>
      </w:r>
    </w:p>
    <w:p>
      <w:pPr>
        <w:spacing w:after="0" w:line="4" w:lineRule="exact"/>
        <w:rPr>
          <w:sz w:val="20"/>
          <w:szCs w:val="20"/>
          <w:color w:val="auto"/>
        </w:rPr>
      </w:pPr>
    </w:p>
    <w:p>
      <w:pPr>
        <w:jc w:val="both"/>
        <w:ind w:left="1000" w:right="179"/>
        <w:spacing w:after="0" w:line="263" w:lineRule="auto"/>
        <w:rPr>
          <w:sz w:val="20"/>
          <w:szCs w:val="20"/>
          <w:color w:val="auto"/>
        </w:rPr>
      </w:pPr>
      <w:r>
        <w:rPr>
          <w:rFonts w:ascii="Arial" w:cs="Arial" w:eastAsia="Arial" w:hAnsi="Arial"/>
          <w:sz w:val="18"/>
          <w:szCs w:val="18"/>
          <w:b w:val="1"/>
          <w:bCs w:val="1"/>
          <w:color w:val="auto"/>
        </w:rPr>
        <w:t>PSUs earned for all NEOs in fiscal 2025 was 0% of target, for the first tranche of the fiscal 2025 to 2027 plan, the second tranche of the fiscal 2024 to 2026 plan and for the third and final tranche of the fiscal 2023 to 2025 plan, the details of which are provided under the Long-Term Incentive section</w:t>
      </w:r>
      <w:r>
        <w:rPr>
          <w:rFonts w:ascii="Arial" w:cs="Arial" w:eastAsia="Arial" w:hAnsi="Arial"/>
          <w:sz w:val="18"/>
          <w:szCs w:val="18"/>
          <w:color w:val="auto"/>
        </w:rPr>
        <w:t>.</w:t>
      </w:r>
    </w:p>
    <w:p>
      <w:pPr>
        <w:spacing w:after="0" w:line="93"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5546090" cy="6597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4609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00" w:right="159"/>
        <w:spacing w:after="0" w:line="256" w:lineRule="auto"/>
        <w:rPr>
          <w:sz w:val="20"/>
          <w:szCs w:val="20"/>
          <w:color w:val="auto"/>
        </w:rPr>
      </w:pPr>
      <w:r>
        <w:rPr>
          <w:rFonts w:ascii="Arial" w:cs="Arial" w:eastAsia="Arial" w:hAnsi="Arial"/>
          <w:sz w:val="18"/>
          <w:szCs w:val="18"/>
          <w:color w:val="auto"/>
        </w:rPr>
        <w:t>The Committee’s objective is to approve and oversee a compensation program that supports the Company’s business objectives and aligns executives’ interests with shareholders’ interests by rewarding short- and long-term performance that enhances shareholder value. The Company’s short-term incentive program employs multiple performance measures to ensure focus is on the entire business. The long-term incentive program included awards that vest over several different and overlapping periods to help ensure that performance during any one period was not maximized to the detriment of other periods. Equity awards vest over periods ranging from three to four years depending on the award type.</w:t>
      </w:r>
    </w:p>
    <w:p>
      <w:pPr>
        <w:spacing w:after="0" w:line="110"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2024 Advisory Vote on Executive Compensation</w:t>
      </w:r>
    </w:p>
    <w:p>
      <w:pPr>
        <w:spacing w:after="0" w:line="153" w:lineRule="exact"/>
        <w:rPr>
          <w:sz w:val="20"/>
          <w:szCs w:val="20"/>
          <w:color w:val="auto"/>
        </w:rPr>
      </w:pPr>
    </w:p>
    <w:p>
      <w:pPr>
        <w:ind w:left="1000" w:right="399"/>
        <w:spacing w:after="0" w:line="291" w:lineRule="auto"/>
        <w:rPr>
          <w:sz w:val="20"/>
          <w:szCs w:val="20"/>
          <w:color w:val="auto"/>
        </w:rPr>
      </w:pPr>
      <w:r>
        <w:rPr>
          <w:rFonts w:ascii="Arial" w:cs="Arial" w:eastAsia="Arial" w:hAnsi="Arial"/>
          <w:sz w:val="17"/>
          <w:szCs w:val="17"/>
          <w:color w:val="auto"/>
        </w:rPr>
        <w:t>At the Company’s annual shareholder meeting on November 22, 2024, the Company submitted its executive compensation program to an advisory vote of its shareholders (also known as the “say on pay vote”). This advisory vote received support from approximately 97.83% of the total votes cast at the annual meeting.</w:t>
      </w:r>
    </w:p>
    <w:p>
      <w:pPr>
        <w:spacing w:after="0" w:line="67"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Shareholder Outreach Efforts</w:t>
      </w:r>
    </w:p>
    <w:p>
      <w:pPr>
        <w:spacing w:after="0" w:line="153" w:lineRule="exact"/>
        <w:rPr>
          <w:sz w:val="20"/>
          <w:szCs w:val="20"/>
          <w:color w:val="auto"/>
        </w:rPr>
      </w:pPr>
    </w:p>
    <w:p>
      <w:pPr>
        <w:ind w:left="1000" w:right="239"/>
        <w:spacing w:after="0" w:line="257" w:lineRule="auto"/>
        <w:rPr>
          <w:sz w:val="20"/>
          <w:szCs w:val="20"/>
          <w:color w:val="auto"/>
        </w:rPr>
      </w:pPr>
      <w:r>
        <w:rPr>
          <w:rFonts w:ascii="Arial" w:cs="Arial" w:eastAsia="Arial" w:hAnsi="Arial"/>
          <w:sz w:val="18"/>
          <w:szCs w:val="18"/>
          <w:color w:val="auto"/>
        </w:rPr>
        <w:t>The Company carefully considers feedback received from its shareholders, including the say on pay vote, in its decision making regarding governance practices and executive compensation. As has been its practice for several years, in fiscal 2025, the Company contacted its largest registered shareholders to seek their feedback on the Company’s corporate governance, sustainability, and executive compensation practices (“2025 Outreach”). There were no concerns expressed during the 2025 Outreach that led the Committee to make material changes to the Company’s compensation programs.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43" w:lineRule="exact"/>
        <w:rPr>
          <w:sz w:val="20"/>
          <w:szCs w:val="20"/>
          <w:color w:val="auto"/>
        </w:rPr>
      </w:pPr>
    </w:p>
    <w:p>
      <w:pPr>
        <w:jc w:val="right"/>
        <w:ind w:right="139"/>
        <w:spacing w:after="0"/>
        <w:tabs>
          <w:tab w:leader="none" w:pos="2460" w:val="left"/>
        </w:tabs>
        <w:rPr>
          <w:sz w:val="20"/>
          <w:szCs w:val="20"/>
          <w:color w:val="auto"/>
        </w:rPr>
      </w:pPr>
      <w:r>
        <w:rPr>
          <w:rFonts w:ascii="Arial" w:cs="Arial" w:eastAsia="Arial" w:hAnsi="Arial"/>
          <w:sz w:val="28"/>
          <w:szCs w:val="28"/>
          <w:b w:val="1"/>
          <w:bCs w:val="1"/>
          <w:color w:val="53C072"/>
          <w:vertAlign w:val="superscript"/>
        </w:rPr>
        <w:t>2025 ANNUAL</w:t>
      </w:r>
      <w:r>
        <w:rPr>
          <w:rFonts w:ascii="Arial" w:cs="Arial" w:eastAsia="Arial" w:hAnsi="Arial"/>
          <w:sz w:val="28"/>
          <w:szCs w:val="28"/>
          <w:b w:val="1"/>
          <w:bCs w:val="1"/>
          <w:color w:val="auto"/>
          <w:vertAlign w:val="superscript"/>
        </w:rPr>
        <w:t xml:space="preserve"> </w:t>
      </w:r>
      <w:r>
        <w:rPr>
          <w:sz w:val="20"/>
          <w:szCs w:val="20"/>
          <w:color w:val="auto"/>
        </w:rPr>
        <w:tab/>
      </w:r>
      <w:r>
        <w:rPr>
          <w:rFonts w:ascii="Arial" w:cs="Arial" w:eastAsia="Arial" w:hAnsi="Arial"/>
          <w:sz w:val="14"/>
          <w:szCs w:val="14"/>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COMPENSATION GOVERNANCE AND PROCESS</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Role of the Compensation Committee and Board</w:t>
      </w:r>
    </w:p>
    <w:p>
      <w:pPr>
        <w:spacing w:after="0" w:line="11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setting and implementing the Company’s executive compensation program:</w:t>
      </w:r>
    </w:p>
    <w:p>
      <w:pPr>
        <w:spacing w:after="0" w:line="117" w:lineRule="exact"/>
        <w:rPr>
          <w:sz w:val="20"/>
          <w:szCs w:val="20"/>
          <w:color w:val="auto"/>
        </w:rPr>
      </w:pPr>
    </w:p>
    <w:p>
      <w:pPr>
        <w:ind w:left="1720" w:right="379" w:hanging="370"/>
        <w:spacing w:after="0" w:line="287" w:lineRule="auto"/>
        <w:tabs>
          <w:tab w:leader="none" w:pos="1720" w:val="left"/>
        </w:tabs>
        <w:numPr>
          <w:ilvl w:val="0"/>
          <w:numId w:val="36"/>
        </w:numPr>
        <w:rPr>
          <w:rFonts w:ascii="MS PGothic" w:cs="MS PGothic" w:eastAsia="MS PGothic" w:hAnsi="MS PGothic"/>
          <w:sz w:val="18"/>
          <w:szCs w:val="18"/>
          <w:color w:val="53C072"/>
        </w:rPr>
      </w:pPr>
      <w:r>
        <w:rPr>
          <w:rFonts w:ascii="Arial" w:cs="Arial" w:eastAsia="Arial" w:hAnsi="Arial"/>
          <w:sz w:val="18"/>
          <w:szCs w:val="18"/>
          <w:color w:val="auto"/>
        </w:rPr>
        <w:t>The Committee oversees overall compensation structure, policies, and programs, and assesses the appropriateness of incentives for management and employees</w:t>
      </w:r>
    </w:p>
    <w:p>
      <w:pPr>
        <w:spacing w:after="0" w:line="44" w:lineRule="exact"/>
        <w:rPr>
          <w:rFonts w:ascii="MS PGothic" w:cs="MS PGothic" w:eastAsia="MS PGothic" w:hAnsi="MS PGothic"/>
          <w:sz w:val="18"/>
          <w:szCs w:val="18"/>
          <w:color w:val="53C072"/>
        </w:rPr>
      </w:pPr>
    </w:p>
    <w:p>
      <w:pPr>
        <w:ind w:left="1720" w:right="219" w:hanging="370"/>
        <w:spacing w:after="0" w:line="281" w:lineRule="auto"/>
        <w:tabs>
          <w:tab w:leader="none" w:pos="1720" w:val="left"/>
        </w:tabs>
        <w:numPr>
          <w:ilvl w:val="0"/>
          <w:numId w:val="36"/>
        </w:numPr>
        <w:rPr>
          <w:rFonts w:ascii="MS PGothic" w:cs="MS PGothic" w:eastAsia="MS PGothic" w:hAnsi="MS PGothic"/>
          <w:sz w:val="18"/>
          <w:szCs w:val="18"/>
          <w:color w:val="53C072"/>
        </w:rPr>
      </w:pPr>
      <w:r>
        <w:rPr>
          <w:rFonts w:ascii="Arial" w:cs="Arial" w:eastAsia="Arial" w:hAnsi="Arial"/>
          <w:sz w:val="18"/>
          <w:szCs w:val="18"/>
          <w:color w:val="auto"/>
        </w:rPr>
        <w:t>The Committee serves as the administrator of short-term and long-term incentive plans and all equity-based compensation plans</w:t>
      </w:r>
    </w:p>
    <w:p>
      <w:pPr>
        <w:spacing w:after="0" w:line="41" w:lineRule="exact"/>
        <w:rPr>
          <w:rFonts w:ascii="MS PGothic" w:cs="MS PGothic" w:eastAsia="MS PGothic" w:hAnsi="MS PGothic"/>
          <w:sz w:val="18"/>
          <w:szCs w:val="18"/>
          <w:color w:val="53C072"/>
        </w:rPr>
      </w:pPr>
    </w:p>
    <w:p>
      <w:pPr>
        <w:ind w:left="1720" w:right="459" w:hanging="370"/>
        <w:spacing w:after="0" w:line="287" w:lineRule="auto"/>
        <w:tabs>
          <w:tab w:leader="none" w:pos="1720" w:val="left"/>
        </w:tabs>
        <w:numPr>
          <w:ilvl w:val="0"/>
          <w:numId w:val="36"/>
        </w:numPr>
        <w:rPr>
          <w:rFonts w:ascii="MS PGothic" w:cs="MS PGothic" w:eastAsia="MS PGothic" w:hAnsi="MS PGothic"/>
          <w:sz w:val="18"/>
          <w:szCs w:val="18"/>
          <w:color w:val="53C072"/>
        </w:rPr>
      </w:pPr>
      <w:r>
        <w:rPr>
          <w:rFonts w:ascii="Arial" w:cs="Arial" w:eastAsia="Arial" w:hAnsi="Arial"/>
          <w:sz w:val="18"/>
          <w:szCs w:val="18"/>
          <w:color w:val="auto"/>
        </w:rPr>
        <w:t>The Committee oversees performance evaluations and reviews and approves compensation for all executive officers except the CEO</w:t>
      </w:r>
    </w:p>
    <w:p>
      <w:pPr>
        <w:spacing w:after="0" w:line="44" w:lineRule="exact"/>
        <w:rPr>
          <w:rFonts w:ascii="MS PGothic" w:cs="MS PGothic" w:eastAsia="MS PGothic" w:hAnsi="MS PGothic"/>
          <w:sz w:val="18"/>
          <w:szCs w:val="18"/>
          <w:color w:val="53C072"/>
        </w:rPr>
      </w:pPr>
    </w:p>
    <w:p>
      <w:pPr>
        <w:ind w:left="1720" w:right="399" w:hanging="370"/>
        <w:spacing w:after="0" w:line="287" w:lineRule="auto"/>
        <w:tabs>
          <w:tab w:leader="none" w:pos="1720" w:val="left"/>
        </w:tabs>
        <w:numPr>
          <w:ilvl w:val="0"/>
          <w:numId w:val="36"/>
        </w:numPr>
        <w:rPr>
          <w:rFonts w:ascii="MS PGothic" w:cs="MS PGothic" w:eastAsia="MS PGothic" w:hAnsi="MS PGothic"/>
          <w:sz w:val="18"/>
          <w:szCs w:val="18"/>
          <w:color w:val="53C072"/>
        </w:rPr>
      </w:pPr>
      <w:r>
        <w:rPr>
          <w:rFonts w:ascii="Arial" w:cs="Arial" w:eastAsia="Arial" w:hAnsi="Arial"/>
          <w:sz w:val="18"/>
          <w:szCs w:val="18"/>
          <w:color w:val="auto"/>
        </w:rPr>
        <w:t>The Committee reviews and evaluates the CEO’s performance and makes recommendations to the Independent Directors regarding the CEO’s compensation</w:t>
      </w:r>
    </w:p>
    <w:p>
      <w:pPr>
        <w:spacing w:after="0" w:line="44" w:lineRule="exact"/>
        <w:rPr>
          <w:rFonts w:ascii="MS PGothic" w:cs="MS PGothic" w:eastAsia="MS PGothic" w:hAnsi="MS PGothic"/>
          <w:sz w:val="18"/>
          <w:szCs w:val="18"/>
          <w:color w:val="53C072"/>
        </w:rPr>
      </w:pPr>
    </w:p>
    <w:p>
      <w:pPr>
        <w:ind w:left="1720" w:right="1099" w:hanging="370"/>
        <w:spacing w:after="0" w:line="287" w:lineRule="auto"/>
        <w:tabs>
          <w:tab w:leader="none" w:pos="1720" w:val="left"/>
        </w:tabs>
        <w:numPr>
          <w:ilvl w:val="0"/>
          <w:numId w:val="36"/>
        </w:numPr>
        <w:rPr>
          <w:rFonts w:ascii="MS PGothic" w:cs="MS PGothic" w:eastAsia="MS PGothic" w:hAnsi="MS PGothic"/>
          <w:sz w:val="18"/>
          <w:szCs w:val="18"/>
          <w:color w:val="53C072"/>
        </w:rPr>
      </w:pPr>
      <w:r>
        <w:rPr>
          <w:rFonts w:ascii="Arial" w:cs="Arial" w:eastAsia="Arial" w:hAnsi="Arial"/>
          <w:sz w:val="18"/>
          <w:szCs w:val="18"/>
          <w:color w:val="auto"/>
        </w:rPr>
        <w:t>The Committee recommends the CEO’s target opportunity and actual compensation to the Independent Directors of the Board for their consideration and approval</w:t>
      </w:r>
    </w:p>
    <w:p>
      <w:pPr>
        <w:spacing w:after="0" w:line="44" w:lineRule="exact"/>
        <w:rPr>
          <w:rFonts w:ascii="MS PGothic" w:cs="MS PGothic" w:eastAsia="MS PGothic" w:hAnsi="MS PGothic"/>
          <w:sz w:val="18"/>
          <w:szCs w:val="18"/>
          <w:color w:val="53C072"/>
        </w:rPr>
      </w:pPr>
    </w:p>
    <w:p>
      <w:pPr>
        <w:ind w:left="1720" w:right="299" w:hanging="370"/>
        <w:spacing w:after="0" w:line="281" w:lineRule="auto"/>
        <w:tabs>
          <w:tab w:leader="none" w:pos="1720" w:val="left"/>
        </w:tabs>
        <w:numPr>
          <w:ilvl w:val="0"/>
          <w:numId w:val="36"/>
        </w:numPr>
        <w:rPr>
          <w:rFonts w:ascii="MS PGothic" w:cs="MS PGothic" w:eastAsia="MS PGothic" w:hAnsi="MS PGothic"/>
          <w:sz w:val="18"/>
          <w:szCs w:val="18"/>
          <w:color w:val="53C072"/>
        </w:rPr>
      </w:pPr>
      <w:r>
        <w:rPr>
          <w:rFonts w:ascii="Arial" w:cs="Arial" w:eastAsia="Arial" w:hAnsi="Arial"/>
          <w:sz w:val="18"/>
          <w:szCs w:val="18"/>
          <w:color w:val="auto"/>
        </w:rPr>
        <w:t>The Committee reviews the compensation arrangements for executive officers to ensure that they do not encourage excessive risk-taking</w:t>
      </w:r>
    </w:p>
    <w:p>
      <w:pPr>
        <w:spacing w:after="0" w:line="41" w:lineRule="exact"/>
        <w:rPr>
          <w:rFonts w:ascii="MS PGothic" w:cs="MS PGothic" w:eastAsia="MS PGothic" w:hAnsi="MS PGothic"/>
          <w:sz w:val="18"/>
          <w:szCs w:val="18"/>
          <w:color w:val="53C072"/>
        </w:rPr>
      </w:pPr>
    </w:p>
    <w:p>
      <w:pPr>
        <w:ind w:left="1720" w:hanging="370"/>
        <w:spacing w:after="0"/>
        <w:tabs>
          <w:tab w:leader="none" w:pos="1720" w:val="left"/>
        </w:tabs>
        <w:numPr>
          <w:ilvl w:val="0"/>
          <w:numId w:val="36"/>
        </w:numPr>
        <w:rPr>
          <w:rFonts w:ascii="MS PGothic" w:cs="MS PGothic" w:eastAsia="MS PGothic" w:hAnsi="MS PGothic"/>
          <w:sz w:val="18"/>
          <w:szCs w:val="18"/>
          <w:color w:val="53C072"/>
        </w:rPr>
      </w:pPr>
      <w:r>
        <w:rPr>
          <w:rFonts w:ascii="Arial" w:cs="Arial" w:eastAsia="Arial" w:hAnsi="Arial"/>
          <w:sz w:val="18"/>
          <w:szCs w:val="18"/>
          <w:color w:val="auto"/>
        </w:rPr>
        <w:t>The Independent Directors of the Board approve the compensation of the CEO</w:t>
      </w:r>
    </w:p>
    <w:p>
      <w:pPr>
        <w:spacing w:after="0" w:line="117" w:lineRule="exact"/>
        <w:rPr>
          <w:sz w:val="20"/>
          <w:szCs w:val="20"/>
          <w:color w:val="auto"/>
        </w:rPr>
      </w:pPr>
    </w:p>
    <w:p>
      <w:pPr>
        <w:ind w:left="1000" w:right="199"/>
        <w:spacing w:after="0" w:line="248" w:lineRule="auto"/>
        <w:rPr>
          <w:sz w:val="20"/>
          <w:szCs w:val="20"/>
          <w:color w:val="auto"/>
        </w:rPr>
      </w:pPr>
      <w:r>
        <w:rPr>
          <w:rFonts w:ascii="Arial" w:cs="Arial" w:eastAsia="Arial" w:hAnsi="Arial"/>
          <w:sz w:val="18"/>
          <w:szCs w:val="18"/>
          <w:color w:val="auto"/>
        </w:rPr>
        <w:t>The Board uses a decision-making framework regarding CEO compensation. As part of this framework, the Board Chair leads the Board in conducting an annual evaluation of CEO performance relative to the performance goals and objectives previously established for the Company and the CEO for the fiscal year recently ended. The CEO’s performance objectives include goals relating to enterprise performance, market share improvement, growth in high service and new market segments, and creating a high-performance culture with a focus on people, talent, and inclusion.</w:t>
      </w:r>
    </w:p>
    <w:p>
      <w:pPr>
        <w:spacing w:after="0" w:line="67" w:lineRule="exact"/>
        <w:rPr>
          <w:sz w:val="20"/>
          <w:szCs w:val="20"/>
          <w:color w:val="auto"/>
        </w:rPr>
      </w:pPr>
    </w:p>
    <w:p>
      <w:pPr>
        <w:ind w:left="1000" w:right="179"/>
        <w:spacing w:after="0" w:line="246" w:lineRule="auto"/>
        <w:rPr>
          <w:sz w:val="20"/>
          <w:szCs w:val="20"/>
          <w:color w:val="auto"/>
        </w:rPr>
      </w:pPr>
      <w:r>
        <w:rPr>
          <w:rFonts w:ascii="Arial" w:cs="Arial" w:eastAsia="Arial" w:hAnsi="Arial"/>
          <w:sz w:val="18"/>
          <w:szCs w:val="18"/>
          <w:color w:val="auto"/>
        </w:rPr>
        <w:t>When setting compensation for all executive officers, the Committee determines or recommends, as applicable, target compensation and performance goals by: (1) evaluating factors such as value of the job in the market and within the Company, the executive officer’s past performance, overall experience and time in the position, and expected future contributions; and (2) reviewing compensation summaries that tally the dollar value of the base salary, target annual cash incentive, target long-term incentives, and target total direct compensation. These summaries include benchmarking data comparing each of those elements to those of the peer group, which is further described below. For executive officers other than the CEO, the Committee also considers the CEO’s recommendations on compensation for the other executive officers.</w:t>
      </w:r>
    </w:p>
    <w:p>
      <w:pPr>
        <w:spacing w:after="0" w:line="112" w:lineRule="exact"/>
        <w:rPr>
          <w:sz w:val="20"/>
          <w:szCs w:val="20"/>
          <w:color w:val="auto"/>
        </w:rPr>
      </w:pPr>
    </w:p>
    <w:p>
      <w:pPr>
        <w:ind w:left="1000" w:right="399"/>
        <w:spacing w:after="0" w:line="271" w:lineRule="auto"/>
        <w:rPr>
          <w:sz w:val="20"/>
          <w:szCs w:val="20"/>
          <w:color w:val="auto"/>
        </w:rPr>
      </w:pPr>
      <w:r>
        <w:rPr>
          <w:rFonts w:ascii="Arial" w:cs="Arial" w:eastAsia="Arial" w:hAnsi="Arial"/>
          <w:sz w:val="18"/>
          <w:szCs w:val="18"/>
          <w:color w:val="auto"/>
        </w:rPr>
        <w:t>After the end of the fiscal year, the Committee reviews the prior year’s performance by each executive officer and either approves or recommends, as applicable, incentive plan payouts for all executive officers.</w:t>
      </w:r>
    </w:p>
    <w:p>
      <w:pPr>
        <w:spacing w:after="0" w:line="81"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Role of Management</w:t>
      </w:r>
    </w:p>
    <w:p>
      <w:pPr>
        <w:spacing w:after="0" w:line="15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 aid in determining the compensation for the Company’s executive officers other than the CEO:</w:t>
      </w:r>
    </w:p>
    <w:p>
      <w:pPr>
        <w:spacing w:after="0" w:line="117" w:lineRule="exact"/>
        <w:rPr>
          <w:sz w:val="20"/>
          <w:szCs w:val="20"/>
          <w:color w:val="auto"/>
        </w:rPr>
      </w:pPr>
    </w:p>
    <w:p>
      <w:pPr>
        <w:ind w:left="1720" w:hanging="370"/>
        <w:spacing w:after="0"/>
        <w:tabs>
          <w:tab w:leader="none" w:pos="1720" w:val="left"/>
        </w:tabs>
        <w:numPr>
          <w:ilvl w:val="0"/>
          <w:numId w:val="37"/>
        </w:numPr>
        <w:rPr>
          <w:rFonts w:ascii="MS PGothic" w:cs="MS PGothic" w:eastAsia="MS PGothic" w:hAnsi="MS PGothic"/>
          <w:sz w:val="18"/>
          <w:szCs w:val="18"/>
          <w:color w:val="53C072"/>
        </w:rPr>
      </w:pPr>
      <w:r>
        <w:rPr>
          <w:rFonts w:ascii="Arial" w:cs="Arial" w:eastAsia="Arial" w:hAnsi="Arial"/>
          <w:sz w:val="18"/>
          <w:szCs w:val="18"/>
          <w:color w:val="auto"/>
        </w:rPr>
        <w:t>The CEO discusses the performance of each executive officer with the Committee</w:t>
      </w:r>
    </w:p>
    <w:p>
      <w:pPr>
        <w:spacing w:after="0" w:line="117" w:lineRule="exact"/>
        <w:rPr>
          <w:rFonts w:ascii="MS PGothic" w:cs="MS PGothic" w:eastAsia="MS PGothic" w:hAnsi="MS PGothic"/>
          <w:sz w:val="18"/>
          <w:szCs w:val="18"/>
          <w:color w:val="53C072"/>
        </w:rPr>
      </w:pPr>
    </w:p>
    <w:p>
      <w:pPr>
        <w:ind w:left="1720" w:right="419" w:hanging="370"/>
        <w:spacing w:after="0" w:line="287" w:lineRule="auto"/>
        <w:tabs>
          <w:tab w:leader="none" w:pos="1720" w:val="left"/>
        </w:tabs>
        <w:numPr>
          <w:ilvl w:val="0"/>
          <w:numId w:val="37"/>
        </w:numPr>
        <w:rPr>
          <w:rFonts w:ascii="MS PGothic" w:cs="MS PGothic" w:eastAsia="MS PGothic" w:hAnsi="MS PGothic"/>
          <w:sz w:val="18"/>
          <w:szCs w:val="18"/>
          <w:color w:val="53C072"/>
        </w:rPr>
      </w:pPr>
      <w:r>
        <w:rPr>
          <w:rFonts w:ascii="Arial" w:cs="Arial" w:eastAsia="Arial" w:hAnsi="Arial"/>
          <w:sz w:val="18"/>
          <w:szCs w:val="18"/>
          <w:color w:val="auto"/>
        </w:rPr>
        <w:t>The CEO provides recommendations on the compensation levels for each executive officer (except the CEO) to the Committee</w:t>
      </w:r>
    </w:p>
    <w:p>
      <w:pPr>
        <w:spacing w:after="0" w:line="44" w:lineRule="exact"/>
        <w:rPr>
          <w:rFonts w:ascii="MS PGothic" w:cs="MS PGothic" w:eastAsia="MS PGothic" w:hAnsi="MS PGothic"/>
          <w:sz w:val="18"/>
          <w:szCs w:val="18"/>
          <w:color w:val="53C072"/>
        </w:rPr>
      </w:pPr>
    </w:p>
    <w:p>
      <w:pPr>
        <w:ind w:left="1720" w:hanging="370"/>
        <w:spacing w:after="0"/>
        <w:tabs>
          <w:tab w:leader="none" w:pos="1720" w:val="left"/>
        </w:tabs>
        <w:numPr>
          <w:ilvl w:val="0"/>
          <w:numId w:val="37"/>
        </w:numPr>
        <w:rPr>
          <w:rFonts w:ascii="MS PGothic" w:cs="MS PGothic" w:eastAsia="MS PGothic" w:hAnsi="MS PGothic"/>
          <w:sz w:val="18"/>
          <w:szCs w:val="18"/>
          <w:color w:val="53C072"/>
        </w:rPr>
      </w:pPr>
      <w:r>
        <w:rPr>
          <w:rFonts w:ascii="Arial" w:cs="Arial" w:eastAsia="Arial" w:hAnsi="Arial"/>
          <w:sz w:val="18"/>
          <w:szCs w:val="18"/>
          <w:color w:val="auto"/>
        </w:rPr>
        <w:t>When making compensation recommendations, the CEO considers various items including:</w:t>
      </w:r>
    </w:p>
    <w:p>
      <w:pPr>
        <w:spacing w:after="0" w:line="144" w:lineRule="exact"/>
        <w:rPr>
          <w:rFonts w:ascii="MS PGothic" w:cs="MS PGothic" w:eastAsia="MS PGothic" w:hAnsi="MS PGothic"/>
          <w:sz w:val="18"/>
          <w:szCs w:val="18"/>
          <w:color w:val="53C072"/>
        </w:rPr>
      </w:pPr>
    </w:p>
    <w:p>
      <w:pPr>
        <w:ind w:left="2080" w:hanging="370"/>
        <w:spacing w:after="0"/>
        <w:tabs>
          <w:tab w:leader="none" w:pos="2080" w:val="left"/>
        </w:tabs>
        <w:numPr>
          <w:ilvl w:val="1"/>
          <w:numId w:val="37"/>
        </w:numPr>
        <w:rPr>
          <w:rFonts w:ascii="MS PGothic" w:cs="MS PGothic" w:eastAsia="MS PGothic" w:hAnsi="MS PGothic"/>
          <w:sz w:val="18"/>
          <w:szCs w:val="18"/>
          <w:color w:val="53C072"/>
        </w:rPr>
      </w:pPr>
      <w:r>
        <w:rPr>
          <w:rFonts w:ascii="Arial" w:cs="Arial" w:eastAsia="Arial" w:hAnsi="Arial"/>
          <w:sz w:val="18"/>
          <w:szCs w:val="18"/>
          <w:color w:val="auto"/>
        </w:rPr>
        <w:t>value of the job in the market and within the Company</w:t>
      </w:r>
    </w:p>
    <w:p>
      <w:pPr>
        <w:spacing w:after="0" w:line="157" w:lineRule="exact"/>
        <w:rPr>
          <w:rFonts w:ascii="MS PGothic" w:cs="MS PGothic" w:eastAsia="MS PGothic" w:hAnsi="MS PGothic"/>
          <w:sz w:val="18"/>
          <w:szCs w:val="18"/>
          <w:color w:val="53C072"/>
        </w:rPr>
      </w:pPr>
    </w:p>
    <w:p>
      <w:pPr>
        <w:ind w:left="2080" w:hanging="370"/>
        <w:spacing w:after="0"/>
        <w:tabs>
          <w:tab w:leader="none" w:pos="2080" w:val="left"/>
        </w:tabs>
        <w:numPr>
          <w:ilvl w:val="1"/>
          <w:numId w:val="37"/>
        </w:numPr>
        <w:rPr>
          <w:rFonts w:ascii="MS PGothic" w:cs="MS PGothic" w:eastAsia="MS PGothic" w:hAnsi="MS PGothic"/>
          <w:sz w:val="18"/>
          <w:szCs w:val="18"/>
          <w:color w:val="53C072"/>
        </w:rPr>
      </w:pPr>
      <w:r>
        <w:rPr>
          <w:rFonts w:ascii="Arial" w:cs="Arial" w:eastAsia="Arial" w:hAnsi="Arial"/>
          <w:sz w:val="18"/>
          <w:szCs w:val="18"/>
          <w:color w:val="auto"/>
        </w:rPr>
        <w:t>the executive officer’s performance</w:t>
      </w:r>
    </w:p>
    <w:p>
      <w:pPr>
        <w:spacing w:after="0" w:line="144" w:lineRule="exact"/>
        <w:rPr>
          <w:rFonts w:ascii="MS PGothic" w:cs="MS PGothic" w:eastAsia="MS PGothic" w:hAnsi="MS PGothic"/>
          <w:sz w:val="18"/>
          <w:szCs w:val="18"/>
          <w:color w:val="53C072"/>
        </w:rPr>
      </w:pPr>
    </w:p>
    <w:p>
      <w:pPr>
        <w:ind w:left="2080" w:hanging="370"/>
        <w:spacing w:after="0"/>
        <w:tabs>
          <w:tab w:leader="none" w:pos="2080" w:val="left"/>
        </w:tabs>
        <w:numPr>
          <w:ilvl w:val="1"/>
          <w:numId w:val="37"/>
        </w:numPr>
        <w:rPr>
          <w:rFonts w:ascii="MS PGothic" w:cs="MS PGothic" w:eastAsia="MS PGothic" w:hAnsi="MS PGothic"/>
          <w:sz w:val="18"/>
          <w:szCs w:val="18"/>
          <w:color w:val="53C072"/>
        </w:rPr>
      </w:pPr>
      <w:r>
        <w:rPr>
          <w:rFonts w:ascii="Arial" w:cs="Arial" w:eastAsia="Arial" w:hAnsi="Arial"/>
          <w:sz w:val="18"/>
          <w:szCs w:val="18"/>
          <w:color w:val="auto"/>
        </w:rPr>
        <w:t>overall experience and time in the position</w:t>
      </w:r>
    </w:p>
    <w:p>
      <w:pPr>
        <w:spacing w:after="0" w:line="157" w:lineRule="exact"/>
        <w:rPr>
          <w:rFonts w:ascii="MS PGothic" w:cs="MS PGothic" w:eastAsia="MS PGothic" w:hAnsi="MS PGothic"/>
          <w:sz w:val="18"/>
          <w:szCs w:val="18"/>
          <w:color w:val="53C072"/>
        </w:rPr>
      </w:pPr>
    </w:p>
    <w:p>
      <w:pPr>
        <w:ind w:left="2080" w:hanging="370"/>
        <w:spacing w:after="0"/>
        <w:tabs>
          <w:tab w:leader="none" w:pos="2080" w:val="left"/>
        </w:tabs>
        <w:numPr>
          <w:ilvl w:val="1"/>
          <w:numId w:val="37"/>
        </w:numPr>
        <w:rPr>
          <w:rFonts w:ascii="MS PGothic" w:cs="MS PGothic" w:eastAsia="MS PGothic" w:hAnsi="MS PGothic"/>
          <w:sz w:val="18"/>
          <w:szCs w:val="18"/>
          <w:color w:val="53C072"/>
        </w:rPr>
      </w:pPr>
      <w:r>
        <w:rPr>
          <w:rFonts w:ascii="Arial" w:cs="Arial" w:eastAsia="Arial" w:hAnsi="Arial"/>
          <w:sz w:val="18"/>
          <w:szCs w:val="18"/>
          <w:color w:val="auto"/>
        </w:rPr>
        <w:t>expected future contributions</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42     </w:t>
      </w:r>
      <w:r>
        <w:rPr>
          <w:sz w:val="1"/>
          <w:szCs w:val="1"/>
          <w:color w:val="auto"/>
        </w:rPr>
        <w:drawing>
          <wp:inline distT="0" distB="0" distL="0" distR="0">
            <wp:extent cx="1242695" cy="24003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43" w:lineRule="exact"/>
        <w:rPr>
          <w:sz w:val="20"/>
          <w:szCs w:val="20"/>
          <w:color w:val="auto"/>
        </w:rPr>
      </w:pPr>
    </w:p>
    <w:p>
      <w:pPr>
        <w:jc w:val="right"/>
        <w:ind w:right="139"/>
        <w:spacing w:after="0"/>
        <w:tabs>
          <w:tab w:leader="none" w:pos="2460" w:val="left"/>
        </w:tabs>
        <w:rPr>
          <w:sz w:val="20"/>
          <w:szCs w:val="20"/>
          <w:color w:val="auto"/>
        </w:rPr>
      </w:pPr>
      <w:r>
        <w:rPr>
          <w:rFonts w:ascii="Arial" w:cs="Arial" w:eastAsia="Arial" w:hAnsi="Arial"/>
          <w:sz w:val="28"/>
          <w:szCs w:val="28"/>
          <w:b w:val="1"/>
          <w:bCs w:val="1"/>
          <w:color w:val="53C072"/>
          <w:vertAlign w:val="superscript"/>
        </w:rPr>
        <w:t>2025 ANNUAL</w:t>
      </w:r>
      <w:r>
        <w:rPr>
          <w:rFonts w:ascii="Arial" w:cs="Arial" w:eastAsia="Arial" w:hAnsi="Arial"/>
          <w:sz w:val="28"/>
          <w:szCs w:val="28"/>
          <w:b w:val="1"/>
          <w:bCs w:val="1"/>
          <w:color w:val="auto"/>
          <w:vertAlign w:val="superscript"/>
        </w:rPr>
        <w:t xml:space="preserve"> </w:t>
      </w:r>
      <w:r>
        <w:rPr>
          <w:sz w:val="20"/>
          <w:szCs w:val="20"/>
          <w:color w:val="auto"/>
        </w:rPr>
        <w:tab/>
      </w:r>
      <w:r>
        <w:rPr>
          <w:rFonts w:ascii="Arial" w:cs="Arial" w:eastAsia="Arial" w:hAnsi="Arial"/>
          <w:sz w:val="14"/>
          <w:szCs w:val="14"/>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6"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Role of the Independent Compensation Consultant</w:t>
      </w:r>
    </w:p>
    <w:p>
      <w:pPr>
        <w:spacing w:after="0" w:line="153" w:lineRule="exact"/>
        <w:rPr>
          <w:sz w:val="20"/>
          <w:szCs w:val="20"/>
          <w:color w:val="auto"/>
        </w:rPr>
      </w:pPr>
    </w:p>
    <w:p>
      <w:pPr>
        <w:ind w:left="1720" w:right="799" w:hanging="370"/>
        <w:spacing w:after="0" w:line="281" w:lineRule="auto"/>
        <w:tabs>
          <w:tab w:leader="none" w:pos="1720" w:val="left"/>
        </w:tabs>
        <w:numPr>
          <w:ilvl w:val="0"/>
          <w:numId w:val="38"/>
        </w:numPr>
        <w:rPr>
          <w:rFonts w:ascii="MS PGothic" w:cs="MS PGothic" w:eastAsia="MS PGothic" w:hAnsi="MS PGothic"/>
          <w:sz w:val="18"/>
          <w:szCs w:val="18"/>
          <w:color w:val="53C072"/>
        </w:rPr>
      </w:pPr>
      <w:r>
        <w:rPr>
          <w:rFonts w:ascii="Arial" w:cs="Arial" w:eastAsia="Arial" w:hAnsi="Arial"/>
          <w:sz w:val="18"/>
          <w:szCs w:val="18"/>
          <w:color w:val="auto"/>
        </w:rPr>
        <w:t>Provides independent and objective advice to the Committee on the Company’s executive pay programs</w:t>
      </w:r>
    </w:p>
    <w:p>
      <w:pPr>
        <w:spacing w:after="0" w:line="41" w:lineRule="exact"/>
        <w:rPr>
          <w:rFonts w:ascii="MS PGothic" w:cs="MS PGothic" w:eastAsia="MS PGothic" w:hAnsi="MS PGothic"/>
          <w:sz w:val="18"/>
          <w:szCs w:val="18"/>
          <w:color w:val="53C072"/>
        </w:rPr>
      </w:pPr>
    </w:p>
    <w:p>
      <w:pPr>
        <w:ind w:left="1720" w:hanging="370"/>
        <w:spacing w:after="0"/>
        <w:tabs>
          <w:tab w:leader="none" w:pos="1720" w:val="left"/>
        </w:tabs>
        <w:numPr>
          <w:ilvl w:val="0"/>
          <w:numId w:val="38"/>
        </w:numPr>
        <w:rPr>
          <w:rFonts w:ascii="MS PGothic" w:cs="MS PGothic" w:eastAsia="MS PGothic" w:hAnsi="MS PGothic"/>
          <w:sz w:val="18"/>
          <w:szCs w:val="18"/>
          <w:color w:val="53C072"/>
        </w:rPr>
      </w:pPr>
      <w:r>
        <w:rPr>
          <w:rFonts w:ascii="Arial" w:cs="Arial" w:eastAsia="Arial" w:hAnsi="Arial"/>
          <w:sz w:val="18"/>
          <w:szCs w:val="18"/>
          <w:color w:val="auto"/>
        </w:rPr>
        <w:t>Apprises the Committee of compensation-related trends in the marketplace</w:t>
      </w:r>
    </w:p>
    <w:p>
      <w:pPr>
        <w:spacing w:after="0" w:line="117" w:lineRule="exact"/>
        <w:rPr>
          <w:rFonts w:ascii="MS PGothic" w:cs="MS PGothic" w:eastAsia="MS PGothic" w:hAnsi="MS PGothic"/>
          <w:sz w:val="18"/>
          <w:szCs w:val="18"/>
          <w:color w:val="53C072"/>
        </w:rPr>
      </w:pPr>
    </w:p>
    <w:p>
      <w:pPr>
        <w:ind w:left="1720" w:hanging="370"/>
        <w:spacing w:after="0"/>
        <w:tabs>
          <w:tab w:leader="none" w:pos="1720" w:val="left"/>
        </w:tabs>
        <w:numPr>
          <w:ilvl w:val="0"/>
          <w:numId w:val="38"/>
        </w:numPr>
        <w:rPr>
          <w:rFonts w:ascii="MS PGothic" w:cs="MS PGothic" w:eastAsia="MS PGothic" w:hAnsi="MS PGothic"/>
          <w:sz w:val="18"/>
          <w:szCs w:val="18"/>
          <w:color w:val="53C072"/>
        </w:rPr>
      </w:pPr>
      <w:r>
        <w:rPr>
          <w:rFonts w:ascii="Arial" w:cs="Arial" w:eastAsia="Arial" w:hAnsi="Arial"/>
          <w:sz w:val="18"/>
          <w:szCs w:val="18"/>
          <w:color w:val="auto"/>
        </w:rPr>
        <w:t>Informs the Committee on compensation-related regulatory developments</w:t>
      </w:r>
    </w:p>
    <w:p>
      <w:pPr>
        <w:spacing w:after="0" w:line="103" w:lineRule="exact"/>
        <w:rPr>
          <w:rFonts w:ascii="MS PGothic" w:cs="MS PGothic" w:eastAsia="MS PGothic" w:hAnsi="MS PGothic"/>
          <w:sz w:val="18"/>
          <w:szCs w:val="18"/>
          <w:color w:val="53C072"/>
        </w:rPr>
      </w:pPr>
    </w:p>
    <w:p>
      <w:pPr>
        <w:ind w:left="1720" w:right="719" w:hanging="370"/>
        <w:spacing w:after="0" w:line="287" w:lineRule="auto"/>
        <w:tabs>
          <w:tab w:leader="none" w:pos="1720" w:val="left"/>
        </w:tabs>
        <w:numPr>
          <w:ilvl w:val="0"/>
          <w:numId w:val="38"/>
        </w:numPr>
        <w:rPr>
          <w:rFonts w:ascii="MS PGothic" w:cs="MS PGothic" w:eastAsia="MS PGothic" w:hAnsi="MS PGothic"/>
          <w:sz w:val="18"/>
          <w:szCs w:val="18"/>
          <w:color w:val="53C072"/>
        </w:rPr>
      </w:pPr>
      <w:r>
        <w:rPr>
          <w:rFonts w:ascii="Arial" w:cs="Arial" w:eastAsia="Arial" w:hAnsi="Arial"/>
          <w:sz w:val="18"/>
          <w:szCs w:val="18"/>
          <w:color w:val="auto"/>
        </w:rPr>
        <w:t>Assists with benchmarking peer group development and related market data for the Company’s officers</w:t>
      </w:r>
    </w:p>
    <w:p>
      <w:pPr>
        <w:spacing w:after="0" w:line="44" w:lineRule="exact"/>
        <w:rPr>
          <w:rFonts w:ascii="MS PGothic" w:cs="MS PGothic" w:eastAsia="MS PGothic" w:hAnsi="MS PGothic"/>
          <w:sz w:val="18"/>
          <w:szCs w:val="18"/>
          <w:color w:val="53C072"/>
        </w:rPr>
      </w:pPr>
    </w:p>
    <w:p>
      <w:pPr>
        <w:ind w:left="1720" w:hanging="370"/>
        <w:spacing w:after="0"/>
        <w:tabs>
          <w:tab w:leader="none" w:pos="1720" w:val="left"/>
        </w:tabs>
        <w:numPr>
          <w:ilvl w:val="0"/>
          <w:numId w:val="38"/>
        </w:numPr>
        <w:rPr>
          <w:rFonts w:ascii="MS PGothic" w:cs="MS PGothic" w:eastAsia="MS PGothic" w:hAnsi="MS PGothic"/>
          <w:sz w:val="18"/>
          <w:szCs w:val="18"/>
          <w:color w:val="53C072"/>
        </w:rPr>
      </w:pPr>
      <w:r>
        <w:rPr>
          <w:rFonts w:ascii="Arial" w:cs="Arial" w:eastAsia="Arial" w:hAnsi="Arial"/>
          <w:sz w:val="18"/>
          <w:szCs w:val="18"/>
          <w:color w:val="auto"/>
        </w:rPr>
        <w:t>Advises on the design of the Company’s incentive compensation programs</w:t>
      </w:r>
    </w:p>
    <w:p>
      <w:pPr>
        <w:spacing w:after="0" w:line="117" w:lineRule="exact"/>
        <w:rPr>
          <w:rFonts w:ascii="MS PGothic" w:cs="MS PGothic" w:eastAsia="MS PGothic" w:hAnsi="MS PGothic"/>
          <w:sz w:val="18"/>
          <w:szCs w:val="18"/>
          <w:color w:val="53C072"/>
        </w:rPr>
      </w:pPr>
    </w:p>
    <w:p>
      <w:pPr>
        <w:ind w:left="1720" w:hanging="370"/>
        <w:spacing w:after="0"/>
        <w:tabs>
          <w:tab w:leader="none" w:pos="1720" w:val="left"/>
        </w:tabs>
        <w:numPr>
          <w:ilvl w:val="0"/>
          <w:numId w:val="38"/>
        </w:numPr>
        <w:rPr>
          <w:rFonts w:ascii="MS PGothic" w:cs="MS PGothic" w:eastAsia="MS PGothic" w:hAnsi="MS PGothic"/>
          <w:sz w:val="18"/>
          <w:szCs w:val="18"/>
          <w:color w:val="53C072"/>
        </w:rPr>
      </w:pPr>
      <w:r>
        <w:rPr>
          <w:rFonts w:ascii="Arial" w:cs="Arial" w:eastAsia="Arial" w:hAnsi="Arial"/>
          <w:sz w:val="18"/>
          <w:szCs w:val="18"/>
          <w:color w:val="auto"/>
        </w:rPr>
        <w:t>Provides such additional reports and analyses as requested by the Committee from time-to-time</w:t>
      </w:r>
    </w:p>
    <w:p>
      <w:pPr>
        <w:spacing w:after="0" w:line="144" w:lineRule="exact"/>
        <w:rPr>
          <w:sz w:val="20"/>
          <w:szCs w:val="20"/>
          <w:color w:val="auto"/>
        </w:rPr>
      </w:pPr>
    </w:p>
    <w:p>
      <w:pPr>
        <w:ind w:left="1000" w:right="239"/>
        <w:spacing w:after="0" w:line="252" w:lineRule="auto"/>
        <w:rPr>
          <w:sz w:val="20"/>
          <w:szCs w:val="20"/>
          <w:color w:val="auto"/>
        </w:rPr>
      </w:pPr>
      <w:r>
        <w:rPr>
          <w:rFonts w:ascii="Arial" w:cs="Arial" w:eastAsia="Arial" w:hAnsi="Arial"/>
          <w:sz w:val="18"/>
          <w:szCs w:val="18"/>
          <w:color w:val="auto"/>
        </w:rPr>
        <w:t>The Committee has retained Meridian Compensation Partners, LLC (“Meridian”) to serve as the independent compensation consultant. The terms of Meridian’s engagement are set forth in an engagement agreement that provides, among other things, that Meridian is engaged by, and reports only to, the Committee and will perform the compensation advisory services requested by the Committee.</w:t>
      </w:r>
    </w:p>
    <w:p>
      <w:pPr>
        <w:spacing w:after="0" w:line="89" w:lineRule="exact"/>
        <w:rPr>
          <w:sz w:val="20"/>
          <w:szCs w:val="20"/>
          <w:color w:val="auto"/>
        </w:rPr>
      </w:pPr>
    </w:p>
    <w:p>
      <w:pPr>
        <w:ind w:left="1000" w:right="239"/>
        <w:spacing w:after="0" w:line="252" w:lineRule="auto"/>
        <w:rPr>
          <w:sz w:val="20"/>
          <w:szCs w:val="20"/>
          <w:color w:val="auto"/>
        </w:rPr>
      </w:pPr>
      <w:r>
        <w:rPr>
          <w:rFonts w:ascii="Arial" w:cs="Arial" w:eastAsia="Arial" w:hAnsi="Arial"/>
          <w:sz w:val="18"/>
          <w:szCs w:val="18"/>
          <w:color w:val="auto"/>
        </w:rPr>
        <w:t>Meridian did not provide any separate services to the Company during fiscal 2025 other than its services to the Committee. The Committee conducted its annual assessment of Meridian’s independence pursuant to applicable SEC and Nasdaq rules and concluded that Meridian’s work for the Committee during fiscal 2025 did not raise any conflicts of interest.</w:t>
      </w:r>
    </w:p>
    <w:p>
      <w:pPr>
        <w:spacing w:after="0" w:line="98"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Benchmarking</w:t>
      </w:r>
    </w:p>
    <w:p>
      <w:pPr>
        <w:spacing w:after="0" w:line="153" w:lineRule="exact"/>
        <w:rPr>
          <w:sz w:val="20"/>
          <w:szCs w:val="20"/>
          <w:color w:val="auto"/>
        </w:rPr>
      </w:pPr>
    </w:p>
    <w:p>
      <w:pPr>
        <w:jc w:val="both"/>
        <w:ind w:left="1000" w:right="159"/>
        <w:spacing w:after="0" w:line="261" w:lineRule="auto"/>
        <w:rPr>
          <w:sz w:val="20"/>
          <w:szCs w:val="20"/>
          <w:color w:val="auto"/>
        </w:rPr>
      </w:pPr>
      <w:r>
        <w:rPr>
          <w:rFonts w:ascii="Arial" w:cs="Arial" w:eastAsia="Arial" w:hAnsi="Arial"/>
          <w:sz w:val="17"/>
          <w:szCs w:val="17"/>
          <w:color w:val="auto"/>
        </w:rPr>
        <w:t>To ensure the Committee has the information necessary to set appropriate compensation levels, the Committee approves the overall approach for executive officer benchmarking, including selection of the benchmarking peer group. For fiscal 2025, the Committee changed the peer group by replacing Seagate Technology Holdings plc</w:t>
      </w:r>
    </w:p>
    <w:p>
      <w:pPr>
        <w:sectPr>
          <w:pgSz w:w="11900" w:h="16838" w:orient="portrait"/>
          <w:cols w:equalWidth="0" w:num="1">
            <w:col w:w="9879"/>
          </w:cols>
          <w:pgMar w:left="580" w:top="97" w:right="1440" w:bottom="1440" w:gutter="0" w:footer="0" w:header="0"/>
        </w:sectPr>
      </w:pP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with Hewlett Packard Enterprises.</w:t>
      </w:r>
    </w:p>
    <w:p>
      <w:pPr>
        <w:spacing w:after="0" w:line="120" w:lineRule="exact"/>
        <w:rPr>
          <w:sz w:val="20"/>
          <w:szCs w:val="20"/>
          <w:color w:val="auto"/>
        </w:rPr>
      </w:pPr>
    </w:p>
    <w:p>
      <w:pPr>
        <w:ind w:left="1160" w:hanging="148"/>
        <w:spacing w:after="0"/>
        <w:tabs>
          <w:tab w:leader="none" w:pos="1160" w:val="left"/>
        </w:tabs>
        <w:numPr>
          <w:ilvl w:val="0"/>
          <w:numId w:val="39"/>
        </w:numPr>
        <w:rPr>
          <w:rFonts w:ascii="Arial" w:cs="Arial" w:eastAsia="Arial" w:hAnsi="Arial"/>
          <w:sz w:val="29"/>
          <w:szCs w:val="29"/>
          <w:b w:val="1"/>
          <w:bCs w:val="1"/>
          <w:color w:val="FEFEFE"/>
          <w:vertAlign w:val="subscript"/>
        </w:rPr>
      </w:pPr>
      <w:r>
        <w:rPr>
          <w:rFonts w:ascii="Arial" w:cs="Arial" w:eastAsia="Arial" w:hAnsi="Arial"/>
          <w:sz w:val="14"/>
          <w:szCs w:val="14"/>
          <w:b w:val="1"/>
          <w:bCs w:val="1"/>
          <w:color w:val="FEFEFE"/>
        </w:rPr>
        <w:t>FY24 Considerations for Benchmarking Peer Group Development:</w:t>
      </w:r>
    </w:p>
    <w:p>
      <w:pPr>
        <w:spacing w:after="0" w:line="67" w:lineRule="exact"/>
        <w:rPr>
          <w:rFonts w:ascii="Arial" w:cs="Arial" w:eastAsia="Arial" w:hAnsi="Arial"/>
          <w:sz w:val="29"/>
          <w:szCs w:val="29"/>
          <w:b w:val="1"/>
          <w:bCs w:val="1"/>
          <w:color w:val="FEFEFE"/>
          <w:vertAlign w:val="subscript"/>
        </w:rPr>
      </w:pPr>
    </w:p>
    <w:p>
      <w:pPr>
        <w:ind w:left="1160" w:hanging="148"/>
        <w:spacing w:after="0" w:line="259" w:lineRule="exact"/>
        <w:tabs>
          <w:tab w:leader="none" w:pos="1160" w:val="left"/>
        </w:tabs>
        <w:numPr>
          <w:ilvl w:val="0"/>
          <w:numId w:val="39"/>
        </w:numPr>
        <w:rPr>
          <w:rFonts w:ascii="Arial" w:cs="Arial" w:eastAsia="Arial" w:hAnsi="Arial"/>
          <w:sz w:val="30"/>
          <w:szCs w:val="30"/>
          <w:color w:val="auto"/>
          <w:vertAlign w:val="superscript"/>
        </w:rPr>
      </w:pPr>
      <w:r>
        <w:rPr>
          <w:rFonts w:ascii="MS PGothic" w:cs="MS PGothic" w:eastAsia="MS PGothic" w:hAnsi="MS PGothic"/>
          <w:sz w:val="16"/>
          <w:szCs w:val="16"/>
          <w:color w:val="53C072"/>
        </w:rPr>
        <w:t>✓</w:t>
      </w:r>
      <w:r>
        <w:rPr>
          <w:rFonts w:ascii="Arial" w:cs="Arial" w:eastAsia="Arial" w:hAnsi="Arial"/>
          <w:sz w:val="16"/>
          <w:szCs w:val="16"/>
          <w:color w:val="auto"/>
        </w:rPr>
        <w:t xml:space="preserve">  A distribution, product, or related service company</w:t>
      </w:r>
    </w:p>
    <w:p>
      <w:pPr>
        <w:spacing w:after="0" w:line="133" w:lineRule="exact"/>
        <w:rPr>
          <w:rFonts w:ascii="Arial" w:cs="Arial" w:eastAsia="Arial" w:hAnsi="Arial"/>
          <w:sz w:val="30"/>
          <w:szCs w:val="30"/>
          <w:color w:val="auto"/>
          <w:vertAlign w:val="superscript"/>
        </w:rPr>
      </w:pPr>
    </w:p>
    <w:p>
      <w:pPr>
        <w:ind w:left="1520" w:hanging="359"/>
        <w:spacing w:after="0"/>
        <w:tabs>
          <w:tab w:leader="none" w:pos="1520" w:val="left"/>
        </w:tabs>
        <w:numPr>
          <w:ilvl w:val="1"/>
          <w:numId w:val="39"/>
        </w:numPr>
        <w:rPr>
          <w:rFonts w:ascii="MS PGothic" w:cs="MS PGothic" w:eastAsia="MS PGothic" w:hAnsi="MS PGothic"/>
          <w:sz w:val="18"/>
          <w:szCs w:val="18"/>
          <w:color w:val="53C072"/>
        </w:rPr>
      </w:pPr>
      <w:r>
        <w:rPr>
          <w:rFonts w:ascii="Arial" w:cs="Arial" w:eastAsia="Arial" w:hAnsi="Arial"/>
          <w:sz w:val="18"/>
          <w:szCs w:val="18"/>
          <w:color w:val="auto"/>
        </w:rPr>
        <w:t>Revenues within range of Company revenues</w:t>
      </w:r>
    </w:p>
    <w:p>
      <w:pPr>
        <w:spacing w:after="0" w:line="166" w:lineRule="exact"/>
        <w:rPr>
          <w:rFonts w:ascii="MS PGothic" w:cs="MS PGothic" w:eastAsia="MS PGothic" w:hAnsi="MS PGothic"/>
          <w:sz w:val="18"/>
          <w:szCs w:val="18"/>
          <w:color w:val="53C072"/>
        </w:rPr>
      </w:pPr>
    </w:p>
    <w:p>
      <w:pPr>
        <w:ind w:left="1520" w:hanging="359"/>
        <w:spacing w:after="0" w:line="287" w:lineRule="auto"/>
        <w:tabs>
          <w:tab w:leader="none" w:pos="1520" w:val="left"/>
        </w:tabs>
        <w:numPr>
          <w:ilvl w:val="1"/>
          <w:numId w:val="39"/>
        </w:numPr>
        <w:rPr>
          <w:rFonts w:ascii="MS PGothic" w:cs="MS PGothic" w:eastAsia="MS PGothic" w:hAnsi="MS PGothic"/>
          <w:sz w:val="18"/>
          <w:szCs w:val="18"/>
          <w:color w:val="53C072"/>
        </w:rPr>
      </w:pPr>
      <w:r>
        <w:rPr>
          <w:rFonts w:ascii="Arial" w:cs="Arial" w:eastAsia="Arial" w:hAnsi="Arial"/>
          <w:sz w:val="18"/>
          <w:szCs w:val="18"/>
          <w:color w:val="auto"/>
        </w:rPr>
        <w:t>Market capitalization within range of Company market capitalization</w:t>
      </w:r>
    </w:p>
    <w:p>
      <w:pPr>
        <w:spacing w:after="0" w:line="125" w:lineRule="exact"/>
        <w:rPr>
          <w:rFonts w:ascii="MS PGothic" w:cs="MS PGothic" w:eastAsia="MS PGothic" w:hAnsi="MS PGothic"/>
          <w:sz w:val="18"/>
          <w:szCs w:val="18"/>
          <w:color w:val="53C072"/>
        </w:rPr>
      </w:pPr>
    </w:p>
    <w:p>
      <w:pPr>
        <w:ind w:left="1520" w:hanging="359"/>
        <w:spacing w:after="0"/>
        <w:tabs>
          <w:tab w:leader="none" w:pos="1520" w:val="left"/>
        </w:tabs>
        <w:numPr>
          <w:ilvl w:val="1"/>
          <w:numId w:val="39"/>
        </w:numPr>
        <w:rPr>
          <w:rFonts w:ascii="MS PGothic" w:cs="MS PGothic" w:eastAsia="MS PGothic" w:hAnsi="MS PGothic"/>
          <w:sz w:val="18"/>
          <w:szCs w:val="18"/>
          <w:color w:val="53C072"/>
        </w:rPr>
      </w:pPr>
      <w:r>
        <w:rPr>
          <w:rFonts w:ascii="Arial" w:cs="Arial" w:eastAsia="Arial" w:hAnsi="Arial"/>
          <w:sz w:val="18"/>
          <w:szCs w:val="18"/>
          <w:color w:val="auto"/>
        </w:rPr>
        <w:t>Global footprint</w:t>
      </w:r>
    </w:p>
    <w:p>
      <w:pPr>
        <w:spacing w:after="0" w:line="171" w:lineRule="exact"/>
        <w:rPr>
          <w:rFonts w:ascii="MS PGothic" w:cs="MS PGothic" w:eastAsia="MS PGothic" w:hAnsi="MS PGothic"/>
          <w:sz w:val="18"/>
          <w:szCs w:val="18"/>
          <w:color w:val="53C072"/>
        </w:rPr>
      </w:pPr>
    </w:p>
    <w:p>
      <w:pPr>
        <w:ind w:left="1520" w:hanging="359"/>
        <w:spacing w:after="0"/>
        <w:tabs>
          <w:tab w:leader="none" w:pos="1520" w:val="left"/>
        </w:tabs>
        <w:numPr>
          <w:ilvl w:val="1"/>
          <w:numId w:val="39"/>
        </w:numPr>
        <w:rPr>
          <w:rFonts w:ascii="MS PGothic" w:cs="MS PGothic" w:eastAsia="MS PGothic" w:hAnsi="MS PGothic"/>
          <w:sz w:val="18"/>
          <w:szCs w:val="18"/>
          <w:color w:val="53C072"/>
        </w:rPr>
      </w:pPr>
      <w:r>
        <w:rPr>
          <w:rFonts w:ascii="Arial" w:cs="Arial" w:eastAsia="Arial" w:hAnsi="Arial"/>
          <w:sz w:val="18"/>
          <w:szCs w:val="18"/>
          <w:color w:val="auto"/>
        </w:rPr>
        <w:t>Historical Company peer group</w:t>
      </w:r>
    </w:p>
    <w:p>
      <w:pPr>
        <w:spacing w:after="0" w:line="171" w:lineRule="exact"/>
        <w:rPr>
          <w:rFonts w:ascii="MS PGothic" w:cs="MS PGothic" w:eastAsia="MS PGothic" w:hAnsi="MS PGothic"/>
          <w:sz w:val="18"/>
          <w:szCs w:val="18"/>
          <w:color w:val="53C072"/>
        </w:rPr>
      </w:pPr>
    </w:p>
    <w:p>
      <w:pPr>
        <w:ind w:left="1520" w:hanging="359"/>
        <w:spacing w:after="0"/>
        <w:tabs>
          <w:tab w:leader="none" w:pos="1520" w:val="left"/>
        </w:tabs>
        <w:numPr>
          <w:ilvl w:val="1"/>
          <w:numId w:val="39"/>
        </w:numPr>
        <w:rPr>
          <w:rFonts w:ascii="MS PGothic" w:cs="MS PGothic" w:eastAsia="MS PGothic" w:hAnsi="MS PGothic"/>
          <w:sz w:val="18"/>
          <w:szCs w:val="18"/>
          <w:color w:val="53C072"/>
        </w:rPr>
      </w:pPr>
      <w:r>
        <w:rPr>
          <w:rFonts w:ascii="Arial" w:cs="Arial" w:eastAsia="Arial" w:hAnsi="Arial"/>
          <w:sz w:val="18"/>
          <w:szCs w:val="18"/>
          <w:color w:val="auto"/>
        </w:rPr>
        <w:t>Disclosed peer of a peer company</w:t>
      </w:r>
    </w:p>
    <w:p>
      <w:pPr>
        <w:spacing w:after="0" w:line="171" w:lineRule="exact"/>
        <w:rPr>
          <w:rFonts w:ascii="MS PGothic" w:cs="MS PGothic" w:eastAsia="MS PGothic" w:hAnsi="MS PGothic"/>
          <w:sz w:val="18"/>
          <w:szCs w:val="18"/>
          <w:color w:val="53C072"/>
        </w:rPr>
      </w:pPr>
    </w:p>
    <w:p>
      <w:pPr>
        <w:ind w:left="1520" w:hanging="359"/>
        <w:spacing w:after="0"/>
        <w:tabs>
          <w:tab w:leader="none" w:pos="1520" w:val="left"/>
        </w:tabs>
        <w:numPr>
          <w:ilvl w:val="1"/>
          <w:numId w:val="39"/>
        </w:numPr>
        <w:rPr>
          <w:rFonts w:ascii="MS PGothic" w:cs="MS PGothic" w:eastAsia="MS PGothic" w:hAnsi="MS PGothic"/>
          <w:sz w:val="18"/>
          <w:szCs w:val="18"/>
          <w:color w:val="53C072"/>
        </w:rPr>
      </w:pPr>
      <w:r>
        <w:rPr>
          <w:rFonts w:ascii="Arial" w:cs="Arial" w:eastAsia="Arial" w:hAnsi="Arial"/>
          <w:sz w:val="18"/>
          <w:szCs w:val="18"/>
          <w:color w:val="auto"/>
        </w:rPr>
        <w:t>Disclosed Company as a benchmarking peer</w:t>
      </w:r>
    </w:p>
    <w:p>
      <w:pPr>
        <w:spacing w:after="0" w:line="171" w:lineRule="exact"/>
        <w:rPr>
          <w:rFonts w:ascii="MS PGothic" w:cs="MS PGothic" w:eastAsia="MS PGothic" w:hAnsi="MS PGothic"/>
          <w:sz w:val="18"/>
          <w:szCs w:val="18"/>
          <w:color w:val="53C072"/>
        </w:rPr>
      </w:pPr>
    </w:p>
    <w:p>
      <w:pPr>
        <w:ind w:left="1520" w:hanging="359"/>
        <w:spacing w:after="0"/>
        <w:tabs>
          <w:tab w:leader="none" w:pos="1520" w:val="left"/>
        </w:tabs>
        <w:numPr>
          <w:ilvl w:val="1"/>
          <w:numId w:val="39"/>
        </w:numPr>
        <w:rPr>
          <w:rFonts w:ascii="MS PGothic" w:cs="MS PGothic" w:eastAsia="MS PGothic" w:hAnsi="MS PGothic"/>
          <w:sz w:val="18"/>
          <w:szCs w:val="18"/>
          <w:color w:val="53C072"/>
        </w:rPr>
      </w:pPr>
      <w:r>
        <w:rPr>
          <w:rFonts w:ascii="Arial" w:cs="Arial" w:eastAsia="Arial" w:hAnsi="Arial"/>
          <w:sz w:val="18"/>
          <w:szCs w:val="18"/>
          <w:color w:val="auto"/>
        </w:rPr>
        <w:t>In proxy advisors’ peer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-2193290</wp:posOffset>
            </wp:positionV>
            <wp:extent cx="5537835" cy="3488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37835" cy="3488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41"/>
        </w:trPr>
        <w:tc>
          <w:tcPr>
            <w:tcW w:w="120" w:type="dxa"/>
            <w:vAlign w:val="bottom"/>
          </w:tcPr>
          <w:p>
            <w:pPr>
              <w:spacing w:after="0"/>
              <w:rPr>
                <w:sz w:val="20"/>
                <w:szCs w:val="20"/>
                <w:color w:val="auto"/>
              </w:rPr>
            </w:pPr>
            <w:r>
              <w:rPr>
                <w:rFonts w:ascii="Arial" w:cs="Arial" w:eastAsia="Arial" w:hAnsi="Arial"/>
                <w:sz w:val="14"/>
                <w:szCs w:val="14"/>
                <w:b w:val="1"/>
                <w:bCs w:val="1"/>
                <w:color w:val="FEFEFE"/>
              </w:rPr>
              <w:t>​</w:t>
            </w:r>
          </w:p>
        </w:tc>
        <w:tc>
          <w:tcPr>
            <w:tcW w:w="2840" w:type="dxa"/>
            <w:vAlign w:val="bottom"/>
            <w:shd w:val="clear" w:color="auto" w:fill="53C072"/>
          </w:tcPr>
          <w:p>
            <w:pPr>
              <w:spacing w:after="0"/>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4"/>
                <w:szCs w:val="14"/>
                <w:b w:val="1"/>
                <w:bCs w:val="1"/>
                <w:color w:val="FEFEFE"/>
              </w:rPr>
              <w:t xml:space="preserve"> FY25 Benchmarking Peer Group:</w:t>
            </w:r>
          </w:p>
        </w:tc>
        <w:tc>
          <w:tcPr>
            <w:tcW w:w="640" w:type="dxa"/>
            <w:vAlign w:val="bottom"/>
            <w:shd w:val="clear" w:color="auto" w:fill="53C072"/>
          </w:tcPr>
          <w:p>
            <w:pPr>
              <w:ind w:left="500"/>
              <w:spacing w:after="0"/>
              <w:rPr>
                <w:sz w:val="20"/>
                <w:szCs w:val="20"/>
                <w:color w:val="auto"/>
              </w:rPr>
            </w:pPr>
            <w:r>
              <w:rPr>
                <w:rFonts w:ascii="Arial" w:cs="Arial" w:eastAsia="Arial" w:hAnsi="Arial"/>
                <w:sz w:val="14"/>
                <w:szCs w:val="14"/>
                <w:b w:val="1"/>
                <w:bCs w:val="1"/>
                <w:color w:val="FEFEFE"/>
              </w:rPr>
              <w:t>​</w:t>
            </w:r>
          </w:p>
        </w:tc>
      </w:tr>
      <w:tr>
        <w:trPr>
          <w:trHeight w:val="239"/>
        </w:trPr>
        <w:tc>
          <w:tcPr>
            <w:tcW w:w="120" w:type="dxa"/>
            <w:vAlign w:val="bottom"/>
            <w:tcBorders>
              <w:right w:val="single" w:sz="8" w:color="53C072"/>
            </w:tcBorders>
          </w:tcPr>
          <w:p>
            <w:pPr>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20"/>
                <w:szCs w:val="20"/>
                <w:color w:val="auto"/>
              </w:rPr>
            </w:pPr>
            <w:r>
              <w:rPr>
                <w:rFonts w:ascii="Arial" w:cs="Arial" w:eastAsia="Arial" w:hAnsi="Arial"/>
                <w:sz w:val="18"/>
                <w:szCs w:val="18"/>
                <w:color w:val="auto"/>
              </w:rPr>
              <w:t>​ Arrow Electronics, Inc.</w:t>
            </w:r>
          </w:p>
        </w:tc>
        <w:tc>
          <w:tcPr>
            <w:tcW w:w="64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373"/>
        </w:trPr>
        <w:tc>
          <w:tcPr>
            <w:tcW w:w="120" w:type="dxa"/>
            <w:vAlign w:val="bottom"/>
            <w:tcBorders>
              <w:right w:val="single" w:sz="8" w:color="53C072"/>
            </w:tcBorders>
          </w:tcPr>
          <w:p>
            <w:pPr>
              <w:spacing w:after="0"/>
              <w:rPr>
                <w:sz w:val="24"/>
                <w:szCs w:val="24"/>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Celestica Inc.</w:t>
            </w:r>
          </w:p>
        </w:tc>
        <w:tc>
          <w:tcPr>
            <w:tcW w:w="64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CDW Corporation</w:t>
            </w:r>
          </w:p>
        </w:tc>
        <w:tc>
          <w:tcPr>
            <w:tcW w:w="64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Flex Ltd.</w:t>
            </w:r>
          </w:p>
        </w:tc>
        <w:tc>
          <w:tcPr>
            <w:tcW w:w="64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Genuine Parts Company</w:t>
            </w:r>
          </w:p>
        </w:tc>
        <w:tc>
          <w:tcPr>
            <w:tcW w:w="64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Hewlett Packard Enterprises</w:t>
            </w:r>
          </w:p>
        </w:tc>
        <w:tc>
          <w:tcPr>
            <w:tcW w:w="64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Insight Enterprises, Inc.</w:t>
            </w:r>
          </w:p>
        </w:tc>
        <w:tc>
          <w:tcPr>
            <w:tcW w:w="64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Jabil, Inc.</w:t>
            </w:r>
          </w:p>
        </w:tc>
        <w:tc>
          <w:tcPr>
            <w:tcW w:w="64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Sanmina Corporation</w:t>
            </w:r>
          </w:p>
        </w:tc>
        <w:tc>
          <w:tcPr>
            <w:tcW w:w="64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TD SYNNEX Corporation</w:t>
            </w:r>
          </w:p>
        </w:tc>
        <w:tc>
          <w:tcPr>
            <w:tcW w:w="64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TE Connectivity Ltd.</w:t>
            </w:r>
          </w:p>
        </w:tc>
        <w:tc>
          <w:tcPr>
            <w:tcW w:w="64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W.W. Grainger, Inc.</w:t>
            </w:r>
          </w:p>
        </w:tc>
        <w:tc>
          <w:tcPr>
            <w:tcW w:w="64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WESCO International, Inc.</w:t>
            </w:r>
          </w:p>
        </w:tc>
        <w:tc>
          <w:tcPr>
            <w:tcW w:w="64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Western Digital Corporation</w:t>
            </w:r>
          </w:p>
        </w:tc>
        <w:tc>
          <w:tcPr>
            <w:tcW w:w="640" w:type="dxa"/>
            <w:vAlign w:val="bottom"/>
          </w:tcPr>
          <w:p>
            <w:pPr>
              <w:spacing w:after="0"/>
              <w:rPr>
                <w:sz w:val="24"/>
                <w:szCs w:val="24"/>
                <w:color w:val="auto"/>
              </w:rPr>
            </w:pPr>
          </w:p>
        </w:tc>
      </w:tr>
      <w:tr>
        <w:trPr>
          <w:trHeight w:val="23"/>
        </w:trPr>
        <w:tc>
          <w:tcPr>
            <w:tcW w:w="120" w:type="dxa"/>
            <w:vAlign w:val="bottom"/>
            <w:tcBorders>
              <w:right w:val="single" w:sz="8" w:color="53C072"/>
            </w:tcBorders>
          </w:tcPr>
          <w:p>
            <w:pPr>
              <w:spacing w:after="0"/>
              <w:rPr>
                <w:sz w:val="2"/>
                <w:szCs w:val="2"/>
                <w:color w:val="auto"/>
              </w:rPr>
            </w:pPr>
          </w:p>
        </w:tc>
        <w:tc>
          <w:tcPr>
            <w:tcW w:w="2840" w:type="dxa"/>
            <w:vAlign w:val="bottom"/>
          </w:tcPr>
          <w:p>
            <w:pPr>
              <w:spacing w:after="0"/>
              <w:rPr>
                <w:sz w:val="2"/>
                <w:szCs w:val="2"/>
                <w:color w:val="auto"/>
              </w:rPr>
            </w:pPr>
          </w:p>
        </w:tc>
        <w:tc>
          <w:tcPr>
            <w:tcW w:w="64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740" w:space="380"/>
            <w:col w:w="3759"/>
          </w:cols>
          <w:pgMar w:left="580" w:top="97" w:right="1440" w:bottom="1440" w:gutter="0" w:footer="0" w:header="0"/>
          <w:type w:val="continuous"/>
        </w:sectPr>
      </w:pPr>
    </w:p>
    <w:p>
      <w:pPr>
        <w:spacing w:after="0" w:line="112"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43" w:lineRule="exact"/>
        <w:rPr>
          <w:sz w:val="20"/>
          <w:szCs w:val="20"/>
          <w:color w:val="auto"/>
        </w:rPr>
      </w:pPr>
    </w:p>
    <w:p>
      <w:pPr>
        <w:ind w:left="1000"/>
        <w:spacing w:after="0"/>
        <w:tabs>
          <w:tab w:leader="none" w:pos="7240" w:val="left"/>
        </w:tabs>
        <w:rPr>
          <w:sz w:val="20"/>
          <w:szCs w:val="20"/>
          <w:color w:val="auto"/>
        </w:rPr>
      </w:pPr>
      <w:r>
        <w:rPr>
          <w:rFonts w:ascii="Arial" w:cs="Arial" w:eastAsia="Arial" w:hAnsi="Arial"/>
          <w:sz w:val="28"/>
          <w:szCs w:val="28"/>
          <w:b w:val="1"/>
          <w:bCs w:val="1"/>
          <w:color w:val="53C072"/>
          <w:vertAlign w:val="superscript"/>
        </w:rPr>
        <w:t>2025 ANNUAL</w:t>
      </w:r>
      <w:r>
        <w:rPr>
          <w:rFonts w:ascii="Arial" w:cs="Arial" w:eastAsia="Arial" w:hAnsi="Arial"/>
          <w:sz w:val="28"/>
          <w:szCs w:val="28"/>
          <w:b w:val="1"/>
          <w:bCs w:val="1"/>
          <w:color w:val="auto"/>
          <w:vertAlign w:val="superscript"/>
        </w:rPr>
        <w:t xml:space="preserve"> </w:t>
      </w:r>
      <w:r>
        <w:rPr>
          <w:sz w:val="20"/>
          <w:szCs w:val="20"/>
          <w:color w:val="auto"/>
        </w:rPr>
        <w:tab/>
      </w:r>
      <w:r>
        <w:rPr>
          <w:rFonts w:ascii="Arial" w:cs="Arial" w:eastAsia="Arial" w:hAnsi="Arial"/>
          <w:sz w:val="14"/>
          <w:szCs w:val="14"/>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000" w:right="319"/>
        <w:spacing w:after="0" w:line="271" w:lineRule="auto"/>
        <w:rPr>
          <w:sz w:val="20"/>
          <w:szCs w:val="20"/>
          <w:color w:val="auto"/>
        </w:rPr>
      </w:pPr>
      <w:r>
        <w:rPr>
          <w:rFonts w:ascii="Arial" w:cs="Arial" w:eastAsia="Arial" w:hAnsi="Arial"/>
          <w:sz w:val="18"/>
          <w:szCs w:val="18"/>
          <w:color w:val="auto"/>
        </w:rPr>
        <w:t>The revenue and market capitalization for the benchmarking peer group median and the Company are shown in the table below.</w:t>
      </w:r>
    </w:p>
    <w:p>
      <w:pPr>
        <w:spacing w:after="0" w:line="145"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6320" w:type="dxa"/>
            <w:vAlign w:val="bottom"/>
            <w:tcBorders>
              <w:bottom w:val="single" w:sz="8" w:color="53C072"/>
            </w:tcBorders>
            <w:shd w:val="clear" w:color="auto" w:fill="53C072"/>
          </w:tcPr>
          <w:p>
            <w:pPr>
              <w:spacing w:after="0"/>
              <w:rPr>
                <w:sz w:val="20"/>
                <w:szCs w:val="20"/>
                <w:color w:val="auto"/>
              </w:rPr>
            </w:pPr>
          </w:p>
        </w:tc>
        <w:tc>
          <w:tcPr>
            <w:tcW w:w="2320" w:type="dxa"/>
            <w:vAlign w:val="bottom"/>
            <w:tcBorders>
              <w:bottom w:val="single" w:sz="8" w:color="auto"/>
            </w:tcBorders>
            <w:gridSpan w:val="3"/>
            <w:shd w:val="clear" w:color="auto" w:fill="53C072"/>
          </w:tcPr>
          <w:p>
            <w:pPr>
              <w:ind w:left="320"/>
              <w:spacing w:after="0"/>
              <w:rPr>
                <w:sz w:val="20"/>
                <w:szCs w:val="20"/>
                <w:color w:val="auto"/>
              </w:rPr>
            </w:pPr>
            <w:r>
              <w:rPr>
                <w:rFonts w:ascii="Arial" w:cs="Arial" w:eastAsia="Arial" w:hAnsi="Arial"/>
                <w:sz w:val="14"/>
                <w:szCs w:val="14"/>
                <w:b w:val="1"/>
                <w:bCs w:val="1"/>
                <w:color w:val="FEFEFE"/>
              </w:rPr>
              <w:t>Fiscal 2024 ($ in billions)</w:t>
            </w:r>
          </w:p>
        </w:tc>
        <w:tc>
          <w:tcPr>
            <w:tcW w:w="120" w:type="dxa"/>
            <w:vAlign w:val="bottom"/>
            <w:tcBorders>
              <w:bottom w:val="single" w:sz="8" w:color="53C072"/>
            </w:tcBorders>
            <w:shd w:val="clear" w:color="auto" w:fill="53C072"/>
          </w:tcPr>
          <w:p>
            <w:pPr>
              <w:spacing w:after="0"/>
              <w:rPr>
                <w:sz w:val="20"/>
                <w:szCs w:val="20"/>
                <w:color w:val="auto"/>
              </w:rPr>
            </w:pPr>
          </w:p>
        </w:tc>
      </w:tr>
      <w:tr>
        <w:trPr>
          <w:trHeight w:val="230"/>
        </w:trPr>
        <w:tc>
          <w:tcPr>
            <w:tcW w:w="6320" w:type="dxa"/>
            <w:vAlign w:val="bottom"/>
            <w:shd w:val="clear" w:color="auto" w:fill="53C072"/>
          </w:tcPr>
          <w:p>
            <w:pPr>
              <w:spacing w:after="0"/>
              <w:rPr>
                <w:sz w:val="19"/>
                <w:szCs w:val="19"/>
                <w:color w:val="auto"/>
              </w:rPr>
            </w:pPr>
          </w:p>
        </w:tc>
        <w:tc>
          <w:tcPr>
            <w:tcW w:w="760" w:type="dxa"/>
            <w:vAlign w:val="bottom"/>
            <w:tcBorders>
              <w:right w:val="single" w:sz="8" w:color="FEFEFE"/>
            </w:tcBorders>
            <w:shd w:val="clear" w:color="auto" w:fill="53C072"/>
          </w:tcPr>
          <w:p>
            <w:pPr>
              <w:ind w:left="40"/>
              <w:spacing w:after="0"/>
              <w:rPr>
                <w:sz w:val="20"/>
                <w:szCs w:val="20"/>
                <w:color w:val="auto"/>
              </w:rPr>
            </w:pPr>
            <w:r>
              <w:rPr>
                <w:rFonts w:ascii="Arial" w:cs="Arial" w:eastAsia="Arial" w:hAnsi="Arial"/>
                <w:sz w:val="14"/>
                <w:szCs w:val="14"/>
                <w:b w:val="1"/>
                <w:bCs w:val="1"/>
                <w:color w:val="FEFEFE"/>
              </w:rPr>
              <w:t>Revenue</w:t>
            </w:r>
          </w:p>
        </w:tc>
        <w:tc>
          <w:tcPr>
            <w:tcW w:w="100" w:type="dxa"/>
            <w:vAlign w:val="bottom"/>
            <w:shd w:val="clear" w:color="auto" w:fill="53C072"/>
          </w:tcPr>
          <w:p>
            <w:pPr>
              <w:spacing w:after="0"/>
              <w:rPr>
                <w:sz w:val="19"/>
                <w:szCs w:val="19"/>
                <w:color w:val="auto"/>
              </w:rPr>
            </w:pPr>
          </w:p>
        </w:tc>
        <w:tc>
          <w:tcPr>
            <w:tcW w:w="146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Market Capitalization</w:t>
            </w:r>
          </w:p>
        </w:tc>
        <w:tc>
          <w:tcPr>
            <w:tcW w:w="120" w:type="dxa"/>
            <w:vAlign w:val="bottom"/>
            <w:shd w:val="clear" w:color="auto" w:fill="53C072"/>
          </w:tcPr>
          <w:p>
            <w:pPr>
              <w:spacing w:after="0"/>
              <w:rPr>
                <w:sz w:val="19"/>
                <w:szCs w:val="19"/>
                <w:color w:val="auto"/>
              </w:rPr>
            </w:pPr>
          </w:p>
        </w:tc>
      </w:tr>
      <w:tr>
        <w:trPr>
          <w:trHeight w:val="256"/>
        </w:trPr>
        <w:tc>
          <w:tcPr>
            <w:tcW w:w="6320" w:type="dxa"/>
            <w:vAlign w:val="bottom"/>
          </w:tcPr>
          <w:p>
            <w:pPr>
              <w:ind w:left="120"/>
              <w:spacing w:after="0"/>
              <w:rPr>
                <w:sz w:val="20"/>
                <w:szCs w:val="20"/>
                <w:color w:val="auto"/>
              </w:rPr>
            </w:pPr>
            <w:r>
              <w:rPr>
                <w:rFonts w:ascii="Arial" w:cs="Arial" w:eastAsia="Arial" w:hAnsi="Arial"/>
                <w:sz w:val="18"/>
                <w:szCs w:val="18"/>
                <w:color w:val="auto"/>
              </w:rPr>
              <w:t>Peer Group Median</w:t>
            </w:r>
          </w:p>
        </w:tc>
        <w:tc>
          <w:tcPr>
            <w:tcW w:w="760" w:type="dxa"/>
            <w:vAlign w:val="bottom"/>
            <w:tcBorders>
              <w:right w:val="single" w:sz="8" w:color="FEFEFE"/>
            </w:tcBorders>
          </w:tcPr>
          <w:p>
            <w:pPr>
              <w:ind w:left="20"/>
              <w:spacing w:after="0"/>
              <w:rPr>
                <w:sz w:val="20"/>
                <w:szCs w:val="20"/>
                <w:color w:val="auto"/>
              </w:rPr>
            </w:pPr>
            <w:r>
              <w:rPr>
                <w:rFonts w:ascii="Arial" w:cs="Arial" w:eastAsia="Arial" w:hAnsi="Arial"/>
                <w:sz w:val="18"/>
                <w:szCs w:val="18"/>
                <w:color w:val="auto"/>
              </w:rPr>
              <w:t>​$21.4M ​</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rPr>
              <w:t>​$19.1M</w:t>
            </w:r>
          </w:p>
        </w:tc>
        <w:tc>
          <w:tcPr>
            <w:tcW w:w="120" w:type="dxa"/>
            <w:vAlign w:val="bottom"/>
          </w:tcPr>
          <w:p>
            <w:pPr>
              <w:spacing w:after="0"/>
              <w:rPr>
                <w:sz w:val="20"/>
                <w:szCs w:val="20"/>
                <w:color w:val="auto"/>
              </w:rPr>
            </w:pPr>
            <w:r>
              <w:rPr>
                <w:rFonts w:ascii="Arial" w:cs="Arial" w:eastAsia="Arial" w:hAnsi="Arial"/>
                <w:sz w:val="18"/>
                <w:szCs w:val="18"/>
                <w:color w:val="auto"/>
              </w:rPr>
              <w:t>​</w:t>
            </w:r>
          </w:p>
        </w:tc>
      </w:tr>
      <w:tr>
        <w:trPr>
          <w:trHeight w:val="291"/>
        </w:trPr>
        <w:tc>
          <w:tcPr>
            <w:tcW w:w="6320" w:type="dxa"/>
            <w:vAlign w:val="bottom"/>
            <w:tcBorders>
              <w:bottom w:val="single" w:sz="8" w:color="53C072"/>
            </w:tcBorders>
            <w:shd w:val="clear" w:color="auto" w:fill="CBECD5"/>
          </w:tcPr>
          <w:p>
            <w:pPr>
              <w:ind w:left="120"/>
              <w:spacing w:after="0"/>
              <w:rPr>
                <w:sz w:val="20"/>
                <w:szCs w:val="20"/>
                <w:color w:val="auto"/>
              </w:rPr>
            </w:pPr>
            <w:r>
              <w:rPr>
                <w:rFonts w:ascii="Arial" w:cs="Arial" w:eastAsia="Arial" w:hAnsi="Arial"/>
                <w:sz w:val="18"/>
                <w:szCs w:val="18"/>
                <w:color w:val="auto"/>
              </w:rPr>
              <w:t>The Company</w:t>
            </w:r>
          </w:p>
        </w:tc>
        <w:tc>
          <w:tcPr>
            <w:tcW w:w="760" w:type="dxa"/>
            <w:vAlign w:val="bottom"/>
            <w:tcBorders>
              <w:bottom w:val="single" w:sz="8" w:color="53C072"/>
              <w:right w:val="single" w:sz="8" w:color="FEFEFE"/>
            </w:tcBorders>
            <w:shd w:val="clear" w:color="auto" w:fill="CBECD5"/>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$23.7M </w:t>
            </w:r>
            <w:r>
              <w:rPr>
                <w:rFonts w:ascii="Arial" w:cs="Arial" w:eastAsia="Arial" w:hAnsi="Arial"/>
                <w:sz w:val="32"/>
                <w:szCs w:val="32"/>
                <w:color w:val="auto"/>
                <w:vertAlign w:val="subscript"/>
              </w:rPr>
              <w:t>​</w:t>
            </w:r>
          </w:p>
        </w:tc>
        <w:tc>
          <w:tcPr>
            <w:tcW w:w="10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53C072"/>
            </w:tcBorders>
            <w:shd w:val="clear" w:color="auto" w:fill="CBECD5"/>
          </w:tcPr>
          <w:p>
            <w:pPr>
              <w:jc w:val="cente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$4.48M</w:t>
            </w:r>
          </w:p>
        </w:tc>
        <w:tc>
          <w:tcPr>
            <w:tcW w:w="120" w:type="dxa"/>
            <w:vAlign w:val="bottom"/>
            <w:tcBorders>
              <w:bottom w:val="single" w:sz="8" w:color="53C072"/>
            </w:tcBorders>
            <w:shd w:val="clear" w:color="auto" w:fill="CBECD5"/>
          </w:tcPr>
          <w:p>
            <w:pPr>
              <w:spacing w:after="0"/>
              <w:rPr>
                <w:sz w:val="20"/>
                <w:szCs w:val="20"/>
                <w:color w:val="auto"/>
              </w:rPr>
            </w:pPr>
            <w:r>
              <w:rPr>
                <w:rFonts w:ascii="Arial" w:cs="Arial" w:eastAsia="Arial" w:hAnsi="Arial"/>
                <w:sz w:val="18"/>
                <w:szCs w:val="18"/>
                <w:color w:val="auto"/>
              </w:rPr>
              <w:t>​</w:t>
            </w:r>
          </w:p>
        </w:tc>
      </w:tr>
    </w:tbl>
    <w:p>
      <w:pPr>
        <w:spacing w:after="0" w:line="76" w:lineRule="exact"/>
        <w:rPr>
          <w:sz w:val="20"/>
          <w:szCs w:val="20"/>
          <w:color w:val="auto"/>
        </w:rPr>
      </w:pPr>
    </w:p>
    <w:p>
      <w:pPr>
        <w:ind w:left="1000" w:right="199"/>
        <w:spacing w:after="0" w:line="246" w:lineRule="auto"/>
        <w:rPr>
          <w:sz w:val="20"/>
          <w:szCs w:val="20"/>
          <w:color w:val="auto"/>
        </w:rPr>
      </w:pPr>
      <w:r>
        <w:rPr>
          <w:rFonts w:ascii="Arial" w:cs="Arial" w:eastAsia="Arial" w:hAnsi="Arial"/>
          <w:sz w:val="18"/>
          <w:szCs w:val="18"/>
          <w:color w:val="auto"/>
        </w:rPr>
        <w:t>For the CEO and CFO, the primary market data is sourced from the most recent proxy statements of the Company’s benchmarking peer group, as may be updated by additional SEC filings. Secondary market data is sourced from general industry surveys covering executive positions. For the remaining executive officers, the primary market data is sourced from the peer group’s proxy statement data, when available, or general industry surveys covering executive positions. The Committee reviews general industry survey data for similar roles at companies with comparable revenue and market capitalization. For fiscal 2025, the survey data came from the Willis Towers Watson 2023 U.S. General Industry Executive Survey aged appropriately.</w:t>
      </w:r>
    </w:p>
    <w:p>
      <w:pPr>
        <w:spacing w:after="0" w:line="108" w:lineRule="exact"/>
        <w:rPr>
          <w:sz w:val="20"/>
          <w:szCs w:val="20"/>
          <w:color w:val="auto"/>
        </w:rPr>
      </w:pPr>
    </w:p>
    <w:p>
      <w:pPr>
        <w:ind w:left="1000" w:right="279"/>
        <w:spacing w:after="0" w:line="261" w:lineRule="auto"/>
        <w:rPr>
          <w:sz w:val="20"/>
          <w:szCs w:val="20"/>
          <w:color w:val="auto"/>
        </w:rPr>
      </w:pPr>
      <w:r>
        <w:rPr>
          <w:rFonts w:ascii="Arial" w:cs="Arial" w:eastAsia="Arial" w:hAnsi="Arial"/>
          <w:sz w:val="18"/>
          <w:szCs w:val="18"/>
          <w:color w:val="auto"/>
        </w:rPr>
        <w:t>As part of this benchmarking process, each executive officer’s proposed individual target compensation is evaluated against the market data, as are individual compensation elements such as base salary, annual cash incentives, long-term incentives, and total direct compensation.</w:t>
      </w:r>
    </w:p>
    <w:p>
      <w:pPr>
        <w:spacing w:after="0" w:line="94" w:lineRule="exact"/>
        <w:rPr>
          <w:sz w:val="20"/>
          <w:szCs w:val="20"/>
          <w:color w:val="auto"/>
        </w:rPr>
      </w:pPr>
    </w:p>
    <w:p>
      <w:pPr>
        <w:ind w:left="1000" w:right="139"/>
        <w:spacing w:after="0" w:line="248" w:lineRule="auto"/>
        <w:rPr>
          <w:sz w:val="20"/>
          <w:szCs w:val="20"/>
          <w:color w:val="auto"/>
        </w:rPr>
      </w:pPr>
      <w:r>
        <w:rPr>
          <w:rFonts w:ascii="Arial" w:cs="Arial" w:eastAsia="Arial" w:hAnsi="Arial"/>
          <w:sz w:val="18"/>
          <w:szCs w:val="18"/>
          <w:color w:val="auto"/>
        </w:rPr>
        <w:t>The Committee does not view benchmarking as a prescriptive determinant of individual compensation. Rather, the Committee uses the market median as a general guide in its decisions on the target amount and mix of each element of compensation. The Committee also considers other factors, such as experience in the position and long-term performance of the individual. An executive officer’s actual compensation may be above or below target compensation and will vary from year to year based on financial results, future stock performance, as well as individual performance, reinforcing the Company’s pay-for-performance culture.</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OVERVIEW OF PAY PROGRAMS</w:t>
      </w:r>
    </w:p>
    <w:p>
      <w:pPr>
        <w:spacing w:after="0" w:line="148" w:lineRule="exact"/>
        <w:rPr>
          <w:sz w:val="20"/>
          <w:szCs w:val="20"/>
          <w:color w:val="auto"/>
        </w:rPr>
      </w:pPr>
    </w:p>
    <w:p>
      <w:pPr>
        <w:ind w:left="1000" w:right="299"/>
        <w:spacing w:after="0" w:line="287" w:lineRule="auto"/>
        <w:rPr>
          <w:sz w:val="20"/>
          <w:szCs w:val="20"/>
          <w:color w:val="auto"/>
        </w:rPr>
      </w:pPr>
      <w:r>
        <w:rPr>
          <w:rFonts w:ascii="Arial" w:cs="Arial" w:eastAsia="Arial" w:hAnsi="Arial"/>
          <w:sz w:val="18"/>
          <w:szCs w:val="18"/>
          <w:color w:val="auto"/>
        </w:rPr>
        <w:t>The primary components of the Company’s compensation program and the objectives of each component are set forth in the table below:</w:t>
      </w:r>
    </w:p>
    <w:p>
      <w:pPr>
        <w:spacing w:after="0" w:line="118"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940" w:type="dxa"/>
            <w:vAlign w:val="bottom"/>
            <w:tcBorders>
              <w:right w:val="single" w:sz="8" w:color="FEFEFE"/>
            </w:tcBorders>
            <w:shd w:val="clear" w:color="auto" w:fill="53C072"/>
          </w:tcPr>
          <w:p>
            <w:pPr>
              <w:ind w:left="140"/>
              <w:spacing w:after="0"/>
              <w:rPr>
                <w:sz w:val="20"/>
                <w:szCs w:val="20"/>
                <w:color w:val="auto"/>
              </w:rPr>
            </w:pPr>
            <w:r>
              <w:rPr>
                <w:rFonts w:ascii="Arial" w:cs="Arial" w:eastAsia="Arial" w:hAnsi="Arial"/>
                <w:sz w:val="14"/>
                <w:szCs w:val="14"/>
                <w:b w:val="1"/>
                <w:bCs w:val="1"/>
                <w:color w:val="FFFFFF"/>
              </w:rPr>
              <w:t>Pay Component</w:t>
            </w:r>
          </w:p>
        </w:tc>
        <w:tc>
          <w:tcPr>
            <w:tcW w:w="286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FFFFF"/>
              </w:rPr>
              <w:t>Objectives</w:t>
            </w:r>
          </w:p>
        </w:tc>
        <w:tc>
          <w:tcPr>
            <w:tcW w:w="2960" w:type="dxa"/>
            <w:vAlign w:val="bottom"/>
            <w:shd w:val="clear" w:color="auto" w:fill="53C072"/>
          </w:tcPr>
          <w:p>
            <w:pPr>
              <w:ind w:left="160"/>
              <w:spacing w:after="0"/>
              <w:rPr>
                <w:sz w:val="20"/>
                <w:szCs w:val="20"/>
                <w:color w:val="auto"/>
              </w:rPr>
            </w:pPr>
            <w:r>
              <w:rPr>
                <w:rFonts w:ascii="Arial" w:cs="Arial" w:eastAsia="Arial" w:hAnsi="Arial"/>
                <w:sz w:val="14"/>
                <w:szCs w:val="14"/>
                <w:b w:val="1"/>
                <w:bCs w:val="1"/>
                <w:color w:val="FFFFFF"/>
              </w:rPr>
              <w:t>Key Features</w:t>
            </w:r>
          </w:p>
        </w:tc>
      </w:tr>
      <w:tr>
        <w:trPr>
          <w:trHeight w:val="224"/>
        </w:trPr>
        <w:tc>
          <w:tcPr>
            <w:tcW w:w="2940" w:type="dxa"/>
            <w:vAlign w:val="bottom"/>
            <w:tcBorders>
              <w:right w:val="single" w:sz="8" w:color="FEFEFE"/>
            </w:tcBorders>
            <w:shd w:val="clear" w:color="auto" w:fill="98D9AA"/>
          </w:tcPr>
          <w:p>
            <w:pPr>
              <w:ind w:left="140"/>
              <w:spacing w:after="0"/>
              <w:rPr>
                <w:sz w:val="20"/>
                <w:szCs w:val="20"/>
                <w:color w:val="auto"/>
              </w:rPr>
            </w:pPr>
            <w:r>
              <w:rPr>
                <w:rFonts w:ascii="Arial" w:cs="Arial" w:eastAsia="Arial" w:hAnsi="Arial"/>
                <w:sz w:val="18"/>
                <w:szCs w:val="18"/>
                <w:b w:val="1"/>
                <w:bCs w:val="1"/>
                <w:color w:val="auto"/>
              </w:rPr>
              <w:t>Base Salary</w:t>
            </w:r>
          </w:p>
        </w:tc>
        <w:tc>
          <w:tcPr>
            <w:tcW w:w="2860" w:type="dxa"/>
            <w:vAlign w:val="bottom"/>
            <w:shd w:val="clear" w:color="auto" w:fill="98D9AA"/>
          </w:tcPr>
          <w:p>
            <w:pPr>
              <w:ind w:left="100"/>
              <w:spacing w:after="0"/>
              <w:rPr>
                <w:sz w:val="20"/>
                <w:szCs w:val="20"/>
                <w:color w:val="auto"/>
              </w:rPr>
            </w:pPr>
            <w:r>
              <w:rPr>
                <w:rFonts w:ascii="Arial" w:cs="Arial" w:eastAsia="Arial" w:hAnsi="Arial"/>
                <w:sz w:val="18"/>
                <w:szCs w:val="18"/>
                <w:color w:val="auto"/>
              </w:rPr>
              <w:t>Attract and retain executive talent</w:t>
            </w:r>
          </w:p>
        </w:tc>
        <w:tc>
          <w:tcPr>
            <w:tcW w:w="2960" w:type="dxa"/>
            <w:vAlign w:val="bottom"/>
            <w:shd w:val="clear" w:color="auto" w:fill="98D9AA"/>
          </w:tcPr>
          <w:p>
            <w:pPr>
              <w:ind w:left="160"/>
              <w:spacing w:after="0"/>
              <w:rPr>
                <w:sz w:val="20"/>
                <w:szCs w:val="20"/>
                <w:color w:val="auto"/>
              </w:rPr>
            </w:pPr>
            <w:r>
              <w:rPr>
                <w:rFonts w:ascii="Arial" w:cs="Arial" w:eastAsia="Arial" w:hAnsi="Arial"/>
                <w:sz w:val="18"/>
                <w:szCs w:val="18"/>
                <w:color w:val="auto"/>
              </w:rPr>
              <w:t>Reflects skills, contributions, and</w:t>
            </w:r>
          </w:p>
        </w:tc>
      </w:tr>
      <w:tr>
        <w:trPr>
          <w:trHeight w:val="239"/>
        </w:trPr>
        <w:tc>
          <w:tcPr>
            <w:tcW w:w="2940" w:type="dxa"/>
            <w:vAlign w:val="bottom"/>
            <w:tcBorders>
              <w:right w:val="single" w:sz="8" w:color="FEFEFE"/>
            </w:tcBorders>
            <w:shd w:val="clear" w:color="auto" w:fill="98D9AA"/>
          </w:tcPr>
          <w:p>
            <w:pPr>
              <w:spacing w:after="0"/>
              <w:rPr>
                <w:sz w:val="20"/>
                <w:szCs w:val="20"/>
                <w:color w:val="auto"/>
              </w:rPr>
            </w:pPr>
          </w:p>
        </w:tc>
        <w:tc>
          <w:tcPr>
            <w:tcW w:w="2860" w:type="dxa"/>
            <w:vAlign w:val="bottom"/>
            <w:shd w:val="clear" w:color="auto" w:fill="98D9AA"/>
          </w:tcPr>
          <w:p>
            <w:pPr>
              <w:ind w:left="100"/>
              <w:spacing w:after="0"/>
              <w:rPr>
                <w:sz w:val="20"/>
                <w:szCs w:val="20"/>
                <w:color w:val="auto"/>
              </w:rPr>
            </w:pPr>
            <w:r>
              <w:rPr>
                <w:rFonts w:ascii="Arial" w:cs="Arial" w:eastAsia="Arial" w:hAnsi="Arial"/>
                <w:sz w:val="18"/>
                <w:szCs w:val="18"/>
                <w:color w:val="auto"/>
              </w:rPr>
              <w:t>in a competitive marketplace.</w:t>
            </w:r>
          </w:p>
        </w:tc>
        <w:tc>
          <w:tcPr>
            <w:tcW w:w="2960" w:type="dxa"/>
            <w:vAlign w:val="bottom"/>
            <w:shd w:val="clear" w:color="auto" w:fill="98D9AA"/>
          </w:tcPr>
          <w:p>
            <w:pPr>
              <w:ind w:left="160"/>
              <w:spacing w:after="0"/>
              <w:rPr>
                <w:sz w:val="20"/>
                <w:szCs w:val="20"/>
                <w:color w:val="auto"/>
              </w:rPr>
            </w:pPr>
            <w:r>
              <w:rPr>
                <w:rFonts w:ascii="Arial" w:cs="Arial" w:eastAsia="Arial" w:hAnsi="Arial"/>
                <w:sz w:val="18"/>
                <w:szCs w:val="18"/>
                <w:color w:val="auto"/>
              </w:rPr>
              <w:t>success over time in role.</w:t>
            </w:r>
          </w:p>
        </w:tc>
      </w:tr>
      <w:tr>
        <w:trPr>
          <w:trHeight w:val="247"/>
        </w:trPr>
        <w:tc>
          <w:tcPr>
            <w:tcW w:w="2940" w:type="dxa"/>
            <w:vAlign w:val="bottom"/>
            <w:tcBorders>
              <w:right w:val="single" w:sz="8" w:color="FEFEFE"/>
            </w:tcBorders>
            <w:shd w:val="clear" w:color="auto" w:fill="98D9AA"/>
          </w:tcPr>
          <w:p>
            <w:pPr>
              <w:spacing w:after="0"/>
              <w:rPr>
                <w:sz w:val="21"/>
                <w:szCs w:val="21"/>
                <w:color w:val="auto"/>
              </w:rPr>
            </w:pPr>
          </w:p>
        </w:tc>
        <w:tc>
          <w:tcPr>
            <w:tcW w:w="2860" w:type="dxa"/>
            <w:vAlign w:val="bottom"/>
            <w:shd w:val="clear" w:color="auto" w:fill="98D9AA"/>
          </w:tcPr>
          <w:p>
            <w:pPr>
              <w:spacing w:after="0"/>
              <w:rPr>
                <w:sz w:val="21"/>
                <w:szCs w:val="21"/>
                <w:color w:val="auto"/>
              </w:rPr>
            </w:pPr>
          </w:p>
        </w:tc>
        <w:tc>
          <w:tcPr>
            <w:tcW w:w="2960" w:type="dxa"/>
            <w:vAlign w:val="bottom"/>
            <w:shd w:val="clear" w:color="auto" w:fill="98D9AA"/>
          </w:tcPr>
          <w:p>
            <w:pPr>
              <w:ind w:left="160"/>
              <w:spacing w:after="0"/>
              <w:rPr>
                <w:sz w:val="20"/>
                <w:szCs w:val="20"/>
                <w:color w:val="auto"/>
              </w:rPr>
            </w:pPr>
            <w:r>
              <w:rPr>
                <w:rFonts w:ascii="Arial" w:cs="Arial" w:eastAsia="Arial" w:hAnsi="Arial"/>
                <w:sz w:val="18"/>
                <w:szCs w:val="18"/>
                <w:color w:val="auto"/>
              </w:rPr>
              <w:t>Reviewed annually to ensure</w:t>
            </w:r>
          </w:p>
        </w:tc>
      </w:tr>
      <w:tr>
        <w:trPr>
          <w:trHeight w:val="216"/>
        </w:trPr>
        <w:tc>
          <w:tcPr>
            <w:tcW w:w="2940" w:type="dxa"/>
            <w:vAlign w:val="bottom"/>
            <w:tcBorders>
              <w:right w:val="single" w:sz="8" w:color="FEFEFE"/>
            </w:tcBorders>
            <w:shd w:val="clear" w:color="auto" w:fill="98D9AA"/>
          </w:tcPr>
          <w:p>
            <w:pPr>
              <w:spacing w:after="0"/>
              <w:rPr>
                <w:sz w:val="18"/>
                <w:szCs w:val="18"/>
                <w:color w:val="auto"/>
              </w:rPr>
            </w:pPr>
          </w:p>
        </w:tc>
        <w:tc>
          <w:tcPr>
            <w:tcW w:w="2860" w:type="dxa"/>
            <w:vAlign w:val="bottom"/>
            <w:shd w:val="clear" w:color="auto" w:fill="98D9AA"/>
          </w:tcPr>
          <w:p>
            <w:pPr>
              <w:spacing w:after="0"/>
              <w:rPr>
                <w:sz w:val="18"/>
                <w:szCs w:val="18"/>
                <w:color w:val="auto"/>
              </w:rPr>
            </w:pPr>
          </w:p>
        </w:tc>
        <w:tc>
          <w:tcPr>
            <w:tcW w:w="2960" w:type="dxa"/>
            <w:vAlign w:val="bottom"/>
            <w:shd w:val="clear" w:color="auto" w:fill="98D9AA"/>
          </w:tcPr>
          <w:p>
            <w:pPr>
              <w:ind w:left="160"/>
              <w:spacing w:after="0"/>
              <w:rPr>
                <w:sz w:val="20"/>
                <w:szCs w:val="20"/>
                <w:color w:val="auto"/>
              </w:rPr>
            </w:pPr>
            <w:r>
              <w:rPr>
                <w:rFonts w:ascii="Arial" w:cs="Arial" w:eastAsia="Arial" w:hAnsi="Arial"/>
                <w:sz w:val="18"/>
                <w:szCs w:val="18"/>
                <w:color w:val="auto"/>
              </w:rPr>
              <w:t>competitiveness and alignment</w:t>
            </w:r>
          </w:p>
        </w:tc>
      </w:tr>
      <w:tr>
        <w:trPr>
          <w:trHeight w:val="254"/>
        </w:trPr>
        <w:tc>
          <w:tcPr>
            <w:tcW w:w="2940" w:type="dxa"/>
            <w:vAlign w:val="bottom"/>
            <w:tcBorders>
              <w:right w:val="single" w:sz="8" w:color="FEFEFE"/>
            </w:tcBorders>
            <w:shd w:val="clear" w:color="auto" w:fill="98D9AA"/>
          </w:tcPr>
          <w:p>
            <w:pPr>
              <w:spacing w:after="0"/>
              <w:rPr>
                <w:sz w:val="22"/>
                <w:szCs w:val="22"/>
                <w:color w:val="auto"/>
              </w:rPr>
            </w:pPr>
          </w:p>
        </w:tc>
        <w:tc>
          <w:tcPr>
            <w:tcW w:w="2860" w:type="dxa"/>
            <w:vAlign w:val="bottom"/>
            <w:shd w:val="clear" w:color="auto" w:fill="98D9AA"/>
          </w:tcPr>
          <w:p>
            <w:pPr>
              <w:spacing w:after="0"/>
              <w:rPr>
                <w:sz w:val="22"/>
                <w:szCs w:val="22"/>
                <w:color w:val="auto"/>
              </w:rPr>
            </w:pPr>
          </w:p>
        </w:tc>
        <w:tc>
          <w:tcPr>
            <w:tcW w:w="2960" w:type="dxa"/>
            <w:vAlign w:val="bottom"/>
            <w:shd w:val="clear" w:color="auto" w:fill="98D9AA"/>
          </w:tcPr>
          <w:p>
            <w:pPr>
              <w:ind w:left="160"/>
              <w:spacing w:after="0"/>
              <w:rPr>
                <w:sz w:val="20"/>
                <w:szCs w:val="20"/>
                <w:color w:val="auto"/>
              </w:rPr>
            </w:pPr>
            <w:r>
              <w:rPr>
                <w:rFonts w:ascii="Arial" w:cs="Arial" w:eastAsia="Arial" w:hAnsi="Arial"/>
                <w:sz w:val="18"/>
                <w:szCs w:val="18"/>
                <w:color w:val="auto"/>
              </w:rPr>
              <w:t>with individual performance.</w:t>
            </w:r>
          </w:p>
        </w:tc>
      </w:tr>
      <w:tr>
        <w:trPr>
          <w:trHeight w:val="232"/>
        </w:trPr>
        <w:tc>
          <w:tcPr>
            <w:tcW w:w="2940" w:type="dxa"/>
            <w:vAlign w:val="bottom"/>
            <w:tcBorders>
              <w:right w:val="single" w:sz="8" w:color="FEFEFE"/>
            </w:tcBorders>
            <w:shd w:val="clear" w:color="auto" w:fill="CBECD5"/>
          </w:tcPr>
          <w:p>
            <w:pPr>
              <w:ind w:left="140"/>
              <w:spacing w:after="0"/>
              <w:rPr>
                <w:sz w:val="20"/>
                <w:szCs w:val="20"/>
                <w:color w:val="auto"/>
              </w:rPr>
            </w:pPr>
            <w:r>
              <w:rPr>
                <w:rFonts w:ascii="Arial" w:cs="Arial" w:eastAsia="Arial" w:hAnsi="Arial"/>
                <w:sz w:val="18"/>
                <w:szCs w:val="18"/>
                <w:b w:val="1"/>
                <w:bCs w:val="1"/>
                <w:color w:val="auto"/>
              </w:rPr>
              <w:t>Annual Cash Incentives</w:t>
            </w:r>
          </w:p>
        </w:tc>
        <w:tc>
          <w:tcPr>
            <w:tcW w:w="2860" w:type="dxa"/>
            <w:vAlign w:val="bottom"/>
            <w:shd w:val="clear" w:color="auto" w:fill="CBECD5"/>
          </w:tcPr>
          <w:p>
            <w:pPr>
              <w:ind w:left="100"/>
              <w:spacing w:after="0"/>
              <w:rPr>
                <w:sz w:val="20"/>
                <w:szCs w:val="20"/>
                <w:color w:val="auto"/>
              </w:rPr>
            </w:pPr>
            <w:r>
              <w:rPr>
                <w:rFonts w:ascii="Arial" w:cs="Arial" w:eastAsia="Arial" w:hAnsi="Arial"/>
                <w:sz w:val="18"/>
                <w:szCs w:val="18"/>
                <w:color w:val="auto"/>
              </w:rPr>
              <w:t>Link variable compensation to</w:t>
            </w:r>
          </w:p>
        </w:tc>
        <w:tc>
          <w:tcPr>
            <w:tcW w:w="2960" w:type="dxa"/>
            <w:vAlign w:val="bottom"/>
            <w:shd w:val="clear" w:color="auto" w:fill="CBECD5"/>
          </w:tcPr>
          <w:p>
            <w:pPr>
              <w:ind w:left="160"/>
              <w:spacing w:after="0"/>
              <w:rPr>
                <w:sz w:val="20"/>
                <w:szCs w:val="20"/>
                <w:color w:val="auto"/>
              </w:rPr>
            </w:pPr>
            <w:r>
              <w:rPr>
                <w:rFonts w:ascii="Arial" w:cs="Arial" w:eastAsia="Arial" w:hAnsi="Arial"/>
                <w:sz w:val="18"/>
                <w:szCs w:val="18"/>
                <w:color w:val="auto"/>
              </w:rPr>
              <w:t>Key financial measures used to</w:t>
            </w:r>
          </w:p>
        </w:tc>
      </w:tr>
      <w:tr>
        <w:trPr>
          <w:trHeight w:val="216"/>
        </w:trPr>
        <w:tc>
          <w:tcPr>
            <w:tcW w:w="2940" w:type="dxa"/>
            <w:vAlign w:val="bottom"/>
            <w:tcBorders>
              <w:right w:val="single" w:sz="8" w:color="FEFEFE"/>
            </w:tcBorders>
            <w:shd w:val="clear" w:color="auto" w:fill="CBECD5"/>
          </w:tcPr>
          <w:p>
            <w:pPr>
              <w:spacing w:after="0"/>
              <w:rPr>
                <w:sz w:val="18"/>
                <w:szCs w:val="18"/>
                <w:color w:val="auto"/>
              </w:rPr>
            </w:pPr>
          </w:p>
        </w:tc>
        <w:tc>
          <w:tcPr>
            <w:tcW w:w="2860" w:type="dxa"/>
            <w:vAlign w:val="bottom"/>
            <w:shd w:val="clear" w:color="auto" w:fill="CBECD5"/>
          </w:tcPr>
          <w:p>
            <w:pPr>
              <w:ind w:left="100"/>
              <w:spacing w:after="0"/>
              <w:rPr>
                <w:sz w:val="20"/>
                <w:szCs w:val="20"/>
                <w:color w:val="auto"/>
              </w:rPr>
            </w:pPr>
            <w:r>
              <w:rPr>
                <w:rFonts w:ascii="Arial" w:cs="Arial" w:eastAsia="Arial" w:hAnsi="Arial"/>
                <w:sz w:val="18"/>
                <w:szCs w:val="18"/>
                <w:color w:val="auto"/>
              </w:rPr>
              <w:t>short-term performance and</w:t>
            </w:r>
          </w:p>
        </w:tc>
        <w:tc>
          <w:tcPr>
            <w:tcW w:w="2960" w:type="dxa"/>
            <w:vAlign w:val="bottom"/>
            <w:shd w:val="clear" w:color="auto" w:fill="CBECD5"/>
          </w:tcPr>
          <w:p>
            <w:pPr>
              <w:ind w:left="160"/>
              <w:spacing w:after="0"/>
              <w:rPr>
                <w:sz w:val="20"/>
                <w:szCs w:val="20"/>
                <w:color w:val="auto"/>
              </w:rPr>
            </w:pPr>
            <w:r>
              <w:rPr>
                <w:rFonts w:ascii="Arial" w:cs="Arial" w:eastAsia="Arial" w:hAnsi="Arial"/>
                <w:sz w:val="18"/>
                <w:szCs w:val="18"/>
                <w:color w:val="auto"/>
              </w:rPr>
              <w:t>assess performance and align</w:t>
            </w:r>
          </w:p>
        </w:tc>
      </w:tr>
      <w:tr>
        <w:trPr>
          <w:trHeight w:val="216"/>
        </w:trPr>
        <w:tc>
          <w:tcPr>
            <w:tcW w:w="2940" w:type="dxa"/>
            <w:vAlign w:val="bottom"/>
            <w:tcBorders>
              <w:right w:val="single" w:sz="8" w:color="FEFEFE"/>
            </w:tcBorders>
            <w:shd w:val="clear" w:color="auto" w:fill="CBECD5"/>
          </w:tcPr>
          <w:p>
            <w:pPr>
              <w:spacing w:after="0"/>
              <w:rPr>
                <w:sz w:val="18"/>
                <w:szCs w:val="18"/>
                <w:color w:val="auto"/>
              </w:rPr>
            </w:pPr>
          </w:p>
        </w:tc>
        <w:tc>
          <w:tcPr>
            <w:tcW w:w="2860" w:type="dxa"/>
            <w:vAlign w:val="bottom"/>
            <w:shd w:val="clear" w:color="auto" w:fill="CBECD5"/>
          </w:tcPr>
          <w:p>
            <w:pPr>
              <w:ind w:left="100"/>
              <w:spacing w:after="0"/>
              <w:rPr>
                <w:sz w:val="20"/>
                <w:szCs w:val="20"/>
                <w:color w:val="auto"/>
              </w:rPr>
            </w:pPr>
            <w:r>
              <w:rPr>
                <w:rFonts w:ascii="Arial" w:cs="Arial" w:eastAsia="Arial" w:hAnsi="Arial"/>
                <w:sz w:val="18"/>
                <w:szCs w:val="18"/>
                <w:color w:val="auto"/>
              </w:rPr>
              <w:t>strategic goals.</w:t>
            </w:r>
          </w:p>
        </w:tc>
        <w:tc>
          <w:tcPr>
            <w:tcW w:w="2960" w:type="dxa"/>
            <w:vAlign w:val="bottom"/>
            <w:shd w:val="clear" w:color="auto" w:fill="CBECD5"/>
          </w:tcPr>
          <w:p>
            <w:pPr>
              <w:ind w:left="160"/>
              <w:spacing w:after="0"/>
              <w:rPr>
                <w:sz w:val="20"/>
                <w:szCs w:val="20"/>
                <w:color w:val="auto"/>
              </w:rPr>
            </w:pPr>
            <w:r>
              <w:rPr>
                <w:rFonts w:ascii="Arial" w:cs="Arial" w:eastAsia="Arial" w:hAnsi="Arial"/>
                <w:sz w:val="18"/>
                <w:szCs w:val="18"/>
                <w:color w:val="auto"/>
              </w:rPr>
              <w:t>executives’ interest with</w:t>
            </w:r>
          </w:p>
        </w:tc>
      </w:tr>
      <w:tr>
        <w:trPr>
          <w:trHeight w:val="239"/>
        </w:trPr>
        <w:tc>
          <w:tcPr>
            <w:tcW w:w="2940" w:type="dxa"/>
            <w:vAlign w:val="bottom"/>
            <w:tcBorders>
              <w:right w:val="single" w:sz="8" w:color="FEFEFE"/>
            </w:tcBorders>
            <w:shd w:val="clear" w:color="auto" w:fill="CBECD5"/>
          </w:tcPr>
          <w:p>
            <w:pPr>
              <w:spacing w:after="0"/>
              <w:rPr>
                <w:sz w:val="20"/>
                <w:szCs w:val="20"/>
                <w:color w:val="auto"/>
              </w:rPr>
            </w:pPr>
          </w:p>
        </w:tc>
        <w:tc>
          <w:tcPr>
            <w:tcW w:w="2860" w:type="dxa"/>
            <w:vAlign w:val="bottom"/>
            <w:shd w:val="clear" w:color="auto" w:fill="CBECD5"/>
          </w:tcPr>
          <w:p>
            <w:pPr>
              <w:spacing w:after="0"/>
              <w:rPr>
                <w:sz w:val="20"/>
                <w:szCs w:val="20"/>
                <w:color w:val="auto"/>
              </w:rPr>
            </w:pPr>
          </w:p>
        </w:tc>
        <w:tc>
          <w:tcPr>
            <w:tcW w:w="2960" w:type="dxa"/>
            <w:vAlign w:val="bottom"/>
            <w:shd w:val="clear" w:color="auto" w:fill="CBECD5"/>
          </w:tcPr>
          <w:p>
            <w:pPr>
              <w:ind w:left="160"/>
              <w:spacing w:after="0"/>
              <w:rPr>
                <w:sz w:val="20"/>
                <w:szCs w:val="20"/>
                <w:color w:val="auto"/>
              </w:rPr>
            </w:pPr>
            <w:r>
              <w:rPr>
                <w:rFonts w:ascii="Arial" w:cs="Arial" w:eastAsia="Arial" w:hAnsi="Arial"/>
                <w:sz w:val="18"/>
                <w:szCs w:val="18"/>
                <w:color w:val="auto"/>
              </w:rPr>
              <w:t>shareholders’ interests.</w:t>
            </w:r>
          </w:p>
        </w:tc>
      </w:tr>
      <w:tr>
        <w:trPr>
          <w:trHeight w:val="247"/>
        </w:trPr>
        <w:tc>
          <w:tcPr>
            <w:tcW w:w="2940" w:type="dxa"/>
            <w:vAlign w:val="bottom"/>
            <w:tcBorders>
              <w:right w:val="single" w:sz="8" w:color="FEFEFE"/>
            </w:tcBorders>
            <w:shd w:val="clear" w:color="auto" w:fill="CBECD5"/>
          </w:tcPr>
          <w:p>
            <w:pPr>
              <w:spacing w:after="0"/>
              <w:rPr>
                <w:sz w:val="21"/>
                <w:szCs w:val="21"/>
                <w:color w:val="auto"/>
              </w:rPr>
            </w:pPr>
          </w:p>
        </w:tc>
        <w:tc>
          <w:tcPr>
            <w:tcW w:w="2860" w:type="dxa"/>
            <w:vAlign w:val="bottom"/>
            <w:shd w:val="clear" w:color="auto" w:fill="CBECD5"/>
          </w:tcPr>
          <w:p>
            <w:pPr>
              <w:spacing w:after="0"/>
              <w:rPr>
                <w:sz w:val="21"/>
                <w:szCs w:val="21"/>
                <w:color w:val="auto"/>
              </w:rPr>
            </w:pPr>
          </w:p>
        </w:tc>
        <w:tc>
          <w:tcPr>
            <w:tcW w:w="2960" w:type="dxa"/>
            <w:vAlign w:val="bottom"/>
            <w:shd w:val="clear" w:color="auto" w:fill="CBECD5"/>
          </w:tcPr>
          <w:p>
            <w:pPr>
              <w:ind w:left="160"/>
              <w:spacing w:after="0"/>
              <w:rPr>
                <w:sz w:val="20"/>
                <w:szCs w:val="20"/>
                <w:color w:val="auto"/>
              </w:rPr>
            </w:pPr>
            <w:r>
              <w:rPr>
                <w:rFonts w:ascii="Arial" w:cs="Arial" w:eastAsia="Arial" w:hAnsi="Arial"/>
                <w:sz w:val="18"/>
                <w:szCs w:val="18"/>
                <w:color w:val="auto"/>
              </w:rPr>
              <w:t>Payouts depend on meeting</w:t>
            </w:r>
          </w:p>
        </w:tc>
      </w:tr>
      <w:tr>
        <w:trPr>
          <w:trHeight w:val="216"/>
        </w:trPr>
        <w:tc>
          <w:tcPr>
            <w:tcW w:w="2940" w:type="dxa"/>
            <w:vAlign w:val="bottom"/>
            <w:tcBorders>
              <w:right w:val="single" w:sz="8" w:color="FEFEFE"/>
            </w:tcBorders>
            <w:shd w:val="clear" w:color="auto" w:fill="CBECD5"/>
          </w:tcPr>
          <w:p>
            <w:pPr>
              <w:spacing w:after="0"/>
              <w:rPr>
                <w:sz w:val="18"/>
                <w:szCs w:val="18"/>
                <w:color w:val="auto"/>
              </w:rPr>
            </w:pPr>
          </w:p>
        </w:tc>
        <w:tc>
          <w:tcPr>
            <w:tcW w:w="2860" w:type="dxa"/>
            <w:vAlign w:val="bottom"/>
            <w:shd w:val="clear" w:color="auto" w:fill="CBECD5"/>
          </w:tcPr>
          <w:p>
            <w:pPr>
              <w:spacing w:after="0"/>
              <w:rPr>
                <w:sz w:val="18"/>
                <w:szCs w:val="18"/>
                <w:color w:val="auto"/>
              </w:rPr>
            </w:pPr>
          </w:p>
        </w:tc>
        <w:tc>
          <w:tcPr>
            <w:tcW w:w="2960" w:type="dxa"/>
            <w:vAlign w:val="bottom"/>
            <w:shd w:val="clear" w:color="auto" w:fill="CBECD5"/>
          </w:tcPr>
          <w:p>
            <w:pPr>
              <w:ind w:left="160"/>
              <w:spacing w:after="0"/>
              <w:rPr>
                <w:sz w:val="20"/>
                <w:szCs w:val="20"/>
                <w:color w:val="auto"/>
              </w:rPr>
            </w:pPr>
            <w:r>
              <w:rPr>
                <w:rFonts w:ascii="Arial" w:cs="Arial" w:eastAsia="Arial" w:hAnsi="Arial"/>
                <w:sz w:val="18"/>
                <w:szCs w:val="18"/>
                <w:color w:val="auto"/>
              </w:rPr>
              <w:t>financial and non-financial</w:t>
            </w:r>
          </w:p>
        </w:tc>
      </w:tr>
      <w:tr>
        <w:trPr>
          <w:trHeight w:val="254"/>
        </w:trPr>
        <w:tc>
          <w:tcPr>
            <w:tcW w:w="2940" w:type="dxa"/>
            <w:vAlign w:val="bottom"/>
            <w:tcBorders>
              <w:right w:val="single" w:sz="8" w:color="FEFEFE"/>
            </w:tcBorders>
            <w:shd w:val="clear" w:color="auto" w:fill="CBECD5"/>
          </w:tcPr>
          <w:p>
            <w:pPr>
              <w:spacing w:after="0"/>
              <w:rPr>
                <w:sz w:val="22"/>
                <w:szCs w:val="22"/>
                <w:color w:val="auto"/>
              </w:rPr>
            </w:pPr>
          </w:p>
        </w:tc>
        <w:tc>
          <w:tcPr>
            <w:tcW w:w="2860" w:type="dxa"/>
            <w:vAlign w:val="bottom"/>
            <w:shd w:val="clear" w:color="auto" w:fill="CBECD5"/>
          </w:tcPr>
          <w:p>
            <w:pPr>
              <w:spacing w:after="0"/>
              <w:rPr>
                <w:sz w:val="22"/>
                <w:szCs w:val="22"/>
                <w:color w:val="auto"/>
              </w:rPr>
            </w:pPr>
          </w:p>
        </w:tc>
        <w:tc>
          <w:tcPr>
            <w:tcW w:w="2960" w:type="dxa"/>
            <w:vAlign w:val="bottom"/>
            <w:shd w:val="clear" w:color="auto" w:fill="CBECD5"/>
          </w:tcPr>
          <w:p>
            <w:pPr>
              <w:ind w:left="160"/>
              <w:spacing w:after="0"/>
              <w:rPr>
                <w:sz w:val="20"/>
                <w:szCs w:val="20"/>
                <w:color w:val="auto"/>
              </w:rPr>
            </w:pPr>
            <w:r>
              <w:rPr>
                <w:rFonts w:ascii="Arial" w:cs="Arial" w:eastAsia="Arial" w:hAnsi="Arial"/>
                <w:sz w:val="18"/>
                <w:szCs w:val="18"/>
                <w:color w:val="auto"/>
              </w:rPr>
              <w:t>performance goals.</w:t>
            </w:r>
          </w:p>
        </w:tc>
      </w:tr>
      <w:tr>
        <w:trPr>
          <w:trHeight w:val="232"/>
        </w:trPr>
        <w:tc>
          <w:tcPr>
            <w:tcW w:w="2940" w:type="dxa"/>
            <w:vAlign w:val="bottom"/>
            <w:tcBorders>
              <w:right w:val="single" w:sz="8" w:color="FEFEFE"/>
            </w:tcBorders>
            <w:shd w:val="clear" w:color="auto" w:fill="98D9AA"/>
          </w:tcPr>
          <w:p>
            <w:pPr>
              <w:ind w:left="140"/>
              <w:spacing w:after="0"/>
              <w:rPr>
                <w:sz w:val="20"/>
                <w:szCs w:val="20"/>
                <w:color w:val="auto"/>
              </w:rPr>
            </w:pPr>
            <w:r>
              <w:rPr>
                <w:rFonts w:ascii="Arial" w:cs="Arial" w:eastAsia="Arial" w:hAnsi="Arial"/>
                <w:sz w:val="18"/>
                <w:szCs w:val="18"/>
                <w:b w:val="1"/>
                <w:bCs w:val="1"/>
                <w:color w:val="auto"/>
              </w:rPr>
              <w:t>Long-Term Equity Incentives</w:t>
            </w:r>
          </w:p>
        </w:tc>
        <w:tc>
          <w:tcPr>
            <w:tcW w:w="2860" w:type="dxa"/>
            <w:vAlign w:val="bottom"/>
            <w:shd w:val="clear" w:color="auto" w:fill="98D9AA"/>
          </w:tcPr>
          <w:p>
            <w:pPr>
              <w:ind w:left="100"/>
              <w:spacing w:after="0"/>
              <w:rPr>
                <w:sz w:val="20"/>
                <w:szCs w:val="20"/>
                <w:color w:val="auto"/>
              </w:rPr>
            </w:pPr>
            <w:r>
              <w:rPr>
                <w:rFonts w:ascii="Arial" w:cs="Arial" w:eastAsia="Arial" w:hAnsi="Arial"/>
                <w:sz w:val="18"/>
                <w:szCs w:val="18"/>
                <w:color w:val="auto"/>
              </w:rPr>
              <w:t>Align executives with</w:t>
            </w:r>
          </w:p>
        </w:tc>
        <w:tc>
          <w:tcPr>
            <w:tcW w:w="2960" w:type="dxa"/>
            <w:vAlign w:val="bottom"/>
            <w:shd w:val="clear" w:color="auto" w:fill="98D9AA"/>
          </w:tcPr>
          <w:p>
            <w:pPr>
              <w:ind w:left="160"/>
              <w:spacing w:after="0"/>
              <w:rPr>
                <w:sz w:val="20"/>
                <w:szCs w:val="20"/>
                <w:color w:val="auto"/>
              </w:rPr>
            </w:pPr>
            <w:r>
              <w:rPr>
                <w:rFonts w:ascii="Arial" w:cs="Arial" w:eastAsia="Arial" w:hAnsi="Arial"/>
                <w:sz w:val="18"/>
                <w:szCs w:val="18"/>
                <w:color w:val="auto"/>
              </w:rPr>
              <w:t>Encourages retention through</w:t>
            </w:r>
          </w:p>
        </w:tc>
      </w:tr>
      <w:tr>
        <w:trPr>
          <w:trHeight w:val="216"/>
        </w:trPr>
        <w:tc>
          <w:tcPr>
            <w:tcW w:w="2940" w:type="dxa"/>
            <w:vAlign w:val="bottom"/>
            <w:tcBorders>
              <w:right w:val="single" w:sz="8" w:color="FEFEFE"/>
            </w:tcBorders>
            <w:shd w:val="clear" w:color="auto" w:fill="98D9AA"/>
          </w:tcPr>
          <w:p>
            <w:pPr>
              <w:spacing w:after="0"/>
              <w:rPr>
                <w:sz w:val="18"/>
                <w:szCs w:val="18"/>
                <w:color w:val="auto"/>
              </w:rPr>
            </w:pPr>
          </w:p>
        </w:tc>
        <w:tc>
          <w:tcPr>
            <w:tcW w:w="2860" w:type="dxa"/>
            <w:vAlign w:val="bottom"/>
            <w:shd w:val="clear" w:color="auto" w:fill="98D9AA"/>
          </w:tcPr>
          <w:p>
            <w:pPr>
              <w:ind w:left="100"/>
              <w:spacing w:after="0"/>
              <w:rPr>
                <w:sz w:val="20"/>
                <w:szCs w:val="20"/>
                <w:color w:val="auto"/>
              </w:rPr>
            </w:pPr>
            <w:r>
              <w:rPr>
                <w:rFonts w:ascii="Arial" w:cs="Arial" w:eastAsia="Arial" w:hAnsi="Arial"/>
                <w:sz w:val="18"/>
                <w:szCs w:val="18"/>
                <w:color w:val="auto"/>
              </w:rPr>
              <w:t>shareholders by rewarding long-</w:t>
            </w:r>
          </w:p>
        </w:tc>
        <w:tc>
          <w:tcPr>
            <w:tcW w:w="2960" w:type="dxa"/>
            <w:vAlign w:val="bottom"/>
            <w:shd w:val="clear" w:color="auto" w:fill="98D9AA"/>
          </w:tcPr>
          <w:p>
            <w:pPr>
              <w:ind w:left="160"/>
              <w:spacing w:after="0"/>
              <w:rPr>
                <w:sz w:val="20"/>
                <w:szCs w:val="20"/>
                <w:color w:val="auto"/>
              </w:rPr>
            </w:pPr>
            <w:r>
              <w:rPr>
                <w:rFonts w:ascii="Arial" w:cs="Arial" w:eastAsia="Arial" w:hAnsi="Arial"/>
                <w:sz w:val="18"/>
                <w:szCs w:val="18"/>
                <w:color w:val="auto"/>
              </w:rPr>
              <w:t>multi-year vesting (three to</w:t>
            </w:r>
          </w:p>
        </w:tc>
      </w:tr>
      <w:tr>
        <w:trPr>
          <w:trHeight w:val="216"/>
        </w:trPr>
        <w:tc>
          <w:tcPr>
            <w:tcW w:w="2940" w:type="dxa"/>
            <w:vAlign w:val="bottom"/>
            <w:tcBorders>
              <w:right w:val="single" w:sz="8" w:color="FEFEFE"/>
            </w:tcBorders>
            <w:shd w:val="clear" w:color="auto" w:fill="98D9AA"/>
          </w:tcPr>
          <w:p>
            <w:pPr>
              <w:spacing w:after="0"/>
              <w:rPr>
                <w:sz w:val="18"/>
                <w:szCs w:val="18"/>
                <w:color w:val="auto"/>
              </w:rPr>
            </w:pPr>
          </w:p>
        </w:tc>
        <w:tc>
          <w:tcPr>
            <w:tcW w:w="2860" w:type="dxa"/>
            <w:vAlign w:val="bottom"/>
            <w:shd w:val="clear" w:color="auto" w:fill="98D9AA"/>
          </w:tcPr>
          <w:p>
            <w:pPr>
              <w:ind w:left="100"/>
              <w:spacing w:after="0"/>
              <w:rPr>
                <w:sz w:val="20"/>
                <w:szCs w:val="20"/>
                <w:color w:val="auto"/>
              </w:rPr>
            </w:pPr>
            <w:r>
              <w:rPr>
                <w:rFonts w:ascii="Arial" w:cs="Arial" w:eastAsia="Arial" w:hAnsi="Arial"/>
                <w:sz w:val="18"/>
                <w:szCs w:val="18"/>
                <w:color w:val="auto"/>
              </w:rPr>
              <w:t>term shareholder value creation.</w:t>
            </w:r>
          </w:p>
        </w:tc>
        <w:tc>
          <w:tcPr>
            <w:tcW w:w="2960" w:type="dxa"/>
            <w:vAlign w:val="bottom"/>
            <w:shd w:val="clear" w:color="auto" w:fill="98D9AA"/>
          </w:tcPr>
          <w:p>
            <w:pPr>
              <w:ind w:left="160"/>
              <w:spacing w:after="0"/>
              <w:rPr>
                <w:sz w:val="20"/>
                <w:szCs w:val="20"/>
                <w:color w:val="auto"/>
              </w:rPr>
            </w:pPr>
            <w:r>
              <w:rPr>
                <w:rFonts w:ascii="Arial" w:cs="Arial" w:eastAsia="Arial" w:hAnsi="Arial"/>
                <w:sz w:val="18"/>
                <w:szCs w:val="18"/>
                <w:color w:val="auto"/>
              </w:rPr>
              <w:t>four years) and rewards share</w:t>
            </w:r>
          </w:p>
        </w:tc>
      </w:tr>
      <w:tr>
        <w:trPr>
          <w:trHeight w:val="270"/>
        </w:trPr>
        <w:tc>
          <w:tcPr>
            <w:tcW w:w="2940" w:type="dxa"/>
            <w:vAlign w:val="bottom"/>
            <w:tcBorders>
              <w:right w:val="single" w:sz="8" w:color="FEFEFE"/>
            </w:tcBorders>
            <w:shd w:val="clear" w:color="auto" w:fill="98D9AA"/>
          </w:tcPr>
          <w:p>
            <w:pPr>
              <w:spacing w:after="0"/>
              <w:rPr>
                <w:sz w:val="23"/>
                <w:szCs w:val="23"/>
                <w:color w:val="auto"/>
              </w:rPr>
            </w:pPr>
          </w:p>
        </w:tc>
        <w:tc>
          <w:tcPr>
            <w:tcW w:w="2860" w:type="dxa"/>
            <w:vAlign w:val="bottom"/>
            <w:shd w:val="clear" w:color="auto" w:fill="98D9AA"/>
          </w:tcPr>
          <w:p>
            <w:pPr>
              <w:ind w:left="100"/>
              <w:spacing w:after="0"/>
              <w:rPr>
                <w:sz w:val="20"/>
                <w:szCs w:val="20"/>
                <w:color w:val="auto"/>
              </w:rPr>
            </w:pPr>
            <w:r>
              <w:rPr>
                <w:rFonts w:ascii="Arial" w:cs="Arial" w:eastAsia="Arial" w:hAnsi="Arial"/>
                <w:sz w:val="18"/>
                <w:szCs w:val="18"/>
                <w:color w:val="auto"/>
              </w:rPr>
              <w:t>Reward stock price appreciation</w:t>
            </w:r>
          </w:p>
        </w:tc>
        <w:tc>
          <w:tcPr>
            <w:tcW w:w="2960" w:type="dxa"/>
            <w:vAlign w:val="bottom"/>
            <w:shd w:val="clear" w:color="auto" w:fill="98D9AA"/>
          </w:tcPr>
          <w:p>
            <w:pPr>
              <w:ind w:left="160"/>
              <w:spacing w:after="0"/>
              <w:rPr>
                <w:sz w:val="20"/>
                <w:szCs w:val="20"/>
                <w:color w:val="auto"/>
              </w:rPr>
            </w:pPr>
            <w:r>
              <w:rPr>
                <w:rFonts w:ascii="Arial" w:cs="Arial" w:eastAsia="Arial" w:hAnsi="Arial"/>
                <w:sz w:val="18"/>
                <w:szCs w:val="18"/>
                <w:color w:val="auto"/>
              </w:rPr>
              <w:t>price appreciation.</w:t>
            </w:r>
          </w:p>
        </w:tc>
      </w:tr>
      <w:tr>
        <w:trPr>
          <w:trHeight w:val="216"/>
        </w:trPr>
        <w:tc>
          <w:tcPr>
            <w:tcW w:w="2940" w:type="dxa"/>
            <w:vAlign w:val="bottom"/>
            <w:tcBorders>
              <w:right w:val="single" w:sz="8" w:color="FEFEFE"/>
            </w:tcBorders>
            <w:shd w:val="clear" w:color="auto" w:fill="98D9AA"/>
          </w:tcPr>
          <w:p>
            <w:pPr>
              <w:spacing w:after="0"/>
              <w:rPr>
                <w:sz w:val="18"/>
                <w:szCs w:val="18"/>
                <w:color w:val="auto"/>
              </w:rPr>
            </w:pPr>
          </w:p>
        </w:tc>
        <w:tc>
          <w:tcPr>
            <w:tcW w:w="2860" w:type="dxa"/>
            <w:vAlign w:val="bottom"/>
            <w:shd w:val="clear" w:color="auto" w:fill="98D9AA"/>
          </w:tcPr>
          <w:p>
            <w:pPr>
              <w:ind w:left="100"/>
              <w:spacing w:after="0"/>
              <w:rPr>
                <w:sz w:val="20"/>
                <w:szCs w:val="20"/>
                <w:color w:val="auto"/>
              </w:rPr>
            </w:pPr>
            <w:r>
              <w:rPr>
                <w:rFonts w:ascii="Arial" w:cs="Arial" w:eastAsia="Arial" w:hAnsi="Arial"/>
                <w:sz w:val="18"/>
                <w:szCs w:val="18"/>
                <w:color w:val="auto"/>
              </w:rPr>
              <w:t>and tie executive wealth</w:t>
            </w:r>
          </w:p>
        </w:tc>
        <w:tc>
          <w:tcPr>
            <w:tcW w:w="2960" w:type="dxa"/>
            <w:vAlign w:val="bottom"/>
            <w:shd w:val="clear" w:color="auto" w:fill="98D9AA"/>
          </w:tcPr>
          <w:p>
            <w:pPr>
              <w:ind w:left="160"/>
              <w:spacing w:after="0"/>
              <w:rPr>
                <w:sz w:val="20"/>
                <w:szCs w:val="20"/>
                <w:color w:val="auto"/>
              </w:rPr>
            </w:pPr>
            <w:r>
              <w:rPr>
                <w:rFonts w:ascii="Arial" w:cs="Arial" w:eastAsia="Arial" w:hAnsi="Arial"/>
                <w:sz w:val="18"/>
                <w:szCs w:val="18"/>
                <w:color w:val="auto"/>
              </w:rPr>
              <w:t>Performance Share Units (PSUs)</w:t>
            </w:r>
          </w:p>
        </w:tc>
      </w:tr>
      <w:tr>
        <w:trPr>
          <w:trHeight w:val="216"/>
        </w:trPr>
        <w:tc>
          <w:tcPr>
            <w:tcW w:w="2940" w:type="dxa"/>
            <w:vAlign w:val="bottom"/>
            <w:tcBorders>
              <w:right w:val="single" w:sz="8" w:color="FEFEFE"/>
            </w:tcBorders>
            <w:shd w:val="clear" w:color="auto" w:fill="98D9AA"/>
          </w:tcPr>
          <w:p>
            <w:pPr>
              <w:spacing w:after="0"/>
              <w:rPr>
                <w:sz w:val="18"/>
                <w:szCs w:val="18"/>
                <w:color w:val="auto"/>
              </w:rPr>
            </w:pPr>
          </w:p>
        </w:tc>
        <w:tc>
          <w:tcPr>
            <w:tcW w:w="2860" w:type="dxa"/>
            <w:vAlign w:val="bottom"/>
            <w:shd w:val="clear" w:color="auto" w:fill="98D9AA"/>
          </w:tcPr>
          <w:p>
            <w:pPr>
              <w:ind w:left="100"/>
              <w:spacing w:after="0"/>
              <w:rPr>
                <w:sz w:val="20"/>
                <w:szCs w:val="20"/>
                <w:color w:val="auto"/>
              </w:rPr>
            </w:pPr>
            <w:r>
              <w:rPr>
                <w:rFonts w:ascii="Arial" w:cs="Arial" w:eastAsia="Arial" w:hAnsi="Arial"/>
                <w:sz w:val="18"/>
                <w:szCs w:val="18"/>
                <w:color w:val="auto"/>
              </w:rPr>
              <w:t>accumulation to long-term</w:t>
            </w:r>
          </w:p>
        </w:tc>
        <w:tc>
          <w:tcPr>
            <w:tcW w:w="2960" w:type="dxa"/>
            <w:vAlign w:val="bottom"/>
            <w:shd w:val="clear" w:color="auto" w:fill="98D9AA"/>
          </w:tcPr>
          <w:p>
            <w:pPr>
              <w:ind w:left="160"/>
              <w:spacing w:after="0"/>
              <w:rPr>
                <w:sz w:val="20"/>
                <w:szCs w:val="20"/>
                <w:color w:val="auto"/>
              </w:rPr>
            </w:pPr>
            <w:r>
              <w:rPr>
                <w:rFonts w:ascii="Arial" w:cs="Arial" w:eastAsia="Arial" w:hAnsi="Arial"/>
                <w:sz w:val="18"/>
                <w:szCs w:val="18"/>
                <w:color w:val="auto"/>
              </w:rPr>
              <w:t>vest, if at all, at the end of a three-</w:t>
            </w:r>
          </w:p>
        </w:tc>
      </w:tr>
      <w:tr>
        <w:trPr>
          <w:trHeight w:val="216"/>
        </w:trPr>
        <w:tc>
          <w:tcPr>
            <w:tcW w:w="2940" w:type="dxa"/>
            <w:vAlign w:val="bottom"/>
            <w:tcBorders>
              <w:right w:val="single" w:sz="8" w:color="FEFEFE"/>
            </w:tcBorders>
            <w:shd w:val="clear" w:color="auto" w:fill="98D9AA"/>
          </w:tcPr>
          <w:p>
            <w:pPr>
              <w:spacing w:after="0"/>
              <w:rPr>
                <w:sz w:val="18"/>
                <w:szCs w:val="18"/>
                <w:color w:val="auto"/>
              </w:rPr>
            </w:pPr>
          </w:p>
        </w:tc>
        <w:tc>
          <w:tcPr>
            <w:tcW w:w="2860" w:type="dxa"/>
            <w:vAlign w:val="bottom"/>
            <w:shd w:val="clear" w:color="auto" w:fill="98D9AA"/>
          </w:tcPr>
          <w:p>
            <w:pPr>
              <w:ind w:left="100"/>
              <w:spacing w:after="0"/>
              <w:rPr>
                <w:sz w:val="20"/>
                <w:szCs w:val="20"/>
                <w:color w:val="auto"/>
              </w:rPr>
            </w:pPr>
            <w:r>
              <w:rPr>
                <w:rFonts w:ascii="Arial" w:cs="Arial" w:eastAsia="Arial" w:hAnsi="Arial"/>
                <w:sz w:val="18"/>
                <w:szCs w:val="18"/>
                <w:color w:val="auto"/>
              </w:rPr>
              <w:t>performance.</w:t>
            </w:r>
          </w:p>
        </w:tc>
        <w:tc>
          <w:tcPr>
            <w:tcW w:w="2960" w:type="dxa"/>
            <w:vAlign w:val="bottom"/>
            <w:shd w:val="clear" w:color="auto" w:fill="98D9AA"/>
          </w:tcPr>
          <w:p>
            <w:pPr>
              <w:ind w:left="160"/>
              <w:spacing w:after="0"/>
              <w:rPr>
                <w:sz w:val="20"/>
                <w:szCs w:val="20"/>
                <w:color w:val="auto"/>
              </w:rPr>
            </w:pPr>
            <w:r>
              <w:rPr>
                <w:rFonts w:ascii="Arial" w:cs="Arial" w:eastAsia="Arial" w:hAnsi="Arial"/>
                <w:sz w:val="18"/>
                <w:szCs w:val="18"/>
                <w:color w:val="auto"/>
              </w:rPr>
              <w:t>year period depending on meeting</w:t>
            </w:r>
          </w:p>
        </w:tc>
      </w:tr>
      <w:tr>
        <w:trPr>
          <w:trHeight w:val="262"/>
        </w:trPr>
        <w:tc>
          <w:tcPr>
            <w:tcW w:w="2940" w:type="dxa"/>
            <w:vAlign w:val="bottom"/>
            <w:tcBorders>
              <w:right w:val="single" w:sz="8" w:color="FEFEFE"/>
            </w:tcBorders>
            <w:shd w:val="clear" w:color="auto" w:fill="98D9AA"/>
          </w:tcPr>
          <w:p>
            <w:pPr>
              <w:spacing w:after="0"/>
              <w:rPr>
                <w:sz w:val="22"/>
                <w:szCs w:val="22"/>
                <w:color w:val="auto"/>
              </w:rPr>
            </w:pPr>
          </w:p>
        </w:tc>
        <w:tc>
          <w:tcPr>
            <w:tcW w:w="2860" w:type="dxa"/>
            <w:vAlign w:val="bottom"/>
            <w:shd w:val="clear" w:color="auto" w:fill="98D9AA"/>
          </w:tcPr>
          <w:p>
            <w:pPr>
              <w:spacing w:after="0"/>
              <w:rPr>
                <w:sz w:val="22"/>
                <w:szCs w:val="22"/>
                <w:color w:val="auto"/>
              </w:rPr>
            </w:pPr>
          </w:p>
        </w:tc>
        <w:tc>
          <w:tcPr>
            <w:tcW w:w="2960" w:type="dxa"/>
            <w:vAlign w:val="bottom"/>
            <w:shd w:val="clear" w:color="auto" w:fill="98D9AA"/>
          </w:tcPr>
          <w:p>
            <w:pPr>
              <w:ind w:left="160"/>
              <w:spacing w:after="0"/>
              <w:rPr>
                <w:sz w:val="20"/>
                <w:szCs w:val="20"/>
                <w:color w:val="auto"/>
              </w:rPr>
            </w:pPr>
            <w:r>
              <w:rPr>
                <w:rFonts w:ascii="Arial" w:cs="Arial" w:eastAsia="Arial" w:hAnsi="Arial"/>
                <w:sz w:val="18"/>
                <w:szCs w:val="18"/>
                <w:color w:val="auto"/>
              </w:rPr>
              <w:t>performance goals.</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3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44     </w:t>
      </w:r>
      <w:r>
        <w:rPr>
          <w:sz w:val="1"/>
          <w:szCs w:val="1"/>
          <w:color w:val="auto"/>
        </w:rPr>
        <w:drawing>
          <wp:inline distT="0" distB="0" distL="0" distR="0">
            <wp:extent cx="1242695" cy="24003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43" w:lineRule="exact"/>
        <w:rPr>
          <w:sz w:val="20"/>
          <w:szCs w:val="20"/>
          <w:color w:val="auto"/>
        </w:rPr>
      </w:pPr>
    </w:p>
    <w:p>
      <w:pPr>
        <w:jc w:val="right"/>
        <w:ind w:right="139"/>
        <w:spacing w:after="0"/>
        <w:tabs>
          <w:tab w:leader="none" w:pos="2460" w:val="left"/>
        </w:tabs>
        <w:rPr>
          <w:sz w:val="20"/>
          <w:szCs w:val="20"/>
          <w:color w:val="auto"/>
        </w:rPr>
      </w:pPr>
      <w:r>
        <w:rPr>
          <w:rFonts w:ascii="Arial" w:cs="Arial" w:eastAsia="Arial" w:hAnsi="Arial"/>
          <w:sz w:val="28"/>
          <w:szCs w:val="28"/>
          <w:b w:val="1"/>
          <w:bCs w:val="1"/>
          <w:color w:val="53C072"/>
          <w:vertAlign w:val="superscript"/>
        </w:rPr>
        <w:t>2025 ANNUAL</w:t>
      </w:r>
      <w:r>
        <w:rPr>
          <w:rFonts w:ascii="Arial" w:cs="Arial" w:eastAsia="Arial" w:hAnsi="Arial"/>
          <w:sz w:val="28"/>
          <w:szCs w:val="28"/>
          <w:b w:val="1"/>
          <w:bCs w:val="1"/>
          <w:color w:val="auto"/>
          <w:vertAlign w:val="superscript"/>
        </w:rPr>
        <w:t xml:space="preserve"> </w:t>
      </w:r>
      <w:r>
        <w:rPr>
          <w:sz w:val="20"/>
          <w:szCs w:val="20"/>
          <w:color w:val="auto"/>
        </w:rPr>
        <w:tab/>
      </w:r>
      <w:r>
        <w:rPr>
          <w:rFonts w:ascii="Arial" w:cs="Arial" w:eastAsia="Arial" w:hAnsi="Arial"/>
          <w:sz w:val="14"/>
          <w:szCs w:val="14"/>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000" w:right="439"/>
        <w:spacing w:after="0" w:line="287" w:lineRule="auto"/>
        <w:rPr>
          <w:sz w:val="20"/>
          <w:szCs w:val="20"/>
          <w:color w:val="auto"/>
        </w:rPr>
      </w:pPr>
      <w:r>
        <w:rPr>
          <w:rFonts w:ascii="Arial" w:cs="Arial" w:eastAsia="Arial" w:hAnsi="Arial"/>
          <w:sz w:val="18"/>
          <w:szCs w:val="18"/>
          <w:color w:val="auto"/>
        </w:rPr>
        <w:t>In addition, each NEO may be eligible to receive certain other benefits summarized below. See “Elements of Executive Compensation — Additional Compensation Elements” for more information.</w:t>
      </w:r>
    </w:p>
    <w:p>
      <w:pPr>
        <w:spacing w:after="0" w:line="131"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3380" w:type="dxa"/>
            <w:vAlign w:val="bottom"/>
            <w:tcBorders>
              <w:right w:val="single" w:sz="8" w:color="FEFEFE"/>
            </w:tcBorders>
            <w:shd w:val="clear" w:color="auto" w:fill="53C072"/>
          </w:tcPr>
          <w:p>
            <w:pPr>
              <w:ind w:left="140"/>
              <w:spacing w:after="0"/>
              <w:rPr>
                <w:sz w:val="20"/>
                <w:szCs w:val="20"/>
                <w:color w:val="auto"/>
              </w:rPr>
            </w:pPr>
            <w:r>
              <w:rPr>
                <w:rFonts w:ascii="Arial" w:cs="Arial" w:eastAsia="Arial" w:hAnsi="Arial"/>
                <w:sz w:val="14"/>
                <w:szCs w:val="14"/>
                <w:b w:val="1"/>
                <w:bCs w:val="1"/>
                <w:color w:val="FFFFFF"/>
              </w:rPr>
              <w:t>Pay Component</w:t>
            </w:r>
          </w:p>
        </w:tc>
        <w:tc>
          <w:tcPr>
            <w:tcW w:w="5380" w:type="dxa"/>
            <w:vAlign w:val="bottom"/>
            <w:shd w:val="clear" w:color="auto" w:fill="53C072"/>
          </w:tcPr>
          <w:p>
            <w:pPr>
              <w:ind w:left="80"/>
              <w:spacing w:after="0"/>
              <w:rPr>
                <w:sz w:val="20"/>
                <w:szCs w:val="20"/>
                <w:color w:val="auto"/>
              </w:rPr>
            </w:pPr>
            <w:r>
              <w:rPr>
                <w:rFonts w:ascii="Arial" w:cs="Arial" w:eastAsia="Arial" w:hAnsi="Arial"/>
                <w:sz w:val="14"/>
                <w:szCs w:val="14"/>
                <w:b w:val="1"/>
                <w:bCs w:val="1"/>
                <w:color w:val="FFFFFF"/>
              </w:rPr>
              <w:t>Brief Description</w:t>
            </w:r>
          </w:p>
        </w:tc>
      </w:tr>
      <w:tr>
        <w:trPr>
          <w:trHeight w:val="247"/>
        </w:trPr>
        <w:tc>
          <w:tcPr>
            <w:tcW w:w="3380" w:type="dxa"/>
            <w:vAlign w:val="bottom"/>
            <w:tcBorders>
              <w:right w:val="single" w:sz="8" w:color="FEFEFE"/>
            </w:tcBorders>
            <w:shd w:val="clear" w:color="auto" w:fill="98D9AA"/>
          </w:tcPr>
          <w:p>
            <w:pPr>
              <w:ind w:left="140"/>
              <w:spacing w:after="0"/>
              <w:rPr>
                <w:sz w:val="20"/>
                <w:szCs w:val="20"/>
                <w:color w:val="auto"/>
              </w:rPr>
            </w:pPr>
            <w:r>
              <w:rPr>
                <w:rFonts w:ascii="Arial" w:cs="Arial" w:eastAsia="Arial" w:hAnsi="Arial"/>
                <w:sz w:val="18"/>
                <w:szCs w:val="18"/>
                <w:b w:val="1"/>
                <w:bCs w:val="1"/>
                <w:color w:val="auto"/>
              </w:rPr>
              <w:t>Retirement Benefits</w:t>
            </w:r>
          </w:p>
        </w:tc>
        <w:tc>
          <w:tcPr>
            <w:tcW w:w="5380" w:type="dxa"/>
            <w:vAlign w:val="bottom"/>
            <w:shd w:val="clear" w:color="auto" w:fill="98D9AA"/>
          </w:tcPr>
          <w:p>
            <w:pPr>
              <w:ind w:left="80"/>
              <w:spacing w:after="0"/>
              <w:rPr>
                <w:sz w:val="20"/>
                <w:szCs w:val="20"/>
                <w:color w:val="auto"/>
              </w:rPr>
            </w:pPr>
            <w:r>
              <w:rPr>
                <w:rFonts w:ascii="Arial" w:cs="Arial" w:eastAsia="Arial" w:hAnsi="Arial"/>
                <w:sz w:val="18"/>
                <w:szCs w:val="18"/>
                <w:color w:val="53C072"/>
              </w:rPr>
              <w:t xml:space="preserve">• </w:t>
            </w:r>
            <w:r>
              <w:rPr>
                <w:rFonts w:ascii="Arial" w:cs="Arial" w:eastAsia="Arial" w:hAnsi="Arial"/>
                <w:sz w:val="18"/>
                <w:szCs w:val="18"/>
                <w:color w:val="000000"/>
              </w:rPr>
              <w:t>Qualified cash balance plan (Pension Plan)</w:t>
            </w:r>
          </w:p>
        </w:tc>
      </w:tr>
      <w:tr>
        <w:trPr>
          <w:trHeight w:val="243"/>
        </w:trPr>
        <w:tc>
          <w:tcPr>
            <w:tcW w:w="3380" w:type="dxa"/>
            <w:vAlign w:val="bottom"/>
            <w:tcBorders>
              <w:right w:val="single" w:sz="8" w:color="FEFEFE"/>
            </w:tcBorders>
            <w:shd w:val="clear" w:color="auto" w:fill="98D9AA"/>
          </w:tcPr>
          <w:p>
            <w:pPr>
              <w:spacing w:after="0"/>
              <w:rPr>
                <w:sz w:val="21"/>
                <w:szCs w:val="21"/>
                <w:color w:val="auto"/>
              </w:rPr>
            </w:pPr>
          </w:p>
        </w:tc>
        <w:tc>
          <w:tcPr>
            <w:tcW w:w="5380" w:type="dxa"/>
            <w:vAlign w:val="bottom"/>
            <w:shd w:val="clear" w:color="auto" w:fill="98D9AA"/>
          </w:tcPr>
          <w:p>
            <w:pPr>
              <w:ind w:left="80"/>
              <w:spacing w:after="0"/>
              <w:rPr>
                <w:sz w:val="20"/>
                <w:szCs w:val="20"/>
                <w:color w:val="auto"/>
              </w:rPr>
            </w:pPr>
            <w:r>
              <w:rPr>
                <w:rFonts w:ascii="Arial" w:cs="Arial" w:eastAsia="Arial" w:hAnsi="Arial"/>
                <w:sz w:val="18"/>
                <w:szCs w:val="18"/>
                <w:color w:val="53C072"/>
              </w:rPr>
              <w:t xml:space="preserve">• </w:t>
            </w:r>
            <w:r>
              <w:rPr>
                <w:rFonts w:ascii="Arial" w:cs="Arial" w:eastAsia="Arial" w:hAnsi="Arial"/>
                <w:sz w:val="18"/>
                <w:szCs w:val="18"/>
                <w:color w:val="000000"/>
              </w:rPr>
              <w:t>Qualified defined contribution plan (401(k) Plan)</w:t>
            </w:r>
          </w:p>
        </w:tc>
      </w:tr>
      <w:tr>
        <w:trPr>
          <w:trHeight w:val="284"/>
        </w:trPr>
        <w:tc>
          <w:tcPr>
            <w:tcW w:w="3380" w:type="dxa"/>
            <w:vAlign w:val="bottom"/>
            <w:tcBorders>
              <w:right w:val="single" w:sz="8" w:color="FEFEFE"/>
            </w:tcBorders>
            <w:shd w:val="clear" w:color="auto" w:fill="98D9AA"/>
          </w:tcPr>
          <w:p>
            <w:pPr>
              <w:spacing w:after="0"/>
              <w:rPr>
                <w:sz w:val="24"/>
                <w:szCs w:val="24"/>
                <w:color w:val="auto"/>
              </w:rPr>
            </w:pPr>
          </w:p>
        </w:tc>
        <w:tc>
          <w:tcPr>
            <w:tcW w:w="5380" w:type="dxa"/>
            <w:vAlign w:val="bottom"/>
            <w:shd w:val="clear" w:color="auto" w:fill="98D9AA"/>
          </w:tcPr>
          <w:p>
            <w:pPr>
              <w:ind w:left="80"/>
              <w:spacing w:after="0"/>
              <w:rPr>
                <w:sz w:val="20"/>
                <w:szCs w:val="20"/>
                <w:color w:val="auto"/>
              </w:rPr>
            </w:pPr>
            <w:r>
              <w:rPr>
                <w:rFonts w:ascii="Arial" w:cs="Arial" w:eastAsia="Arial" w:hAnsi="Arial"/>
                <w:sz w:val="18"/>
                <w:szCs w:val="18"/>
                <w:color w:val="53C072"/>
              </w:rPr>
              <w:t xml:space="preserve">• </w:t>
            </w:r>
            <w:r>
              <w:rPr>
                <w:rFonts w:ascii="Arial" w:cs="Arial" w:eastAsia="Arial" w:hAnsi="Arial"/>
                <w:sz w:val="18"/>
                <w:szCs w:val="18"/>
                <w:color w:val="000000"/>
              </w:rPr>
              <w:t>Nonqualified retirement plans</w:t>
            </w:r>
          </w:p>
        </w:tc>
      </w:tr>
      <w:tr>
        <w:trPr>
          <w:trHeight w:val="245"/>
        </w:trPr>
        <w:tc>
          <w:tcPr>
            <w:tcW w:w="3380" w:type="dxa"/>
            <w:vAlign w:val="bottom"/>
            <w:tcBorders>
              <w:right w:val="single" w:sz="8" w:color="FEFEFE"/>
            </w:tcBorders>
            <w:shd w:val="clear" w:color="auto" w:fill="CBECD5"/>
          </w:tcPr>
          <w:p>
            <w:pPr>
              <w:ind w:left="140"/>
              <w:spacing w:after="0"/>
              <w:rPr>
                <w:sz w:val="20"/>
                <w:szCs w:val="20"/>
                <w:color w:val="auto"/>
              </w:rPr>
            </w:pPr>
            <w:r>
              <w:rPr>
                <w:rFonts w:ascii="Arial" w:cs="Arial" w:eastAsia="Arial" w:hAnsi="Arial"/>
                <w:sz w:val="18"/>
                <w:szCs w:val="18"/>
                <w:b w:val="1"/>
                <w:bCs w:val="1"/>
                <w:color w:val="auto"/>
              </w:rPr>
              <w:t>Executive Benefits</w:t>
            </w:r>
          </w:p>
        </w:tc>
        <w:tc>
          <w:tcPr>
            <w:tcW w:w="5380" w:type="dxa"/>
            <w:vAlign w:val="bottom"/>
            <w:shd w:val="clear" w:color="auto" w:fill="CBECD5"/>
          </w:tcPr>
          <w:p>
            <w:pPr>
              <w:ind w:left="80"/>
              <w:spacing w:after="0"/>
              <w:rPr>
                <w:sz w:val="20"/>
                <w:szCs w:val="20"/>
                <w:color w:val="auto"/>
              </w:rPr>
            </w:pPr>
            <w:r>
              <w:rPr>
                <w:rFonts w:ascii="Arial" w:cs="Arial" w:eastAsia="Arial" w:hAnsi="Arial"/>
                <w:sz w:val="18"/>
                <w:szCs w:val="18"/>
                <w:color w:val="auto"/>
              </w:rPr>
              <w:t>Limited perquisites</w:t>
            </w:r>
          </w:p>
        </w:tc>
      </w:tr>
      <w:tr>
        <w:trPr>
          <w:trHeight w:val="217"/>
        </w:trPr>
        <w:tc>
          <w:tcPr>
            <w:tcW w:w="3380" w:type="dxa"/>
            <w:vAlign w:val="bottom"/>
            <w:tcBorders>
              <w:right w:val="single" w:sz="8" w:color="FEFEFE"/>
            </w:tcBorders>
            <w:shd w:val="clear" w:color="auto" w:fill="98D9AA"/>
          </w:tcPr>
          <w:p>
            <w:pPr>
              <w:ind w:left="140"/>
              <w:spacing w:after="0"/>
              <w:rPr>
                <w:sz w:val="20"/>
                <w:szCs w:val="20"/>
                <w:color w:val="auto"/>
              </w:rPr>
            </w:pPr>
            <w:r>
              <w:rPr>
                <w:rFonts w:ascii="Arial" w:cs="Arial" w:eastAsia="Arial" w:hAnsi="Arial"/>
                <w:sz w:val="18"/>
                <w:szCs w:val="18"/>
                <w:b w:val="1"/>
                <w:bCs w:val="1"/>
                <w:color w:val="auto"/>
              </w:rPr>
              <w:t>Change of Control Agreements</w:t>
            </w:r>
          </w:p>
        </w:tc>
        <w:tc>
          <w:tcPr>
            <w:tcW w:w="5380" w:type="dxa"/>
            <w:vAlign w:val="bottom"/>
            <w:shd w:val="clear" w:color="auto" w:fill="98D9AA"/>
          </w:tcPr>
          <w:p>
            <w:pPr>
              <w:ind w:left="80"/>
              <w:spacing w:after="0"/>
              <w:rPr>
                <w:sz w:val="20"/>
                <w:szCs w:val="20"/>
                <w:color w:val="auto"/>
              </w:rPr>
            </w:pPr>
            <w:r>
              <w:rPr>
                <w:rFonts w:ascii="Arial" w:cs="Arial" w:eastAsia="Arial" w:hAnsi="Arial"/>
                <w:sz w:val="18"/>
                <w:szCs w:val="18"/>
                <w:color w:val="auto"/>
              </w:rPr>
              <w:t>Individual agreements providing enhanced severance for a</w:t>
            </w:r>
          </w:p>
        </w:tc>
      </w:tr>
      <w:tr>
        <w:trPr>
          <w:trHeight w:val="216"/>
        </w:trPr>
        <w:tc>
          <w:tcPr>
            <w:tcW w:w="3380" w:type="dxa"/>
            <w:vAlign w:val="bottom"/>
            <w:tcBorders>
              <w:right w:val="single" w:sz="8" w:color="FEFEFE"/>
            </w:tcBorders>
            <w:shd w:val="clear" w:color="auto" w:fill="98D9AA"/>
          </w:tcPr>
          <w:p>
            <w:pPr>
              <w:spacing w:after="0"/>
              <w:rPr>
                <w:sz w:val="18"/>
                <w:szCs w:val="18"/>
                <w:color w:val="auto"/>
              </w:rPr>
            </w:pPr>
          </w:p>
        </w:tc>
        <w:tc>
          <w:tcPr>
            <w:tcW w:w="5380" w:type="dxa"/>
            <w:vAlign w:val="bottom"/>
            <w:shd w:val="clear" w:color="auto" w:fill="98D9AA"/>
          </w:tcPr>
          <w:p>
            <w:pPr>
              <w:ind w:left="80"/>
              <w:spacing w:after="0"/>
              <w:rPr>
                <w:sz w:val="20"/>
                <w:szCs w:val="20"/>
                <w:color w:val="auto"/>
              </w:rPr>
            </w:pPr>
            <w:r>
              <w:rPr>
                <w:rFonts w:ascii="Arial" w:cs="Arial" w:eastAsia="Arial" w:hAnsi="Arial"/>
                <w:sz w:val="18"/>
                <w:szCs w:val="18"/>
                <w:color w:val="auto"/>
              </w:rPr>
              <w:t>qualifying termination following a change of control of the</w:t>
            </w:r>
          </w:p>
        </w:tc>
      </w:tr>
      <w:tr>
        <w:trPr>
          <w:trHeight w:val="242"/>
        </w:trPr>
        <w:tc>
          <w:tcPr>
            <w:tcW w:w="3380" w:type="dxa"/>
            <w:vAlign w:val="bottom"/>
            <w:tcBorders>
              <w:right w:val="single" w:sz="8" w:color="FEFEFE"/>
            </w:tcBorders>
            <w:shd w:val="clear" w:color="auto" w:fill="98D9AA"/>
          </w:tcPr>
          <w:p>
            <w:pPr>
              <w:spacing w:after="0"/>
              <w:rPr>
                <w:sz w:val="21"/>
                <w:szCs w:val="21"/>
                <w:color w:val="auto"/>
              </w:rPr>
            </w:pPr>
          </w:p>
        </w:tc>
        <w:tc>
          <w:tcPr>
            <w:tcW w:w="5380" w:type="dxa"/>
            <w:vAlign w:val="bottom"/>
            <w:shd w:val="clear" w:color="auto" w:fill="98D9AA"/>
          </w:tcPr>
          <w:p>
            <w:pPr>
              <w:ind w:left="80"/>
              <w:spacing w:after="0"/>
              <w:rPr>
                <w:sz w:val="20"/>
                <w:szCs w:val="20"/>
                <w:color w:val="auto"/>
              </w:rPr>
            </w:pPr>
            <w:r>
              <w:rPr>
                <w:rFonts w:ascii="Arial" w:cs="Arial" w:eastAsia="Arial" w:hAnsi="Arial"/>
                <w:sz w:val="18"/>
                <w:szCs w:val="18"/>
                <w:color w:val="auto"/>
              </w:rPr>
              <w:t>Company</w:t>
            </w:r>
          </w:p>
        </w:tc>
      </w:tr>
      <w:tr>
        <w:trPr>
          <w:trHeight w:val="217"/>
        </w:trPr>
        <w:tc>
          <w:tcPr>
            <w:tcW w:w="3380" w:type="dxa"/>
            <w:vAlign w:val="bottom"/>
            <w:tcBorders>
              <w:right w:val="single" w:sz="8" w:color="FEFEFE"/>
            </w:tcBorders>
            <w:shd w:val="clear" w:color="auto" w:fill="CBECD5"/>
          </w:tcPr>
          <w:p>
            <w:pPr>
              <w:ind w:left="140"/>
              <w:spacing w:after="0"/>
              <w:rPr>
                <w:sz w:val="20"/>
                <w:szCs w:val="20"/>
                <w:color w:val="auto"/>
              </w:rPr>
            </w:pPr>
            <w:r>
              <w:rPr>
                <w:rFonts w:ascii="Arial" w:cs="Arial" w:eastAsia="Arial" w:hAnsi="Arial"/>
                <w:sz w:val="18"/>
                <w:szCs w:val="18"/>
                <w:b w:val="1"/>
                <w:bCs w:val="1"/>
                <w:color w:val="auto"/>
              </w:rPr>
              <w:t>Executive Severance Plan</w:t>
            </w:r>
          </w:p>
        </w:tc>
        <w:tc>
          <w:tcPr>
            <w:tcW w:w="5380" w:type="dxa"/>
            <w:vAlign w:val="bottom"/>
            <w:shd w:val="clear" w:color="auto" w:fill="CBECD5"/>
          </w:tcPr>
          <w:p>
            <w:pPr>
              <w:ind w:left="80"/>
              <w:spacing w:after="0"/>
              <w:rPr>
                <w:sz w:val="20"/>
                <w:szCs w:val="20"/>
                <w:color w:val="auto"/>
              </w:rPr>
            </w:pPr>
            <w:r>
              <w:rPr>
                <w:rFonts w:ascii="Arial" w:cs="Arial" w:eastAsia="Arial" w:hAnsi="Arial"/>
                <w:sz w:val="18"/>
                <w:szCs w:val="18"/>
                <w:color w:val="auto"/>
              </w:rPr>
              <w:t>Plan providing severance benefits for executives, except for those</w:t>
            </w:r>
          </w:p>
        </w:tc>
      </w:tr>
      <w:tr>
        <w:trPr>
          <w:trHeight w:val="242"/>
        </w:trPr>
        <w:tc>
          <w:tcPr>
            <w:tcW w:w="3380" w:type="dxa"/>
            <w:vAlign w:val="bottom"/>
            <w:tcBorders>
              <w:right w:val="single" w:sz="8" w:color="FEFEFE"/>
            </w:tcBorders>
            <w:shd w:val="clear" w:color="auto" w:fill="CBECD5"/>
          </w:tcPr>
          <w:p>
            <w:pPr>
              <w:spacing w:after="0"/>
              <w:rPr>
                <w:sz w:val="21"/>
                <w:szCs w:val="21"/>
                <w:color w:val="auto"/>
              </w:rPr>
            </w:pPr>
          </w:p>
        </w:tc>
        <w:tc>
          <w:tcPr>
            <w:tcW w:w="5380" w:type="dxa"/>
            <w:vAlign w:val="bottom"/>
            <w:shd w:val="clear" w:color="auto" w:fill="CBECD5"/>
          </w:tcPr>
          <w:p>
            <w:pPr>
              <w:ind w:left="80"/>
              <w:spacing w:after="0"/>
              <w:rPr>
                <w:sz w:val="20"/>
                <w:szCs w:val="20"/>
                <w:color w:val="auto"/>
              </w:rPr>
            </w:pPr>
            <w:r>
              <w:rPr>
                <w:rFonts w:ascii="Arial" w:cs="Arial" w:eastAsia="Arial" w:hAnsi="Arial"/>
                <w:sz w:val="18"/>
                <w:szCs w:val="18"/>
                <w:color w:val="auto"/>
              </w:rPr>
              <w:t>covered by their employment agreements</w:t>
            </w:r>
          </w:p>
        </w:tc>
      </w:tr>
      <w:tr>
        <w:trPr>
          <w:trHeight w:val="217"/>
        </w:trPr>
        <w:tc>
          <w:tcPr>
            <w:tcW w:w="3380" w:type="dxa"/>
            <w:vAlign w:val="bottom"/>
            <w:tcBorders>
              <w:right w:val="single" w:sz="8" w:color="FEFEFE"/>
            </w:tcBorders>
            <w:shd w:val="clear" w:color="auto" w:fill="98D9AA"/>
          </w:tcPr>
          <w:p>
            <w:pPr>
              <w:ind w:left="140"/>
              <w:spacing w:after="0"/>
              <w:rPr>
                <w:sz w:val="20"/>
                <w:szCs w:val="20"/>
                <w:color w:val="auto"/>
              </w:rPr>
            </w:pPr>
            <w:r>
              <w:rPr>
                <w:rFonts w:ascii="Arial" w:cs="Arial" w:eastAsia="Arial" w:hAnsi="Arial"/>
                <w:sz w:val="18"/>
                <w:szCs w:val="18"/>
                <w:b w:val="1"/>
                <w:bCs w:val="1"/>
                <w:color w:val="auto"/>
              </w:rPr>
              <w:t>Employee Stock Purchase Plan</w:t>
            </w:r>
          </w:p>
        </w:tc>
        <w:tc>
          <w:tcPr>
            <w:tcW w:w="5380" w:type="dxa"/>
            <w:vAlign w:val="bottom"/>
            <w:shd w:val="clear" w:color="auto" w:fill="98D9AA"/>
          </w:tcPr>
          <w:p>
            <w:pPr>
              <w:ind w:left="80"/>
              <w:spacing w:after="0"/>
              <w:rPr>
                <w:sz w:val="20"/>
                <w:szCs w:val="20"/>
                <w:color w:val="auto"/>
              </w:rPr>
            </w:pPr>
            <w:r>
              <w:rPr>
                <w:rFonts w:ascii="Arial" w:cs="Arial" w:eastAsia="Arial" w:hAnsi="Arial"/>
                <w:sz w:val="18"/>
                <w:szCs w:val="18"/>
                <w:color w:val="auto"/>
              </w:rPr>
              <w:t>Qualified plan permitting Company stock purchases at a 5%</w:t>
            </w:r>
          </w:p>
        </w:tc>
      </w:tr>
      <w:tr>
        <w:trPr>
          <w:trHeight w:val="248"/>
        </w:trPr>
        <w:tc>
          <w:tcPr>
            <w:tcW w:w="3380" w:type="dxa"/>
            <w:vAlign w:val="bottom"/>
            <w:tcBorders>
              <w:right w:val="single" w:sz="8" w:color="FEFEFE"/>
            </w:tcBorders>
            <w:shd w:val="clear" w:color="auto" w:fill="98D9AA"/>
          </w:tcPr>
          <w:p>
            <w:pPr>
              <w:spacing w:after="0"/>
              <w:rPr>
                <w:sz w:val="21"/>
                <w:szCs w:val="21"/>
                <w:color w:val="auto"/>
              </w:rPr>
            </w:pPr>
          </w:p>
        </w:tc>
        <w:tc>
          <w:tcPr>
            <w:tcW w:w="5380" w:type="dxa"/>
            <w:vAlign w:val="bottom"/>
            <w:shd w:val="clear" w:color="auto" w:fill="98D9AA"/>
          </w:tcPr>
          <w:p>
            <w:pPr>
              <w:ind w:left="80"/>
              <w:spacing w:after="0"/>
              <w:rPr>
                <w:sz w:val="20"/>
                <w:szCs w:val="20"/>
                <w:color w:val="auto"/>
              </w:rPr>
            </w:pPr>
            <w:r>
              <w:rPr>
                <w:rFonts w:ascii="Arial" w:cs="Arial" w:eastAsia="Arial" w:hAnsi="Arial"/>
                <w:sz w:val="18"/>
                <w:szCs w:val="18"/>
                <w:color w:val="auto"/>
              </w:rPr>
              <w:t>discount, subject to plan limits</w:t>
            </w:r>
          </w:p>
        </w:tc>
      </w:tr>
    </w:tbl>
    <w:p>
      <w:pPr>
        <w:spacing w:after="0" w:line="125"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Pay Mix</w:t>
      </w:r>
    </w:p>
    <w:p>
      <w:pPr>
        <w:spacing w:after="0" w:line="153" w:lineRule="exact"/>
        <w:rPr>
          <w:sz w:val="20"/>
          <w:szCs w:val="20"/>
          <w:color w:val="auto"/>
        </w:rPr>
      </w:pPr>
    </w:p>
    <w:p>
      <w:pPr>
        <w:jc w:val="both"/>
        <w:ind w:left="1000" w:right="159"/>
        <w:spacing w:after="0" w:line="287" w:lineRule="auto"/>
        <w:rPr>
          <w:sz w:val="20"/>
          <w:szCs w:val="20"/>
          <w:color w:val="auto"/>
        </w:rPr>
      </w:pPr>
      <w:r>
        <w:rPr>
          <w:rFonts w:ascii="Arial" w:cs="Arial" w:eastAsia="Arial" w:hAnsi="Arial"/>
          <w:sz w:val="18"/>
          <w:szCs w:val="18"/>
          <w:color w:val="auto"/>
        </w:rPr>
        <w:t>For fiscal 2025, the compensation mix at target for the CEO and the other NEOs demonstrates that a significant portion of their pay is based on variable compensation,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83185</wp:posOffset>
            </wp:positionV>
            <wp:extent cx="5117465" cy="27343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1746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43" w:lineRule="exact"/>
        <w:rPr>
          <w:sz w:val="20"/>
          <w:szCs w:val="20"/>
          <w:color w:val="auto"/>
        </w:rPr>
      </w:pPr>
    </w:p>
    <w:p>
      <w:pPr>
        <w:jc w:val="right"/>
        <w:ind w:right="139"/>
        <w:spacing w:after="0"/>
        <w:tabs>
          <w:tab w:leader="none" w:pos="2460" w:val="left"/>
        </w:tabs>
        <w:rPr>
          <w:sz w:val="20"/>
          <w:szCs w:val="20"/>
          <w:color w:val="auto"/>
        </w:rPr>
      </w:pPr>
      <w:r>
        <w:rPr>
          <w:rFonts w:ascii="Arial" w:cs="Arial" w:eastAsia="Arial" w:hAnsi="Arial"/>
          <w:sz w:val="28"/>
          <w:szCs w:val="28"/>
          <w:b w:val="1"/>
          <w:bCs w:val="1"/>
          <w:color w:val="53C072"/>
          <w:vertAlign w:val="superscript"/>
        </w:rPr>
        <w:t>2025 ANNUAL</w:t>
      </w:r>
      <w:r>
        <w:rPr>
          <w:rFonts w:ascii="Arial" w:cs="Arial" w:eastAsia="Arial" w:hAnsi="Arial"/>
          <w:sz w:val="28"/>
          <w:szCs w:val="28"/>
          <w:b w:val="1"/>
          <w:bCs w:val="1"/>
          <w:color w:val="auto"/>
          <w:vertAlign w:val="superscript"/>
        </w:rPr>
        <w:t xml:space="preserve"> </w:t>
      </w:r>
      <w:r>
        <w:rPr>
          <w:sz w:val="20"/>
          <w:szCs w:val="20"/>
          <w:color w:val="auto"/>
        </w:rPr>
        <w:tab/>
      </w:r>
      <w:r>
        <w:rPr>
          <w:rFonts w:ascii="Arial" w:cs="Arial" w:eastAsia="Arial" w:hAnsi="Arial"/>
          <w:sz w:val="14"/>
          <w:szCs w:val="14"/>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6"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Compensation Governance Practices</w:t>
      </w:r>
    </w:p>
    <w:p>
      <w:pPr>
        <w:spacing w:after="0" w:line="153" w:lineRule="exact"/>
        <w:rPr>
          <w:sz w:val="20"/>
          <w:szCs w:val="20"/>
          <w:color w:val="auto"/>
        </w:rPr>
      </w:pPr>
    </w:p>
    <w:p>
      <w:pPr>
        <w:ind w:left="1000" w:right="799"/>
        <w:spacing w:after="0" w:line="287" w:lineRule="auto"/>
        <w:rPr>
          <w:sz w:val="20"/>
          <w:szCs w:val="20"/>
          <w:color w:val="auto"/>
        </w:rPr>
      </w:pPr>
      <w:r>
        <w:rPr>
          <w:rFonts w:ascii="Arial" w:cs="Arial" w:eastAsia="Arial" w:hAnsi="Arial"/>
          <w:sz w:val="18"/>
          <w:szCs w:val="18"/>
          <w:color w:val="auto"/>
        </w:rPr>
        <w:t>The Company’s executive compensation programs incorporate the following compensation governance practices:</w:t>
      </w:r>
    </w:p>
    <w:p>
      <w:pPr>
        <w:sectPr>
          <w:pgSz w:w="11900" w:h="16838" w:orient="portrait"/>
          <w:cols w:equalWidth="0" w:num="1">
            <w:col w:w="9879"/>
          </w:cols>
          <w:pgMar w:left="580" w:top="97" w:right="1440" w:bottom="1440" w:gutter="0" w:footer="0" w:header="0"/>
        </w:sectPr>
      </w:pPr>
    </w:p>
    <w:p>
      <w:pPr>
        <w:ind w:left="1880" w:hanging="157"/>
        <w:spacing w:after="0" w:line="231" w:lineRule="auto"/>
        <w:tabs>
          <w:tab w:leader="none" w:pos="1880" w:val="left"/>
        </w:tabs>
        <w:numPr>
          <w:ilvl w:val="0"/>
          <w:numId w:val="40"/>
        </w:numPr>
        <w:rPr>
          <w:rFonts w:ascii="Arial" w:cs="Arial" w:eastAsia="Arial" w:hAnsi="Arial"/>
          <w:sz w:val="36"/>
          <w:szCs w:val="36"/>
          <w:b w:val="1"/>
          <w:bCs w:val="1"/>
          <w:color w:val="FEFEFE"/>
          <w:vertAlign w:val="superscript"/>
        </w:rPr>
      </w:pPr>
      <w:r>
        <w:rPr>
          <w:rFonts w:ascii="Arial" w:cs="Arial" w:eastAsia="Arial" w:hAnsi="Arial"/>
          <w:sz w:val="18"/>
          <w:szCs w:val="18"/>
          <w:b w:val="1"/>
          <w:bCs w:val="1"/>
          <w:color w:val="FEFEFE"/>
        </w:rPr>
        <w:t>What the Company Does:</w:t>
      </w:r>
    </w:p>
    <w:p>
      <w:pPr>
        <w:spacing w:after="0" w:line="2" w:lineRule="exact"/>
        <w:rPr>
          <w:rFonts w:ascii="Arial" w:cs="Arial" w:eastAsia="Arial" w:hAnsi="Arial"/>
          <w:sz w:val="36"/>
          <w:szCs w:val="36"/>
          <w:b w:val="1"/>
          <w:bCs w:val="1"/>
          <w:color w:val="FEFEFE"/>
          <w:vertAlign w:val="superscript"/>
        </w:rPr>
      </w:pPr>
    </w:p>
    <w:p>
      <w:pPr>
        <w:ind w:left="2360" w:hanging="637"/>
        <w:spacing w:after="0" w:line="265" w:lineRule="auto"/>
        <w:tabs>
          <w:tab w:leader="none" w:pos="2157"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Aligns Pay-for-Performance.</w:t>
      </w:r>
      <w:r>
        <w:rPr>
          <w:rFonts w:ascii="Arial" w:cs="Arial" w:eastAsia="Arial" w:hAnsi="Arial"/>
          <w:sz w:val="17"/>
          <w:szCs w:val="17"/>
          <w:color w:val="auto"/>
        </w:rPr>
        <w:t xml:space="preserve"> Historically, a significant portion of total compensation depended on achieving short- and long-term financial and operational goals that were designed to increase shareholder value over time. As executives gain responsibility and seniority and exercise more direct influence over the Company’s financial and operational performance, typically base salary as</w:t>
      </w:r>
    </w:p>
    <w:p>
      <w:pPr>
        <w:ind w:left="2360" w:right="580"/>
        <w:spacing w:after="0" w:line="255" w:lineRule="auto"/>
        <w:rPr>
          <w:rFonts w:ascii="Arial" w:cs="Arial" w:eastAsia="Arial" w:hAnsi="Arial"/>
          <w:sz w:val="17"/>
          <w:szCs w:val="17"/>
          <w:color w:val="auto"/>
        </w:rPr>
      </w:pPr>
      <w:r>
        <w:rPr>
          <w:rFonts w:ascii="Arial" w:cs="Arial" w:eastAsia="Arial" w:hAnsi="Arial"/>
          <w:sz w:val="18"/>
          <w:szCs w:val="18"/>
          <w:color w:val="auto"/>
        </w:rPr>
        <w:t>a percentage of total compensation decreases and performance-based pay increases.</w:t>
      </w:r>
    </w:p>
    <w:p>
      <w:pPr>
        <w:spacing w:after="0" w:line="1" w:lineRule="exact"/>
        <w:rPr>
          <w:rFonts w:ascii="Arial" w:cs="Arial" w:eastAsia="Arial" w:hAnsi="Arial"/>
          <w:sz w:val="17"/>
          <w:szCs w:val="17"/>
          <w:color w:val="auto"/>
        </w:rPr>
      </w:pPr>
    </w:p>
    <w:p>
      <w:pPr>
        <w:ind w:left="2360" w:hanging="637"/>
        <w:spacing w:after="0" w:line="259" w:lineRule="auto"/>
        <w:tabs>
          <w:tab w:leader="none" w:pos="2157"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Focuses on Long-Term Incentive Compensation.</w:t>
      </w:r>
      <w:r>
        <w:rPr>
          <w:rFonts w:ascii="Arial" w:cs="Arial" w:eastAsia="Arial" w:hAnsi="Arial"/>
          <w:sz w:val="18"/>
          <w:szCs w:val="18"/>
          <w:color w:val="auto"/>
        </w:rPr>
        <w:t xml:space="preserve"> The long-term incentive compensation program is designed to provide a meaningful portion of compensation with the goal of having executive officers think and behave like owners over the long term. Long-term incentives, in the form of equity awards, vest over periods ranging from three to four years depending on the award type.</w:t>
      </w:r>
    </w:p>
    <w:p>
      <w:pPr>
        <w:spacing w:after="0" w:line="3" w:lineRule="exact"/>
        <w:rPr>
          <w:rFonts w:ascii="Arial" w:cs="Arial" w:eastAsia="Arial" w:hAnsi="Arial"/>
          <w:sz w:val="18"/>
          <w:szCs w:val="18"/>
          <w:color w:val="auto"/>
        </w:rPr>
      </w:pPr>
    </w:p>
    <w:p>
      <w:pPr>
        <w:ind w:left="2360" w:hanging="637"/>
        <w:spacing w:after="0"/>
        <w:tabs>
          <w:tab w:leader="none" w:pos="1869" w:val="left"/>
        </w:tabs>
        <w:numPr>
          <w:ilvl w:val="0"/>
          <w:numId w:val="40"/>
        </w:numPr>
        <w:rPr>
          <w:rFonts w:ascii="Arial" w:cs="Arial" w:eastAsia="Arial" w:hAnsi="Arial"/>
          <w:sz w:val="36"/>
          <w:szCs w:val="36"/>
          <w:color w:val="auto"/>
          <w:vertAlign w:val="superscript"/>
        </w:rPr>
      </w:pPr>
      <w:r>
        <w:rPr>
          <w:sz w:val="1"/>
          <w:szCs w:val="1"/>
          <w:color w:val="auto"/>
        </w:rPr>
        <w:drawing>
          <wp:inline distT="0" distB="0" distL="0" distR="0">
            <wp:extent cx="179705" cy="17145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36"/>
          <w:szCs w:val="36"/>
          <w:color w:val="auto"/>
          <w:vertAlign w:val="superscript"/>
        </w:rPr>
        <w:t xml:space="preserve">​ ​ </w:t>
      </w:r>
      <w:r>
        <w:rPr>
          <w:rFonts w:ascii="Arial" w:cs="Arial" w:eastAsia="Arial" w:hAnsi="Arial"/>
          <w:sz w:val="36"/>
          <w:szCs w:val="36"/>
          <w:b w:val="1"/>
          <w:bCs w:val="1"/>
          <w:color w:val="auto"/>
        </w:rPr>
        <w:t>Uses Multiple Metrics in Incentive Plans.</w:t>
      </w:r>
      <w:r>
        <w:rPr>
          <w:rFonts w:ascii="Arial" w:cs="Arial" w:eastAsia="Arial" w:hAnsi="Arial"/>
          <w:sz w:val="36"/>
          <w:szCs w:val="36"/>
          <w:color w:val="auto"/>
        </w:rPr>
        <w:t xml:space="preserve"> </w:t>
      </w:r>
      <w:r>
        <w:rPr>
          <w:rFonts w:ascii="Arial" w:cs="Arial" w:eastAsia="Arial" w:hAnsi="Arial"/>
          <w:sz w:val="17"/>
          <w:szCs w:val="17"/>
          <w:color w:val="auto"/>
        </w:rPr>
        <w:t>The annual cash and long-term</w:t>
      </w:r>
      <w:r>
        <w:rPr>
          <w:rFonts w:ascii="Arial" w:cs="Arial" w:eastAsia="Arial" w:hAnsi="Arial"/>
          <w:sz w:val="36"/>
          <w:szCs w:val="36"/>
          <w:color w:val="auto"/>
        </w:rPr>
        <w:t xml:space="preserve"> </w:t>
      </w:r>
      <w:r>
        <w:rPr>
          <w:rFonts w:ascii="Arial" w:cs="Arial" w:eastAsia="Arial" w:hAnsi="Arial"/>
          <w:sz w:val="17"/>
          <w:szCs w:val="17"/>
          <w:color w:val="auto"/>
        </w:rPr>
        <w:t>incentive programs employ multiple performance measures to assure focus is on the entire business. Further, long-term incentive programs include awards that vest over several different and overlapping periods to help ensure that performance during any one period is not maximized to the detriment of other periods.</w:t>
      </w:r>
    </w:p>
    <w:p>
      <w:pPr>
        <w:spacing w:after="0" w:line="112" w:lineRule="exact"/>
        <w:rPr>
          <w:rFonts w:ascii="Arial" w:cs="Arial" w:eastAsia="Arial" w:hAnsi="Arial"/>
          <w:sz w:val="36"/>
          <w:szCs w:val="36"/>
          <w:color w:val="auto"/>
          <w:vertAlign w:val="superscript"/>
        </w:rPr>
      </w:pPr>
    </w:p>
    <w:p>
      <w:pPr>
        <w:ind w:left="2360" w:right="380" w:hanging="637"/>
        <w:spacing w:after="0" w:line="273" w:lineRule="auto"/>
        <w:tabs>
          <w:tab w:leader="none" w:pos="2157"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Uses Award Caps.</w:t>
      </w:r>
      <w:r>
        <w:rPr>
          <w:rFonts w:ascii="Arial" w:cs="Arial" w:eastAsia="Arial" w:hAnsi="Arial"/>
          <w:sz w:val="18"/>
          <w:szCs w:val="18"/>
          <w:color w:val="auto"/>
        </w:rPr>
        <w:t xml:space="preserve"> Annual cash incentives and PSUs are capped at 200% of target to discourage excessive risk-taking.</w:t>
      </w:r>
    </w:p>
    <w:p>
      <w:pPr>
        <w:spacing w:after="0" w:line="1" w:lineRule="exact"/>
        <w:rPr>
          <w:rFonts w:ascii="Arial" w:cs="Arial" w:eastAsia="Arial" w:hAnsi="Arial"/>
          <w:sz w:val="18"/>
          <w:szCs w:val="18"/>
          <w:color w:val="auto"/>
        </w:rPr>
      </w:pPr>
    </w:p>
    <w:p>
      <w:pPr>
        <w:ind w:left="2360" w:right="300" w:hanging="637"/>
        <w:spacing w:after="0" w:line="262" w:lineRule="auto"/>
        <w:tabs>
          <w:tab w:leader="none" w:pos="2157"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Maintains Clawback Policy.</w:t>
      </w:r>
      <w:r>
        <w:rPr>
          <w:rFonts w:ascii="Arial" w:cs="Arial" w:eastAsia="Arial" w:hAnsi="Arial"/>
          <w:sz w:val="18"/>
          <w:szCs w:val="18"/>
          <w:color w:val="auto"/>
        </w:rPr>
        <w:t xml:space="preserve"> The Company’s Incentive-Based Compensation Recoupment Policy, also known as a clawback policy, requires the Company to recoup incentive-based compensation erroneously awarded due to a financial restatement and allows recoupment for employee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-3578860</wp:posOffset>
            </wp:positionV>
            <wp:extent cx="4637405" cy="5974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637405" cy="5974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FEFEFE"/>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97" w:lineRule="exact"/>
        <w:rPr>
          <w:sz w:val="20"/>
          <w:szCs w:val="20"/>
          <w:color w:val="auto"/>
        </w:rPr>
      </w:pPr>
    </w:p>
    <w:p>
      <w:pPr>
        <w:sectPr>
          <w:pgSz w:w="11900" w:h="16838" w:orient="portrait"/>
          <w:cols w:equalWidth="0" w:num="2">
            <w:col w:w="8840" w:space="20"/>
            <w:col w:w="1019"/>
          </w:cols>
          <w:pgMar w:left="580" w:top="97" w:right="1440" w:bottom="1440" w:gutter="0" w:footer="0" w:header="0"/>
          <w:type w:val="continuous"/>
        </w:sect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0" w:lineRule="exact"/>
        <w:rPr>
          <w:sz w:val="20"/>
          <w:szCs w:val="20"/>
          <w:color w:val="auto"/>
        </w:rPr>
      </w:pPr>
    </w:p>
    <w:p>
      <w:pPr>
        <w:spacing w:after="0" w:line="39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38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ind w:right="959"/>
        <w:spacing w:after="0" w:line="262" w:lineRule="auto"/>
        <w:rPr>
          <w:sz w:val="20"/>
          <w:szCs w:val="20"/>
          <w:color w:val="auto"/>
        </w:rPr>
      </w:pPr>
      <w:r>
        <w:rPr>
          <w:rFonts w:ascii="Arial" w:cs="Arial" w:eastAsia="Arial" w:hAnsi="Arial"/>
          <w:sz w:val="18"/>
          <w:szCs w:val="18"/>
          <w:b w:val="1"/>
          <w:bCs w:val="1"/>
          <w:color w:val="auto"/>
        </w:rPr>
        <w:t xml:space="preserve">Conducts Annual Compensation Risk Assessment. </w:t>
      </w:r>
      <w:r>
        <w:rPr>
          <w:rFonts w:ascii="Arial" w:cs="Arial" w:eastAsia="Arial" w:hAnsi="Arial"/>
          <w:sz w:val="18"/>
          <w:szCs w:val="18"/>
          <w:color w:val="auto"/>
        </w:rPr>
        <w:t>The Committee annually ​</w:t>
      </w:r>
      <w:r>
        <w:rPr>
          <w:rFonts w:ascii="Arial" w:cs="Arial" w:eastAsia="Arial" w:hAnsi="Arial"/>
          <w:sz w:val="18"/>
          <w:szCs w:val="18"/>
          <w:b w:val="1"/>
          <w:bCs w:val="1"/>
          <w:color w:val="auto"/>
        </w:rPr>
        <w:t xml:space="preserve"> </w:t>
      </w:r>
      <w:r>
        <w:rPr>
          <w:rFonts w:ascii="Arial" w:cs="Arial" w:eastAsia="Arial" w:hAnsi="Arial"/>
          <w:sz w:val="18"/>
          <w:szCs w:val="18"/>
          <w:color w:val="auto"/>
        </w:rPr>
        <w:t>assesses the Company’s compensation programs and determines whether the Company’s policies and practices create risks that are reasonably likely to have a material adverse effect on the Company.</w:t>
      </w:r>
    </w:p>
    <w:p>
      <w:pPr>
        <w:spacing w:after="0" w:line="1"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b w:val="1"/>
          <w:bCs w:val="1"/>
          <w:color w:val="auto"/>
        </w:rPr>
        <w:t xml:space="preserve">Maintains Stock Ownership Guidelines. </w:t>
      </w:r>
      <w:r>
        <w:rPr>
          <w:rFonts w:ascii="Arial" w:cs="Arial" w:eastAsia="Arial" w:hAnsi="Arial"/>
          <w:sz w:val="18"/>
          <w:szCs w:val="18"/>
          <w:color w:val="auto"/>
        </w:rPr>
        <w:t>The Company has stock ownership</w:t>
      </w:r>
      <w:r>
        <w:rPr>
          <w:sz w:val="20"/>
          <w:szCs w:val="20"/>
          <w:color w:val="auto"/>
        </w:rPr>
        <w:tab/>
      </w:r>
      <w:r>
        <w:rPr>
          <w:rFonts w:ascii="Arial" w:cs="Arial" w:eastAsia="Arial" w:hAnsi="Arial"/>
          <w:sz w:val="18"/>
          <w:szCs w:val="18"/>
          <w:color w:val="auto"/>
        </w:rPr>
        <w: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guidelines for its executive officers and, as of June 28, 2025, each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was in compliance.</w:t>
      </w:r>
    </w:p>
    <w:p>
      <w:pPr>
        <w:spacing w:after="0" w:line="18" w:lineRule="exact"/>
        <w:rPr>
          <w:sz w:val="20"/>
          <w:szCs w:val="20"/>
          <w:color w:val="auto"/>
        </w:rPr>
      </w:pPr>
    </w:p>
    <w:p>
      <w:pPr>
        <w:ind w:right="959"/>
        <w:spacing w:after="0" w:line="266" w:lineRule="auto"/>
        <w:rPr>
          <w:sz w:val="20"/>
          <w:szCs w:val="20"/>
          <w:color w:val="auto"/>
        </w:rPr>
      </w:pPr>
      <w:r>
        <w:rPr>
          <w:rFonts w:ascii="Arial" w:cs="Arial" w:eastAsia="Arial" w:hAnsi="Arial"/>
          <w:sz w:val="18"/>
          <w:szCs w:val="18"/>
          <w:b w:val="1"/>
          <w:bCs w:val="1"/>
          <w:color w:val="auto"/>
        </w:rPr>
        <w:t xml:space="preserve">Grants Stock Options at Fair Market Value. </w:t>
      </w:r>
      <w:r>
        <w:rPr>
          <w:rFonts w:ascii="Arial" w:cs="Arial" w:eastAsia="Arial" w:hAnsi="Arial"/>
          <w:sz w:val="18"/>
          <w:szCs w:val="18"/>
          <w:color w:val="auto"/>
        </w:rPr>
        <w:t>When the Company grants stock ​</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the options are granted with an exercise price at the fair market value of the Company’s Common Stock on the date of the grant.</w:t>
      </w:r>
    </w:p>
    <w:p>
      <w:pPr>
        <w:spacing w:after="0" w:line="1" w:lineRule="exact"/>
        <w:rPr>
          <w:sz w:val="20"/>
          <w:szCs w:val="20"/>
          <w:color w:val="auto"/>
        </w:rPr>
      </w:pPr>
    </w:p>
    <w:p>
      <w:pPr>
        <w:sectPr>
          <w:pgSz w:w="11900" w:h="16838" w:orient="portrait"/>
          <w:cols w:equalWidth="0" w:num="2">
            <w:col w:w="2300" w:space="60"/>
            <w:col w:w="7519"/>
          </w:cols>
          <w:pgMar w:left="580" w:top="97" w:right="1440" w:bottom="1440" w:gutter="0" w:footer="0" w:header="0"/>
          <w:type w:val="continuous"/>
        </w:sect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16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500" w:type="dxa"/>
            <w:vAlign w:val="bottom"/>
          </w:tcPr>
          <w:p>
            <w:pPr>
              <w:spacing w:after="0"/>
              <w:rPr>
                <w:sz w:val="20"/>
                <w:szCs w:val="20"/>
                <w:color w:val="auto"/>
              </w:rPr>
            </w:pPr>
            <w:r>
              <w:rPr>
                <w:rFonts w:ascii="Arial" w:cs="Arial" w:eastAsia="Arial" w:hAnsi="Arial"/>
                <w:sz w:val="18"/>
                <w:szCs w:val="18"/>
                <w:b w:val="1"/>
                <w:bCs w:val="1"/>
                <w:color w:val="auto"/>
              </w:rPr>
              <w:t xml:space="preserve">Maintains Compensation Committee Independence. </w:t>
            </w:r>
            <w:r>
              <w:rPr>
                <w:rFonts w:ascii="Arial" w:cs="Arial" w:eastAsia="Arial" w:hAnsi="Arial"/>
                <w:sz w:val="18"/>
                <w:szCs w:val="18"/>
                <w:color w:val="auto"/>
              </w:rPr>
              <w:t>The Compensation</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39"/>
        </w:trPr>
        <w:tc>
          <w:tcPr>
            <w:tcW w:w="6500" w:type="dxa"/>
            <w:vAlign w:val="bottom"/>
          </w:tcPr>
          <w:p>
            <w:pPr>
              <w:spacing w:after="0"/>
              <w:rPr>
                <w:sz w:val="20"/>
                <w:szCs w:val="20"/>
                <w:color w:val="auto"/>
              </w:rPr>
            </w:pPr>
            <w:r>
              <w:rPr>
                <w:rFonts w:ascii="Arial" w:cs="Arial" w:eastAsia="Arial" w:hAnsi="Arial"/>
                <w:sz w:val="18"/>
                <w:szCs w:val="18"/>
                <w:color w:val="auto"/>
              </w:rPr>
              <w:t>Committee is made up entirely of Independent Directors.</w:t>
            </w:r>
          </w:p>
        </w:tc>
        <w:tc>
          <w:tcPr>
            <w:tcW w:w="60" w:type="dxa"/>
            <w:vAlign w:val="bottom"/>
          </w:tcPr>
          <w:p>
            <w:pPr>
              <w:spacing w:after="0"/>
              <w:rPr>
                <w:sz w:val="20"/>
                <w:szCs w:val="20"/>
                <w:color w:val="auto"/>
              </w:rPr>
            </w:pPr>
          </w:p>
        </w:tc>
      </w:tr>
      <w:tr>
        <w:trPr>
          <w:trHeight w:val="274"/>
        </w:trPr>
        <w:tc>
          <w:tcPr>
            <w:tcW w:w="6500" w:type="dxa"/>
            <w:vAlign w:val="bottom"/>
          </w:tcPr>
          <w:p>
            <w:pPr>
              <w:spacing w:after="0"/>
              <w:rPr>
                <w:sz w:val="20"/>
                <w:szCs w:val="20"/>
                <w:color w:val="auto"/>
              </w:rPr>
            </w:pPr>
            <w:r>
              <w:rPr>
                <w:rFonts w:ascii="Arial" w:cs="Arial" w:eastAsia="Arial" w:hAnsi="Arial"/>
                <w:sz w:val="18"/>
                <w:szCs w:val="18"/>
                <w:b w:val="1"/>
                <w:bCs w:val="1"/>
                <w:color w:val="auto"/>
              </w:rPr>
              <w:t xml:space="preserve">Maintains Compensation Consultant Independence. </w:t>
            </w:r>
            <w:r>
              <w:rPr>
                <w:rFonts w:ascii="Arial" w:cs="Arial" w:eastAsia="Arial" w:hAnsi="Arial"/>
                <w:sz w:val="18"/>
                <w:szCs w:val="18"/>
                <w:color w:val="auto"/>
              </w:rPr>
              <w:t>The Compensation</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w w:val="98"/>
              </w:rPr>
              <w:t>Consultant does not provide any services to management other than its services to</w:t>
            </w:r>
          </w:p>
        </w:tc>
        <w:tc>
          <w:tcPr>
            <w:tcW w:w="6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the Committee, and the Committee annually assesses the independence of the</w:t>
            </w:r>
          </w:p>
        </w:tc>
        <w:tc>
          <w:tcPr>
            <w:tcW w:w="60" w:type="dxa"/>
            <w:vAlign w:val="bottom"/>
          </w:tcPr>
          <w:p>
            <w:pPr>
              <w:spacing w:after="0"/>
              <w:rPr>
                <w:sz w:val="18"/>
                <w:szCs w:val="18"/>
                <w:color w:val="auto"/>
              </w:rPr>
            </w:pPr>
          </w:p>
        </w:tc>
      </w:tr>
      <w:tr>
        <w:trPr>
          <w:trHeight w:val="239"/>
        </w:trPr>
        <w:tc>
          <w:tcPr>
            <w:tcW w:w="6500" w:type="dxa"/>
            <w:vAlign w:val="bottom"/>
          </w:tcPr>
          <w:p>
            <w:pPr>
              <w:spacing w:after="0"/>
              <w:rPr>
                <w:sz w:val="20"/>
                <w:szCs w:val="20"/>
                <w:color w:val="auto"/>
              </w:rPr>
            </w:pPr>
            <w:r>
              <w:rPr>
                <w:rFonts w:ascii="Arial" w:cs="Arial" w:eastAsia="Arial" w:hAnsi="Arial"/>
                <w:sz w:val="18"/>
                <w:szCs w:val="18"/>
                <w:color w:val="auto"/>
              </w:rPr>
              <w:t>Compensation Consultant.</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2300" w:space="60"/>
            <w:col w:w="75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46     </w:t>
      </w:r>
      <w:r>
        <w:rPr>
          <w:sz w:val="1"/>
          <w:szCs w:val="1"/>
          <w:color w:val="auto"/>
        </w:rPr>
        <w:drawing>
          <wp:inline distT="0" distB="0" distL="0" distR="0">
            <wp:extent cx="1242695" cy="24003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920" w:type="dxa"/>
            <w:vAlign w:val="bottom"/>
          </w:tcPr>
          <w:p>
            <w:pPr>
              <w:spacing w:after="0"/>
              <w:rPr>
                <w:sz w:val="14"/>
                <w:szCs w:val="14"/>
                <w:color w:val="auto"/>
              </w:rPr>
            </w:pPr>
          </w:p>
        </w:tc>
      </w:tr>
      <w:tr>
        <w:trPr>
          <w:trHeight w:val="551"/>
        </w:trPr>
        <w:tc>
          <w:tcPr>
            <w:tcW w:w="482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920" w:type="dxa"/>
            <w:vAlign w:val="bottom"/>
          </w:tcPr>
          <w:p>
            <w:pPr>
              <w:ind w:left="2440"/>
              <w:spacing w:after="0"/>
              <w:rPr>
                <w:sz w:val="20"/>
                <w:szCs w:val="20"/>
                <w:color w:val="auto"/>
              </w:rPr>
            </w:pPr>
            <w:r>
              <w:rPr>
                <w:rFonts w:ascii="Arial" w:cs="Arial" w:eastAsia="Arial" w:hAnsi="Arial"/>
                <w:sz w:val="14"/>
                <w:szCs w:val="14"/>
                <w:color w:val="auto"/>
              </w:rPr>
              <w:t>Compensation Discussion and Analysis</w:t>
            </w:r>
          </w:p>
        </w:tc>
      </w:tr>
      <w:tr>
        <w:trPr>
          <w:trHeight w:val="196"/>
        </w:trPr>
        <w:tc>
          <w:tcPr>
            <w:tcW w:w="482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309880</wp:posOffset>
            </wp:positionV>
            <wp:extent cx="4637405" cy="36258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637405" cy="36258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1720" w:type="dxa"/>
        <w:tblCellMar>
          <w:top w:w="0" w:type="dxa"/>
          <w:left w:w="0" w:type="dxa"/>
          <w:bottom w:w="0" w:type="dxa"/>
          <w:right w:w="0" w:type="dxa"/>
        </w:tblCellMar>
      </w:tblPr>
      <w:tr>
        <w:trPr>
          <w:trHeight w:val="256"/>
        </w:trPr>
        <w:tc>
          <w:tcPr>
            <w:tcW w:w="7120" w:type="dxa"/>
            <w:vAlign w:val="bottom"/>
            <w:gridSpan w:val="2"/>
            <w:shd w:val="clear" w:color="auto" w:fill="EB0028"/>
          </w:tcPr>
          <w:p>
            <w:pPr>
              <w:spacing w:after="0"/>
              <w:rPr>
                <w:sz w:val="20"/>
                <w:szCs w:val="20"/>
                <w:color w:val="auto"/>
              </w:rPr>
            </w:pPr>
            <w:r>
              <w:rPr>
                <w:rFonts w:ascii="Arial" w:cs="Arial" w:eastAsia="Arial" w:hAnsi="Arial"/>
                <w:sz w:val="18"/>
                <w:szCs w:val="18"/>
                <w:b w:val="1"/>
                <w:bCs w:val="1"/>
                <w:color w:val="FEFEFE"/>
              </w:rPr>
              <w:t>​ What the Company Doesn’t Do:</w:t>
            </w:r>
          </w:p>
        </w:tc>
        <w:tc>
          <w:tcPr>
            <w:tcW w:w="160" w:type="dxa"/>
            <w:vAlign w:val="bottom"/>
            <w:shd w:val="clear" w:color="auto" w:fill="EB0028"/>
          </w:tcPr>
          <w:p>
            <w:pPr>
              <w:ind w:left="20"/>
              <w:spacing w:after="0"/>
              <w:rPr>
                <w:sz w:val="20"/>
                <w:szCs w:val="20"/>
                <w:color w:val="auto"/>
              </w:rPr>
            </w:pPr>
            <w:r>
              <w:rPr>
                <w:rFonts w:ascii="Arial" w:cs="Arial" w:eastAsia="Arial" w:hAnsi="Arial"/>
                <w:sz w:val="18"/>
                <w:szCs w:val="18"/>
                <w:b w:val="1"/>
                <w:bCs w:val="1"/>
                <w:color w:val="FEFEFE"/>
              </w:rPr>
              <w:t>​</w:t>
            </w:r>
          </w:p>
        </w:tc>
      </w:tr>
      <w:tr>
        <w:trPr>
          <w:trHeight w:val="2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880" w:type="dxa"/>
            <w:vAlign w:val="bottom"/>
          </w:tcPr>
          <w:p>
            <w:pPr>
              <w:ind w:left="180"/>
              <w:spacing w:after="0" w:line="237"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5"/>
                <w:szCs w:val="15"/>
                <w:b w:val="1"/>
                <w:bCs w:val="1"/>
                <w:color w:val="auto"/>
              </w:rPr>
              <w:t xml:space="preserve"> Doesn’t Provide for Excise Tax Gross-Ups. </w:t>
            </w:r>
            <w:r>
              <w:rPr>
                <w:rFonts w:ascii="Arial" w:cs="Arial" w:eastAsia="Arial" w:hAnsi="Arial"/>
                <w:sz w:val="15"/>
                <w:szCs w:val="15"/>
                <w:color w:val="auto"/>
              </w:rPr>
              <w:t>The Company’s change of control</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spacing w:after="0"/>
              <w:rPr>
                <w:sz w:val="18"/>
                <w:szCs w:val="18"/>
                <w:color w:val="auto"/>
              </w:rPr>
            </w:pPr>
          </w:p>
        </w:tc>
        <w:tc>
          <w:tcPr>
            <w:tcW w:w="6880" w:type="dxa"/>
            <w:vAlign w:val="bottom"/>
          </w:tcPr>
          <w:p>
            <w:pPr>
              <w:ind w:left="380"/>
              <w:spacing w:after="0"/>
              <w:rPr>
                <w:sz w:val="20"/>
                <w:szCs w:val="20"/>
                <w:color w:val="auto"/>
              </w:rPr>
            </w:pPr>
            <w:r>
              <w:rPr>
                <w:rFonts w:ascii="Arial" w:cs="Arial" w:eastAsia="Arial" w:hAnsi="Arial"/>
                <w:sz w:val="18"/>
                <w:szCs w:val="18"/>
                <w:color w:val="auto"/>
                <w:w w:val="98"/>
              </w:rPr>
              <w:t>agreements do not provide for excise tax reimbursements to any of the Company’s</w:t>
            </w:r>
          </w:p>
        </w:tc>
        <w:tc>
          <w:tcPr>
            <w:tcW w:w="160" w:type="dxa"/>
            <w:vAlign w:val="bottom"/>
          </w:tcPr>
          <w:p>
            <w:pPr>
              <w:spacing w:after="0"/>
              <w:rPr>
                <w:sz w:val="18"/>
                <w:szCs w:val="18"/>
                <w:color w:val="auto"/>
              </w:rPr>
            </w:pPr>
          </w:p>
        </w:tc>
      </w:tr>
      <w:tr>
        <w:trPr>
          <w:trHeight w:val="230"/>
        </w:trPr>
        <w:tc>
          <w:tcPr>
            <w:tcW w:w="240" w:type="dxa"/>
            <w:vAlign w:val="bottom"/>
          </w:tcPr>
          <w:p>
            <w:pPr>
              <w:spacing w:after="0"/>
              <w:rPr>
                <w:sz w:val="19"/>
                <w:szCs w:val="19"/>
                <w:color w:val="auto"/>
              </w:rPr>
            </w:pPr>
          </w:p>
        </w:tc>
        <w:tc>
          <w:tcPr>
            <w:tcW w:w="6880" w:type="dxa"/>
            <w:vAlign w:val="bottom"/>
          </w:tcPr>
          <w:p>
            <w:pPr>
              <w:ind w:left="380"/>
              <w:spacing w:after="0"/>
              <w:rPr>
                <w:sz w:val="20"/>
                <w:szCs w:val="20"/>
                <w:color w:val="auto"/>
              </w:rPr>
            </w:pPr>
            <w:r>
              <w:rPr>
                <w:rFonts w:ascii="Arial" w:cs="Arial" w:eastAsia="Arial" w:hAnsi="Arial"/>
                <w:sz w:val="18"/>
                <w:szCs w:val="18"/>
                <w:color w:val="auto"/>
              </w:rPr>
              <w:t>executive officers.</w:t>
            </w:r>
          </w:p>
        </w:tc>
        <w:tc>
          <w:tcPr>
            <w:tcW w:w="160" w:type="dxa"/>
            <w:vAlign w:val="bottom"/>
          </w:tcPr>
          <w:p>
            <w:pPr>
              <w:spacing w:after="0"/>
              <w:rPr>
                <w:sz w:val="19"/>
                <w:szCs w:val="19"/>
                <w:color w:val="auto"/>
              </w:rPr>
            </w:pPr>
          </w:p>
        </w:tc>
      </w:tr>
      <w:tr>
        <w:trPr>
          <w:trHeight w:val="25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880" w:type="dxa"/>
            <w:vAlign w:val="bottom"/>
          </w:tcPr>
          <w:p>
            <w:pPr>
              <w:ind w:left="18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Doesn’t Pay Dividends or Dividend Equivalents on Equity Awards. </w:t>
            </w:r>
            <w:r>
              <w:rPr>
                <w:rFonts w:ascii="Arial" w:cs="Arial" w:eastAsia="Arial" w:hAnsi="Arial"/>
                <w:sz w:val="16"/>
                <w:szCs w:val="16"/>
                <w:color w:val="auto"/>
              </w:rPr>
              <w:t>Equity</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spacing w:after="0"/>
              <w:rPr>
                <w:sz w:val="18"/>
                <w:szCs w:val="18"/>
                <w:color w:val="auto"/>
              </w:rPr>
            </w:pPr>
          </w:p>
        </w:tc>
        <w:tc>
          <w:tcPr>
            <w:tcW w:w="6880" w:type="dxa"/>
            <w:vAlign w:val="bottom"/>
          </w:tcPr>
          <w:p>
            <w:pPr>
              <w:ind w:left="380"/>
              <w:spacing w:after="0"/>
              <w:rPr>
                <w:sz w:val="20"/>
                <w:szCs w:val="20"/>
                <w:color w:val="auto"/>
              </w:rPr>
            </w:pPr>
            <w:r>
              <w:rPr>
                <w:rFonts w:ascii="Arial" w:cs="Arial" w:eastAsia="Arial" w:hAnsi="Arial"/>
                <w:sz w:val="18"/>
                <w:szCs w:val="18"/>
                <w:color w:val="auto"/>
              </w:rPr>
              <w:t>awards may provide for the accrual of dividends or dividends equivalents during</w:t>
            </w:r>
          </w:p>
        </w:tc>
        <w:tc>
          <w:tcPr>
            <w:tcW w:w="1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6880" w:type="dxa"/>
            <w:vAlign w:val="bottom"/>
          </w:tcPr>
          <w:p>
            <w:pPr>
              <w:ind w:left="380"/>
              <w:spacing w:after="0"/>
              <w:rPr>
                <w:sz w:val="20"/>
                <w:szCs w:val="20"/>
                <w:color w:val="auto"/>
              </w:rPr>
            </w:pPr>
            <w:r>
              <w:rPr>
                <w:rFonts w:ascii="Arial" w:cs="Arial" w:eastAsia="Arial" w:hAnsi="Arial"/>
                <w:sz w:val="18"/>
                <w:szCs w:val="18"/>
                <w:color w:val="auto"/>
                <w:w w:val="98"/>
              </w:rPr>
              <w:t>the vesting period, which are paid solely to the extent the underlying equity awards</w:t>
            </w:r>
          </w:p>
        </w:tc>
        <w:tc>
          <w:tcPr>
            <w:tcW w:w="160" w:type="dxa"/>
            <w:vAlign w:val="bottom"/>
          </w:tcPr>
          <w:p>
            <w:pPr>
              <w:spacing w:after="0"/>
              <w:rPr>
                <w:sz w:val="18"/>
                <w:szCs w:val="18"/>
                <w:color w:val="auto"/>
              </w:rPr>
            </w:pPr>
          </w:p>
        </w:tc>
      </w:tr>
      <w:tr>
        <w:trPr>
          <w:trHeight w:val="229"/>
        </w:trPr>
        <w:tc>
          <w:tcPr>
            <w:tcW w:w="240" w:type="dxa"/>
            <w:vAlign w:val="bottom"/>
          </w:tcPr>
          <w:p>
            <w:pPr>
              <w:spacing w:after="0"/>
              <w:rPr>
                <w:sz w:val="19"/>
                <w:szCs w:val="19"/>
                <w:color w:val="auto"/>
              </w:rPr>
            </w:pPr>
          </w:p>
        </w:tc>
        <w:tc>
          <w:tcPr>
            <w:tcW w:w="6880" w:type="dxa"/>
            <w:vAlign w:val="bottom"/>
          </w:tcPr>
          <w:p>
            <w:pPr>
              <w:ind w:left="380"/>
              <w:spacing w:after="0"/>
              <w:rPr>
                <w:sz w:val="20"/>
                <w:szCs w:val="20"/>
                <w:color w:val="auto"/>
              </w:rPr>
            </w:pPr>
            <w:r>
              <w:rPr>
                <w:rFonts w:ascii="Arial" w:cs="Arial" w:eastAsia="Arial" w:hAnsi="Arial"/>
                <w:sz w:val="18"/>
                <w:szCs w:val="18"/>
                <w:color w:val="auto"/>
              </w:rPr>
              <w:t>vest. Dividends or dividend equivalents are not paid on unearned PSUs.</w:t>
            </w:r>
          </w:p>
        </w:tc>
        <w:tc>
          <w:tcPr>
            <w:tcW w:w="160" w:type="dxa"/>
            <w:vAlign w:val="bottom"/>
          </w:tcPr>
          <w:p>
            <w:pPr>
              <w:spacing w:after="0"/>
              <w:rPr>
                <w:sz w:val="19"/>
                <w:szCs w:val="19"/>
                <w:color w:val="auto"/>
              </w:rPr>
            </w:pPr>
          </w:p>
        </w:tc>
      </w:tr>
      <w:tr>
        <w:trPr>
          <w:trHeight w:val="25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880" w:type="dxa"/>
            <w:vAlign w:val="bottom"/>
          </w:tcPr>
          <w:p>
            <w:pPr>
              <w:ind w:left="18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Doesn’t Permit Hedging or Pledging of Company Shares. </w:t>
            </w:r>
            <w:r>
              <w:rPr>
                <w:rFonts w:ascii="Arial" w:cs="Arial" w:eastAsia="Arial" w:hAnsi="Arial"/>
                <w:sz w:val="16"/>
                <w:szCs w:val="16"/>
                <w:color w:val="auto"/>
              </w:rPr>
              <w:t>The Company’s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spacing w:after="0"/>
              <w:rPr>
                <w:sz w:val="18"/>
                <w:szCs w:val="18"/>
                <w:color w:val="auto"/>
              </w:rPr>
            </w:pPr>
          </w:p>
        </w:tc>
        <w:tc>
          <w:tcPr>
            <w:tcW w:w="6880" w:type="dxa"/>
            <w:vAlign w:val="bottom"/>
          </w:tcPr>
          <w:p>
            <w:pPr>
              <w:ind w:left="380"/>
              <w:spacing w:after="0"/>
              <w:rPr>
                <w:sz w:val="20"/>
                <w:szCs w:val="20"/>
                <w:color w:val="auto"/>
              </w:rPr>
            </w:pPr>
            <w:r>
              <w:rPr>
                <w:rFonts w:ascii="Arial" w:cs="Arial" w:eastAsia="Arial" w:hAnsi="Arial"/>
                <w:sz w:val="18"/>
                <w:szCs w:val="18"/>
                <w:color w:val="auto"/>
              </w:rPr>
              <w:t>Insider Trading Policy prohibits Directors and executive officers from hedging the</w:t>
            </w:r>
          </w:p>
        </w:tc>
        <w:tc>
          <w:tcPr>
            <w:tcW w:w="1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6880" w:type="dxa"/>
            <w:vAlign w:val="bottom"/>
          </w:tcPr>
          <w:p>
            <w:pPr>
              <w:ind w:left="380"/>
              <w:spacing w:after="0"/>
              <w:rPr>
                <w:sz w:val="20"/>
                <w:szCs w:val="20"/>
                <w:color w:val="auto"/>
              </w:rPr>
            </w:pPr>
            <w:r>
              <w:rPr>
                <w:rFonts w:ascii="Arial" w:cs="Arial" w:eastAsia="Arial" w:hAnsi="Arial"/>
                <w:sz w:val="18"/>
                <w:szCs w:val="18"/>
                <w:color w:val="auto"/>
              </w:rPr>
              <w:t>Company’s securities and prohibits them from pledging the Company’s securities</w:t>
            </w:r>
          </w:p>
        </w:tc>
        <w:tc>
          <w:tcPr>
            <w:tcW w:w="160" w:type="dxa"/>
            <w:vAlign w:val="bottom"/>
          </w:tcPr>
          <w:p>
            <w:pPr>
              <w:spacing w:after="0"/>
              <w:rPr>
                <w:sz w:val="18"/>
                <w:szCs w:val="18"/>
                <w:color w:val="auto"/>
              </w:rPr>
            </w:pPr>
          </w:p>
        </w:tc>
      </w:tr>
      <w:tr>
        <w:trPr>
          <w:trHeight w:val="230"/>
        </w:trPr>
        <w:tc>
          <w:tcPr>
            <w:tcW w:w="240" w:type="dxa"/>
            <w:vAlign w:val="bottom"/>
          </w:tcPr>
          <w:p>
            <w:pPr>
              <w:spacing w:after="0"/>
              <w:rPr>
                <w:sz w:val="19"/>
                <w:szCs w:val="19"/>
                <w:color w:val="auto"/>
              </w:rPr>
            </w:pPr>
          </w:p>
        </w:tc>
        <w:tc>
          <w:tcPr>
            <w:tcW w:w="6880" w:type="dxa"/>
            <w:vAlign w:val="bottom"/>
          </w:tcPr>
          <w:p>
            <w:pPr>
              <w:ind w:left="380"/>
              <w:spacing w:after="0"/>
              <w:rPr>
                <w:sz w:val="20"/>
                <w:szCs w:val="20"/>
                <w:color w:val="auto"/>
              </w:rPr>
            </w:pPr>
            <w:r>
              <w:rPr>
                <w:rFonts w:ascii="Arial" w:cs="Arial" w:eastAsia="Arial" w:hAnsi="Arial"/>
                <w:sz w:val="18"/>
                <w:szCs w:val="18"/>
                <w:color w:val="auto"/>
              </w:rPr>
              <w:t>without advance approval.</w:t>
            </w:r>
          </w:p>
        </w:tc>
        <w:tc>
          <w:tcPr>
            <w:tcW w:w="160" w:type="dxa"/>
            <w:vAlign w:val="bottom"/>
          </w:tcPr>
          <w:p>
            <w:pPr>
              <w:spacing w:after="0"/>
              <w:rPr>
                <w:sz w:val="19"/>
                <w:szCs w:val="19"/>
                <w:color w:val="auto"/>
              </w:rPr>
            </w:pPr>
          </w:p>
        </w:tc>
      </w:tr>
      <w:tr>
        <w:trPr>
          <w:trHeight w:val="25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880" w:type="dxa"/>
            <w:vAlign w:val="bottom"/>
          </w:tcPr>
          <w:p>
            <w:pPr>
              <w:ind w:left="18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Doesn’t Provide Above-Market Returns. </w:t>
            </w:r>
            <w:r>
              <w:rPr>
                <w:rFonts w:ascii="Arial" w:cs="Arial" w:eastAsia="Arial" w:hAnsi="Arial"/>
                <w:sz w:val="16"/>
                <w:szCs w:val="16"/>
                <w:color w:val="auto"/>
              </w:rPr>
              <w:t>The Company does not offer</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39"/>
        </w:trPr>
        <w:tc>
          <w:tcPr>
            <w:tcW w:w="240" w:type="dxa"/>
            <w:vAlign w:val="bottom"/>
          </w:tcPr>
          <w:p>
            <w:pPr>
              <w:spacing w:after="0"/>
              <w:rPr>
                <w:sz w:val="20"/>
                <w:szCs w:val="20"/>
                <w:color w:val="auto"/>
              </w:rPr>
            </w:pPr>
          </w:p>
        </w:tc>
        <w:tc>
          <w:tcPr>
            <w:tcW w:w="6880" w:type="dxa"/>
            <w:vAlign w:val="bottom"/>
          </w:tcPr>
          <w:p>
            <w:pPr>
              <w:ind w:left="380"/>
              <w:spacing w:after="0"/>
              <w:rPr>
                <w:sz w:val="20"/>
                <w:szCs w:val="20"/>
                <w:color w:val="auto"/>
              </w:rPr>
            </w:pPr>
            <w:r>
              <w:rPr>
                <w:rFonts w:ascii="Arial" w:cs="Arial" w:eastAsia="Arial" w:hAnsi="Arial"/>
                <w:sz w:val="18"/>
                <w:szCs w:val="18"/>
                <w:color w:val="auto"/>
              </w:rPr>
              <w:t>preferential or above-market returns on deferred compensation.</w:t>
            </w:r>
          </w:p>
        </w:tc>
        <w:tc>
          <w:tcPr>
            <w:tcW w:w="16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0720"/>
          </w:cols>
          <w:pgMar w:left="580" w:top="97" w:right="599" w:bottom="1440" w:gutter="0" w:footer="0" w:header="0"/>
        </w:sect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1450" cy="1714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38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1450" cy="1714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17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1450" cy="1714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ind w:right="1800"/>
        <w:spacing w:after="0" w:line="206" w:lineRule="auto"/>
        <w:rPr>
          <w:sz w:val="20"/>
          <w:szCs w:val="20"/>
          <w:color w:val="auto"/>
        </w:rPr>
      </w:pPr>
      <w:r>
        <w:rPr>
          <w:rFonts w:ascii="Arial" w:cs="Arial" w:eastAsia="Arial" w:hAnsi="Arial"/>
          <w:sz w:val="18"/>
          <w:szCs w:val="18"/>
          <w:b w:val="1"/>
          <w:bCs w:val="1"/>
          <w:color w:val="auto"/>
        </w:rPr>
        <w:t xml:space="preserve">Doesn’t Reprice Awards. </w:t>
      </w:r>
      <w:r>
        <w:rPr>
          <w:rFonts w:ascii="Arial" w:cs="Arial" w:eastAsia="Arial" w:hAnsi="Arial"/>
          <w:sz w:val="18"/>
          <w:szCs w:val="18"/>
          <w:color w:val="auto"/>
        </w:rPr>
        <w:t>Repricing of stock options and stock appreciation rights</w:t>
      </w:r>
      <w:r>
        <w:rPr>
          <w:rFonts w:ascii="Arial" w:cs="Arial" w:eastAsia="Arial" w:hAnsi="Arial"/>
          <w:sz w:val="18"/>
          <w:szCs w:val="18"/>
          <w:b w:val="1"/>
          <w:bCs w:val="1"/>
          <w:color w:val="auto"/>
        </w:rPr>
        <w:t xml:space="preserve"> </w:t>
      </w:r>
      <w:r>
        <w:rPr>
          <w:rFonts w:ascii="Arial" w:cs="Arial" w:eastAsia="Arial" w:hAnsi="Arial"/>
          <w:sz w:val="35"/>
          <w:szCs w:val="3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 prohibited without shareholder approval. The Company does not have a history of repricing equity awards.</w:t>
      </w:r>
    </w:p>
    <w:p>
      <w:pPr>
        <w:spacing w:after="0" w:line="1" w:lineRule="exact"/>
        <w:rPr>
          <w:sz w:val="20"/>
          <w:szCs w:val="20"/>
          <w:color w:val="auto"/>
        </w:rPr>
      </w:pPr>
    </w:p>
    <w:p>
      <w:pPr>
        <w:ind w:right="1800"/>
        <w:spacing w:after="0" w:line="191" w:lineRule="auto"/>
        <w:rPr>
          <w:sz w:val="20"/>
          <w:szCs w:val="20"/>
          <w:color w:val="auto"/>
        </w:rPr>
      </w:pPr>
      <w:r>
        <w:rPr>
          <w:rFonts w:ascii="Arial" w:cs="Arial" w:eastAsia="Arial" w:hAnsi="Arial"/>
          <w:sz w:val="18"/>
          <w:szCs w:val="18"/>
          <w:b w:val="1"/>
          <w:bCs w:val="1"/>
          <w:color w:val="auto"/>
        </w:rPr>
        <w:t xml:space="preserve">Doesn’t Provide Excessive Severance Benefits or Perquisites. </w:t>
      </w:r>
      <w:r>
        <w:rPr>
          <w:rFonts w:ascii="Arial" w:cs="Arial" w:eastAsia="Arial" w:hAnsi="Arial"/>
          <w:sz w:val="18"/>
          <w:szCs w:val="18"/>
          <w:color w:val="auto"/>
        </w:rPr>
        <w:t>The Company</w:t>
      </w:r>
      <w:r>
        <w:rPr>
          <w:rFonts w:ascii="Arial" w:cs="Arial" w:eastAsia="Arial" w:hAnsi="Arial"/>
          <w:sz w:val="18"/>
          <w:szCs w:val="18"/>
          <w:b w:val="1"/>
          <w:bCs w:val="1"/>
          <w:color w:val="auto"/>
        </w:rPr>
        <w:t xml:space="preserve"> </w:t>
      </w:r>
      <w:r>
        <w:rPr>
          <w:rFonts w:ascii="Arial" w:cs="Arial" w:eastAsia="Arial" w:hAnsi="Arial"/>
          <w:sz w:val="35"/>
          <w:szCs w:val="3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only limited severance benefits and perquisites to executives.</w:t>
      </w:r>
    </w:p>
    <w:p>
      <w:pPr>
        <w:spacing w:after="0" w:line="185" w:lineRule="auto"/>
        <w:tabs>
          <w:tab w:leader="none" w:pos="6500" w:val="left"/>
        </w:tabs>
        <w:rPr>
          <w:sz w:val="20"/>
          <w:szCs w:val="20"/>
          <w:color w:val="auto"/>
        </w:rPr>
      </w:pPr>
      <w:r>
        <w:rPr>
          <w:rFonts w:ascii="Arial" w:cs="Arial" w:eastAsia="Arial" w:hAnsi="Arial"/>
          <w:sz w:val="18"/>
          <w:szCs w:val="18"/>
          <w:b w:val="1"/>
          <w:bCs w:val="1"/>
          <w:color w:val="auto"/>
        </w:rPr>
        <w:t>Doesn’t Reimburse or Indemnify Against Recouped Incentive-Based</w:t>
      </w:r>
      <w:r>
        <w:rPr>
          <w:sz w:val="20"/>
          <w:szCs w:val="20"/>
          <w:color w:val="auto"/>
        </w:rPr>
        <w:tab/>
      </w:r>
      <w:r>
        <w:rPr>
          <w:rFonts w:ascii="Arial" w:cs="Arial" w:eastAsia="Arial" w:hAnsi="Arial"/>
          <w:sz w:val="30"/>
          <w:szCs w:val="30"/>
          <w:color w:val="auto"/>
          <w:vertAlign w:val="superscript"/>
        </w:rPr>
        <w:t>​</w:t>
      </w:r>
    </w:p>
    <w:p>
      <w:pPr>
        <w:ind w:right="1900"/>
        <w:spacing w:after="0" w:line="255" w:lineRule="auto"/>
        <w:rPr>
          <w:sz w:val="20"/>
          <w:szCs w:val="20"/>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The Company does not reimburse executive officers for recouped</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incentive-based compensation or indemnify or insure executive officers in connection with recoupment of incentive-based compensation under its clawback policy.</w:t>
      </w:r>
    </w:p>
    <w:p>
      <w:pPr>
        <w:spacing w:after="0" w:line="200" w:lineRule="exact"/>
        <w:rPr>
          <w:sz w:val="20"/>
          <w:szCs w:val="20"/>
          <w:color w:val="auto"/>
        </w:rPr>
      </w:pPr>
    </w:p>
    <w:p>
      <w:pPr>
        <w:sectPr>
          <w:pgSz w:w="11900" w:h="16838" w:orient="portrait"/>
          <w:cols w:equalWidth="0" w:num="2">
            <w:col w:w="2280" w:space="60"/>
            <w:col w:w="8380"/>
          </w:cols>
          <w:pgMar w:left="580" w:top="97" w:right="599" w:bottom="1440" w:gutter="0" w:footer="0" w:header="0"/>
          <w:type w:val="continuous"/>
        </w:sectPr>
      </w:pPr>
    </w:p>
    <w:p>
      <w:pPr>
        <w:spacing w:after="0" w:line="32"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Compensation Risk Management</w:t>
      </w:r>
    </w:p>
    <w:p>
      <w:pPr>
        <w:spacing w:after="0" w:line="153" w:lineRule="exact"/>
        <w:rPr>
          <w:sz w:val="20"/>
          <w:szCs w:val="20"/>
          <w:color w:val="auto"/>
        </w:rPr>
      </w:pPr>
    </w:p>
    <w:p>
      <w:pPr>
        <w:ind w:left="1000" w:right="1180"/>
        <w:spacing w:after="0" w:line="255" w:lineRule="auto"/>
        <w:rPr>
          <w:sz w:val="20"/>
          <w:szCs w:val="20"/>
          <w:color w:val="auto"/>
        </w:rPr>
      </w:pPr>
      <w:r>
        <w:rPr>
          <w:rFonts w:ascii="Arial" w:cs="Arial" w:eastAsia="Arial" w:hAnsi="Arial"/>
          <w:sz w:val="18"/>
          <w:szCs w:val="18"/>
          <w:color w:val="auto"/>
        </w:rPr>
        <w:t>The Compensation Committee reviewed the annual assessment of the Company’s executive compensation programs prepared by its independent compensation consultant. It concluded that the Company’s compensation policies and practices for fiscal 2025 did not create risks that are reasonably likely to have a material adverse effect on the Company or create inappropriate or unintended significant risk to the Company as a whole. It further concluded that the incentive compensation programs provide incentives that do not encourage excessive risk-taking that is beyond the Company’s ability to effectively identify and manage. The Committee and management believe that the incentive compensation programs are compatible with effective internal controls and the Company’s risk management practices and are supported by the Committee’s oversight and administration.</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ELEMENTS OF EXECUTIVE COMPENSATION</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Base Salary</w:t>
      </w:r>
    </w:p>
    <w:p>
      <w:pPr>
        <w:spacing w:after="0" w:line="15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annual base salaries as of fiscal year ends 2024 and 2025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0" w:type="dxa"/>
            <w:vAlign w:val="bottom"/>
          </w:tcPr>
          <w:p>
            <w:pPr>
              <w:spacing w:after="0"/>
              <w:rPr>
                <w:sz w:val="16"/>
                <w:szCs w:val="16"/>
                <w:color w:val="auto"/>
              </w:rPr>
            </w:pPr>
          </w:p>
        </w:tc>
        <w:tc>
          <w:tcPr>
            <w:tcW w:w="3280" w:type="dxa"/>
            <w:vAlign w:val="bottom"/>
            <w:shd w:val="clear" w:color="auto" w:fill="53C072"/>
          </w:tcPr>
          <w:p>
            <w:pPr>
              <w:spacing w:after="0"/>
              <w:rPr>
                <w:sz w:val="16"/>
                <w:szCs w:val="16"/>
                <w:color w:val="auto"/>
              </w:rPr>
            </w:pPr>
          </w:p>
        </w:tc>
        <w:tc>
          <w:tcPr>
            <w:tcW w:w="3300" w:type="dxa"/>
            <w:vAlign w:val="bottom"/>
            <w:gridSpan w:val="2"/>
            <w:shd w:val="clear" w:color="auto" w:fill="53C072"/>
          </w:tcPr>
          <w:p>
            <w:pPr>
              <w:ind w:left="2280"/>
              <w:spacing w:after="0"/>
              <w:rPr>
                <w:sz w:val="20"/>
                <w:szCs w:val="20"/>
                <w:color w:val="auto"/>
              </w:rPr>
            </w:pPr>
            <w:r>
              <w:rPr>
                <w:rFonts w:ascii="Arial" w:cs="Arial" w:eastAsia="Arial" w:hAnsi="Arial"/>
                <w:sz w:val="14"/>
                <w:szCs w:val="14"/>
                <w:b w:val="1"/>
                <w:bCs w:val="1"/>
                <w:color w:val="FEFEFE"/>
              </w:rPr>
              <w:t>2024 FY End</w:t>
            </w:r>
          </w:p>
        </w:tc>
        <w:tc>
          <w:tcPr>
            <w:tcW w:w="1140" w:type="dxa"/>
            <w:vAlign w:val="bottom"/>
            <w:gridSpan w:val="2"/>
            <w:shd w:val="clear" w:color="auto" w:fill="53C072"/>
          </w:tcPr>
          <w:p>
            <w:pPr>
              <w:ind w:left="140"/>
              <w:spacing w:after="0"/>
              <w:rPr>
                <w:sz w:val="20"/>
                <w:szCs w:val="20"/>
                <w:color w:val="auto"/>
              </w:rPr>
            </w:pPr>
            <w:r>
              <w:rPr>
                <w:rFonts w:ascii="Arial" w:cs="Arial" w:eastAsia="Arial" w:hAnsi="Arial"/>
                <w:sz w:val="14"/>
                <w:szCs w:val="14"/>
                <w:b w:val="1"/>
                <w:bCs w:val="1"/>
                <w:color w:val="FEFEFE"/>
              </w:rPr>
              <w:t>2025 FY End</w:t>
            </w:r>
          </w:p>
        </w:tc>
        <w:tc>
          <w:tcPr>
            <w:tcW w:w="1040" w:type="dxa"/>
            <w:vAlign w:val="bottom"/>
            <w:shd w:val="clear" w:color="auto" w:fill="53C072"/>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980" w:type="dxa"/>
            <w:vAlign w:val="bottom"/>
          </w:tcPr>
          <w:p>
            <w:pPr>
              <w:spacing w:after="0"/>
              <w:rPr>
                <w:sz w:val="14"/>
                <w:szCs w:val="14"/>
                <w:color w:val="auto"/>
              </w:rPr>
            </w:pPr>
          </w:p>
        </w:tc>
        <w:tc>
          <w:tcPr>
            <w:tcW w:w="3280" w:type="dxa"/>
            <w:vAlign w:val="bottom"/>
            <w:shd w:val="clear" w:color="auto" w:fill="53C072"/>
          </w:tcPr>
          <w:p>
            <w:pPr>
              <w:spacing w:after="0"/>
              <w:rPr>
                <w:sz w:val="14"/>
                <w:szCs w:val="14"/>
                <w:color w:val="auto"/>
              </w:rPr>
            </w:pPr>
          </w:p>
        </w:tc>
        <w:tc>
          <w:tcPr>
            <w:tcW w:w="2460" w:type="dxa"/>
            <w:vAlign w:val="bottom"/>
            <w:shd w:val="clear" w:color="auto" w:fill="53C072"/>
          </w:tcPr>
          <w:p>
            <w:pPr>
              <w:spacing w:after="0"/>
              <w:rPr>
                <w:sz w:val="14"/>
                <w:szCs w:val="14"/>
                <w:color w:val="auto"/>
              </w:rPr>
            </w:pPr>
          </w:p>
        </w:tc>
        <w:tc>
          <w:tcPr>
            <w:tcW w:w="840" w:type="dxa"/>
            <w:vAlign w:val="bottom"/>
            <w:shd w:val="clear" w:color="auto" w:fill="53C072"/>
          </w:tcPr>
          <w:p>
            <w:pPr>
              <w:jc w:val="right"/>
              <w:ind w:right="74"/>
              <w:spacing w:after="0"/>
              <w:rPr>
                <w:sz w:val="20"/>
                <w:szCs w:val="20"/>
                <w:color w:val="auto"/>
              </w:rPr>
            </w:pPr>
            <w:r>
              <w:rPr>
                <w:rFonts w:ascii="Arial" w:cs="Arial" w:eastAsia="Arial" w:hAnsi="Arial"/>
                <w:sz w:val="14"/>
                <w:szCs w:val="14"/>
                <w:b w:val="1"/>
                <w:bCs w:val="1"/>
                <w:color w:val="FEFEFE"/>
              </w:rPr>
              <w:t>Annual</w:t>
            </w:r>
          </w:p>
        </w:tc>
        <w:tc>
          <w:tcPr>
            <w:tcW w:w="300" w:type="dxa"/>
            <w:vAlign w:val="bottom"/>
            <w:shd w:val="clear" w:color="auto" w:fill="53C072"/>
          </w:tcPr>
          <w:p>
            <w:pPr>
              <w:spacing w:after="0"/>
              <w:rPr>
                <w:sz w:val="14"/>
                <w:szCs w:val="14"/>
                <w:color w:val="auto"/>
              </w:rPr>
            </w:pPr>
          </w:p>
        </w:tc>
        <w:tc>
          <w:tcPr>
            <w:tcW w:w="840" w:type="dxa"/>
            <w:vAlign w:val="bottom"/>
            <w:shd w:val="clear" w:color="auto" w:fill="53C072"/>
          </w:tcPr>
          <w:p>
            <w:pPr>
              <w:jc w:val="right"/>
              <w:ind w:right="74"/>
              <w:spacing w:after="0"/>
              <w:rPr>
                <w:sz w:val="20"/>
                <w:szCs w:val="20"/>
                <w:color w:val="auto"/>
              </w:rPr>
            </w:pPr>
            <w:r>
              <w:rPr>
                <w:rFonts w:ascii="Arial" w:cs="Arial" w:eastAsia="Arial" w:hAnsi="Arial"/>
                <w:sz w:val="14"/>
                <w:szCs w:val="14"/>
                <w:b w:val="1"/>
                <w:bCs w:val="1"/>
                <w:color w:val="FEFEFE"/>
              </w:rPr>
              <w:t>Annual</w:t>
            </w:r>
          </w:p>
        </w:tc>
        <w:tc>
          <w:tcPr>
            <w:tcW w:w="1040" w:type="dxa"/>
            <w:vAlign w:val="bottom"/>
            <w:shd w:val="clear" w:color="auto" w:fill="53C072"/>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980" w:type="dxa"/>
            <w:vAlign w:val="bottom"/>
          </w:tcPr>
          <w:p>
            <w:pPr>
              <w:spacing w:after="0"/>
              <w:rPr>
                <w:sz w:val="14"/>
                <w:szCs w:val="14"/>
                <w:color w:val="auto"/>
              </w:rPr>
            </w:pPr>
          </w:p>
        </w:tc>
        <w:tc>
          <w:tcPr>
            <w:tcW w:w="328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NEO</w:t>
            </w:r>
          </w:p>
        </w:tc>
        <w:tc>
          <w:tcPr>
            <w:tcW w:w="3300" w:type="dxa"/>
            <w:vAlign w:val="bottom"/>
            <w:gridSpan w:val="2"/>
            <w:shd w:val="clear" w:color="auto" w:fill="53C072"/>
          </w:tcPr>
          <w:p>
            <w:pPr>
              <w:jc w:val="right"/>
              <w:ind w:right="34"/>
              <w:spacing w:after="0"/>
              <w:rPr>
                <w:sz w:val="20"/>
                <w:szCs w:val="20"/>
                <w:color w:val="auto"/>
              </w:rPr>
            </w:pPr>
            <w:r>
              <w:rPr>
                <w:rFonts w:ascii="Arial" w:cs="Arial" w:eastAsia="Arial" w:hAnsi="Arial"/>
                <w:sz w:val="14"/>
                <w:szCs w:val="14"/>
                <w:b w:val="1"/>
                <w:bCs w:val="1"/>
                <w:color w:val="FEFEFE"/>
              </w:rPr>
              <w:t>Base Salary</w:t>
            </w:r>
          </w:p>
        </w:tc>
        <w:tc>
          <w:tcPr>
            <w:tcW w:w="1140" w:type="dxa"/>
            <w:vAlign w:val="bottom"/>
            <w:gridSpan w:val="2"/>
            <w:shd w:val="clear" w:color="auto" w:fill="53C072"/>
          </w:tcPr>
          <w:p>
            <w:pPr>
              <w:jc w:val="right"/>
              <w:ind w:right="34"/>
              <w:spacing w:after="0"/>
              <w:rPr>
                <w:sz w:val="20"/>
                <w:szCs w:val="20"/>
                <w:color w:val="auto"/>
              </w:rPr>
            </w:pPr>
            <w:r>
              <w:rPr>
                <w:rFonts w:ascii="Arial" w:cs="Arial" w:eastAsia="Arial" w:hAnsi="Arial"/>
                <w:sz w:val="14"/>
                <w:szCs w:val="14"/>
                <w:b w:val="1"/>
                <w:bCs w:val="1"/>
                <w:color w:val="FEFEFE"/>
              </w:rPr>
              <w:t>Base Salary</w:t>
            </w:r>
          </w:p>
        </w:tc>
        <w:tc>
          <w:tcPr>
            <w:tcW w:w="1040" w:type="dxa"/>
            <w:vAlign w:val="bottom"/>
            <w:shd w:val="clear" w:color="auto" w:fill="53C072"/>
          </w:tcPr>
          <w:p>
            <w:pPr>
              <w:jc w:val="right"/>
              <w:ind w:right="33"/>
              <w:spacing w:after="0" w:line="172" w:lineRule="exact"/>
              <w:rPr>
                <w:sz w:val="20"/>
                <w:szCs w:val="20"/>
                <w:color w:val="auto"/>
              </w:rPr>
            </w:pPr>
            <w:r>
              <w:rPr>
                <w:rFonts w:ascii="Arial" w:cs="Arial" w:eastAsia="Arial" w:hAnsi="Arial"/>
                <w:sz w:val="14"/>
                <w:szCs w:val="14"/>
                <w:b w:val="1"/>
                <w:bCs w:val="1"/>
                <w:color w:val="FEFEFE"/>
              </w:rPr>
              <w:t>% Change</w:t>
            </w:r>
            <w:r>
              <w:rPr>
                <w:rFonts w:ascii="Arial" w:cs="Arial" w:eastAsia="Arial" w:hAnsi="Arial"/>
                <w:sz w:val="17"/>
                <w:szCs w:val="17"/>
                <w:b w:val="1"/>
                <w:bCs w:val="1"/>
                <w:color w:val="FEFEFE"/>
                <w:vertAlign w:val="superscript"/>
              </w:rPr>
              <w:t>(1)</w:t>
            </w:r>
          </w:p>
        </w:tc>
        <w:tc>
          <w:tcPr>
            <w:tcW w:w="980" w:type="dxa"/>
            <w:vAlign w:val="bottom"/>
          </w:tcPr>
          <w:p>
            <w:pPr>
              <w:spacing w:after="0"/>
              <w:rPr>
                <w:sz w:val="14"/>
                <w:szCs w:val="14"/>
                <w:color w:val="auto"/>
              </w:rPr>
            </w:pPr>
          </w:p>
        </w:tc>
      </w:tr>
      <w:tr>
        <w:trPr>
          <w:trHeight w:val="230"/>
        </w:trPr>
        <w:tc>
          <w:tcPr>
            <w:tcW w:w="980" w:type="dxa"/>
            <w:vAlign w:val="bottom"/>
          </w:tcPr>
          <w:p>
            <w:pPr>
              <w:spacing w:after="0"/>
              <w:rPr>
                <w:sz w:val="19"/>
                <w:szCs w:val="19"/>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Gallagher</w:t>
            </w:r>
          </w:p>
        </w:tc>
        <w:tc>
          <w:tcPr>
            <w:tcW w:w="3300" w:type="dxa"/>
            <w:vAlign w:val="bottom"/>
            <w:gridSpan w:val="2"/>
          </w:tcPr>
          <w:p>
            <w:pPr>
              <w:jc w:val="right"/>
              <w:ind w:right="34"/>
              <w:spacing w:after="0"/>
              <w:rPr>
                <w:sz w:val="20"/>
                <w:szCs w:val="20"/>
                <w:color w:val="auto"/>
              </w:rPr>
            </w:pPr>
            <w:r>
              <w:rPr>
                <w:rFonts w:ascii="Arial" w:cs="Arial" w:eastAsia="Arial" w:hAnsi="Arial"/>
                <w:sz w:val="18"/>
                <w:szCs w:val="18"/>
                <w:color w:val="auto"/>
              </w:rPr>
              <w:t>​$1,200,000</w:t>
            </w: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​$1,200,000</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r>
      <w:tr>
        <w:trPr>
          <w:trHeight w:val="256"/>
        </w:trPr>
        <w:tc>
          <w:tcPr>
            <w:tcW w:w="980" w:type="dxa"/>
            <w:vAlign w:val="bottom"/>
          </w:tcPr>
          <w:p>
            <w:pPr>
              <w:spacing w:after="0"/>
              <w:rPr>
                <w:sz w:val="22"/>
                <w:szCs w:val="22"/>
                <w:color w:val="auto"/>
              </w:rPr>
            </w:pPr>
          </w:p>
        </w:tc>
        <w:tc>
          <w:tcPr>
            <w:tcW w:w="3280" w:type="dxa"/>
            <w:vAlign w:val="bottom"/>
            <w:shd w:val="clear" w:color="auto" w:fill="CBECD5"/>
          </w:tcPr>
          <w:p>
            <w:pPr>
              <w:ind w:left="120"/>
              <w:spacing w:after="0" w:line="256" w:lineRule="exact"/>
              <w:rPr>
                <w:sz w:val="20"/>
                <w:szCs w:val="20"/>
                <w:color w:val="auto"/>
              </w:rPr>
            </w:pPr>
            <w:r>
              <w:rPr>
                <w:rFonts w:ascii="Arial" w:cs="Arial" w:eastAsia="Arial" w:hAnsi="Arial"/>
                <w:sz w:val="18"/>
                <w:szCs w:val="18"/>
                <w:color w:val="auto"/>
              </w:rPr>
              <w:t>Jacobson</w:t>
            </w:r>
            <w:r>
              <w:rPr>
                <w:rFonts w:ascii="Arial" w:cs="Arial" w:eastAsia="Arial" w:hAnsi="Arial"/>
                <w:sz w:val="23"/>
                <w:szCs w:val="23"/>
                <w:color w:val="auto"/>
                <w:vertAlign w:val="superscript"/>
              </w:rPr>
              <w:t>(2)</w:t>
            </w:r>
          </w:p>
        </w:tc>
        <w:tc>
          <w:tcPr>
            <w:tcW w:w="2460" w:type="dxa"/>
            <w:vAlign w:val="bottom"/>
            <w:shd w:val="clear" w:color="auto" w:fill="CBECD5"/>
          </w:tcPr>
          <w:p>
            <w:pPr>
              <w:ind w:left="2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600,000</w:t>
            </w:r>
          </w:p>
        </w:tc>
        <w:tc>
          <w:tcPr>
            <w:tcW w:w="300" w:type="dxa"/>
            <w:vAlign w:val="bottom"/>
            <w:shd w:val="clear" w:color="auto" w:fill="CBECD5"/>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14"/>
              <w:spacing w:after="0"/>
              <w:rPr>
                <w:sz w:val="20"/>
                <w:szCs w:val="20"/>
                <w:color w:val="auto"/>
              </w:rPr>
            </w:pPr>
            <w:r>
              <w:rPr>
                <w:rFonts w:ascii="Arial" w:cs="Arial" w:eastAsia="Arial" w:hAnsi="Arial"/>
                <w:sz w:val="18"/>
                <w:szCs w:val="18"/>
                <w:color w:val="auto"/>
              </w:rPr>
              <w:t>675,000</w:t>
            </w:r>
          </w:p>
        </w:tc>
        <w:tc>
          <w:tcPr>
            <w:tcW w:w="104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12.5%</w:t>
            </w:r>
          </w:p>
        </w:tc>
        <w:tc>
          <w:tcPr>
            <w:tcW w:w="980" w:type="dxa"/>
            <w:vAlign w:val="bottom"/>
          </w:tcPr>
          <w:p>
            <w:pPr>
              <w:spacing w:after="0"/>
              <w:rPr>
                <w:sz w:val="22"/>
                <w:szCs w:val="22"/>
                <w:color w:val="auto"/>
              </w:rPr>
            </w:pPr>
          </w:p>
        </w:tc>
      </w:tr>
      <w:tr>
        <w:trPr>
          <w:trHeight w:val="229"/>
        </w:trPr>
        <w:tc>
          <w:tcPr>
            <w:tcW w:w="980" w:type="dxa"/>
            <w:vAlign w:val="bottom"/>
          </w:tcPr>
          <w:p>
            <w:pPr>
              <w:spacing w:after="0"/>
              <w:rPr>
                <w:sz w:val="19"/>
                <w:szCs w:val="19"/>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Arnold</w:t>
            </w:r>
          </w:p>
        </w:tc>
        <w:tc>
          <w:tcPr>
            <w:tcW w:w="2460" w:type="dxa"/>
            <w:vAlign w:val="bottom"/>
          </w:tcPr>
          <w:p>
            <w:pPr>
              <w:ind w:left="22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560,000</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560,000</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r>
      <w:tr>
        <w:trPr>
          <w:trHeight w:val="230"/>
        </w:trPr>
        <w:tc>
          <w:tcPr>
            <w:tcW w:w="980" w:type="dxa"/>
            <w:vAlign w:val="bottom"/>
          </w:tcPr>
          <w:p>
            <w:pPr>
              <w:spacing w:after="0"/>
              <w:rPr>
                <w:sz w:val="19"/>
                <w:szCs w:val="19"/>
                <w:color w:val="auto"/>
              </w:rPr>
            </w:pPr>
          </w:p>
        </w:tc>
        <w:tc>
          <w:tcPr>
            <w:tcW w:w="3280" w:type="dxa"/>
            <w:vAlign w:val="bottom"/>
            <w:shd w:val="clear" w:color="auto" w:fill="CBECD5"/>
          </w:tcPr>
          <w:p>
            <w:pPr>
              <w:ind w:left="120"/>
              <w:spacing w:after="0"/>
              <w:rPr>
                <w:sz w:val="20"/>
                <w:szCs w:val="20"/>
                <w:color w:val="auto"/>
              </w:rPr>
            </w:pPr>
            <w:r>
              <w:rPr>
                <w:rFonts w:ascii="Arial" w:cs="Arial" w:eastAsia="Arial" w:hAnsi="Arial"/>
                <w:sz w:val="18"/>
                <w:szCs w:val="18"/>
                <w:color w:val="auto"/>
              </w:rPr>
              <w:t>Chan</w:t>
            </w:r>
          </w:p>
        </w:tc>
        <w:tc>
          <w:tcPr>
            <w:tcW w:w="2460" w:type="dxa"/>
            <w:vAlign w:val="bottom"/>
            <w:shd w:val="clear" w:color="auto" w:fill="CBECD5"/>
          </w:tcPr>
          <w:p>
            <w:pPr>
              <w:ind w:left="2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550,000</w:t>
            </w:r>
          </w:p>
        </w:tc>
        <w:tc>
          <w:tcPr>
            <w:tcW w:w="300" w:type="dxa"/>
            <w:vAlign w:val="bottom"/>
            <w:shd w:val="clear" w:color="auto" w:fill="CBECD5"/>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14"/>
              <w:spacing w:after="0"/>
              <w:rPr>
                <w:sz w:val="20"/>
                <w:szCs w:val="20"/>
                <w:color w:val="auto"/>
              </w:rPr>
            </w:pPr>
            <w:r>
              <w:rPr>
                <w:rFonts w:ascii="Arial" w:cs="Arial" w:eastAsia="Arial" w:hAnsi="Arial"/>
                <w:sz w:val="18"/>
                <w:szCs w:val="18"/>
                <w:color w:val="auto"/>
              </w:rPr>
              <w:t>550,000</w:t>
            </w:r>
          </w:p>
        </w:tc>
        <w:tc>
          <w:tcPr>
            <w:tcW w:w="104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r>
      <w:tr>
        <w:trPr>
          <w:trHeight w:val="290"/>
        </w:trPr>
        <w:tc>
          <w:tcPr>
            <w:tcW w:w="980" w:type="dxa"/>
            <w:vAlign w:val="bottom"/>
          </w:tcPr>
          <w:p>
            <w:pPr>
              <w:spacing w:after="0"/>
              <w:rPr>
                <w:sz w:val="24"/>
                <w:szCs w:val="24"/>
                <w:color w:val="auto"/>
              </w:rPr>
            </w:pPr>
          </w:p>
        </w:tc>
        <w:tc>
          <w:tcPr>
            <w:tcW w:w="3280" w:type="dxa"/>
            <w:vAlign w:val="bottom"/>
            <w:tcBorders>
              <w:bottom w:val="single" w:sz="8" w:color="53C072"/>
            </w:tcBorders>
          </w:tcPr>
          <w:p>
            <w:pPr>
              <w:ind w:left="120"/>
              <w:spacing w:after="0"/>
              <w:rPr>
                <w:sz w:val="20"/>
                <w:szCs w:val="20"/>
                <w:color w:val="auto"/>
              </w:rPr>
            </w:pPr>
            <w:r>
              <w:rPr>
                <w:rFonts w:ascii="Arial" w:cs="Arial" w:eastAsia="Arial" w:hAnsi="Arial"/>
                <w:sz w:val="18"/>
                <w:szCs w:val="18"/>
                <w:color w:val="auto"/>
              </w:rPr>
              <w:t>McCoy</w:t>
            </w:r>
          </w:p>
        </w:tc>
        <w:tc>
          <w:tcPr>
            <w:tcW w:w="2460" w:type="dxa"/>
            <w:vAlign w:val="bottom"/>
            <w:tcBorders>
              <w:bottom w:val="single" w:sz="8" w:color="53C072"/>
            </w:tcBorders>
          </w:tcPr>
          <w:p>
            <w:pPr>
              <w:ind w:left="2260"/>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840" w:type="dxa"/>
            <w:vAlign w:val="bottom"/>
            <w:tcBorders>
              <w:bottom w:val="single" w:sz="8" w:color="53C072"/>
            </w:tcBorders>
          </w:tcPr>
          <w:p>
            <w:pPr>
              <w:jc w:val="right"/>
              <w:ind w:right="34"/>
              <w:spacing w:after="0"/>
              <w:rPr>
                <w:sz w:val="20"/>
                <w:szCs w:val="20"/>
                <w:color w:val="auto"/>
              </w:rPr>
            </w:pPr>
            <w:r>
              <w:rPr>
                <w:rFonts w:ascii="Arial" w:cs="Arial" w:eastAsia="Arial" w:hAnsi="Arial"/>
                <w:sz w:val="18"/>
                <w:szCs w:val="18"/>
                <w:color w:val="auto"/>
              </w:rPr>
              <w:t>595,000</w:t>
            </w:r>
          </w:p>
        </w:tc>
        <w:tc>
          <w:tcPr>
            <w:tcW w:w="300" w:type="dxa"/>
            <w:vAlign w:val="bottom"/>
            <w:tcBorders>
              <w:bottom w:val="single" w:sz="8" w:color="53C072"/>
            </w:tcBorders>
          </w:tcPr>
          <w:p>
            <w:pPr>
              <w:ind w:left="100"/>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840" w:type="dxa"/>
            <w:vAlign w:val="bottom"/>
            <w:tcBorders>
              <w:bottom w:val="single" w:sz="8" w:color="53C072"/>
            </w:tcBorders>
          </w:tcPr>
          <w:p>
            <w:pPr>
              <w:jc w:val="right"/>
              <w:ind w:right="14"/>
              <w:spacing w:after="0"/>
              <w:rPr>
                <w:sz w:val="20"/>
                <w:szCs w:val="20"/>
                <w:color w:val="auto"/>
              </w:rPr>
            </w:pPr>
            <w:r>
              <w:rPr>
                <w:rFonts w:ascii="Arial" w:cs="Arial" w:eastAsia="Arial" w:hAnsi="Arial"/>
                <w:sz w:val="18"/>
                <w:szCs w:val="18"/>
                <w:color w:val="auto"/>
              </w:rPr>
              <w:t>595,000</w:t>
            </w:r>
          </w:p>
        </w:tc>
        <w:tc>
          <w:tcPr>
            <w:tcW w:w="1040" w:type="dxa"/>
            <w:vAlign w:val="bottom"/>
            <w:tcBorders>
              <w:bottom w:val="single" w:sz="8" w:color="53C072"/>
            </w:tcBorders>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r>
      <w:tr>
        <w:trPr>
          <w:trHeight w:val="638"/>
        </w:trPr>
        <w:tc>
          <w:tcPr>
            <w:tcW w:w="9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980" w:type="dxa"/>
            <w:vAlign w:val="bottom"/>
          </w:tcPr>
          <w:p>
            <w:pPr>
              <w:spacing w:after="0"/>
              <w:rPr>
                <w:sz w:val="24"/>
                <w:szCs w:val="24"/>
                <w:color w:val="auto"/>
              </w:rPr>
            </w:pPr>
          </w:p>
        </w:tc>
      </w:tr>
      <w:tr>
        <w:trPr>
          <w:trHeight w:val="449"/>
        </w:trPr>
        <w:tc>
          <w:tcPr>
            <w:tcW w:w="9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-513715</wp:posOffset>
            </wp:positionV>
            <wp:extent cx="1243330" cy="2400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43330" cy="24003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43" w:lineRule="exact"/>
        <w:rPr>
          <w:sz w:val="20"/>
          <w:szCs w:val="20"/>
          <w:color w:val="auto"/>
        </w:rPr>
      </w:pPr>
    </w:p>
    <w:p>
      <w:pPr>
        <w:jc w:val="right"/>
        <w:ind w:right="139"/>
        <w:spacing w:after="0"/>
        <w:tabs>
          <w:tab w:leader="none" w:pos="2460" w:val="left"/>
        </w:tabs>
        <w:rPr>
          <w:sz w:val="20"/>
          <w:szCs w:val="20"/>
          <w:color w:val="auto"/>
        </w:rPr>
      </w:pPr>
      <w:r>
        <w:rPr>
          <w:rFonts w:ascii="Arial" w:cs="Arial" w:eastAsia="Arial" w:hAnsi="Arial"/>
          <w:sz w:val="28"/>
          <w:szCs w:val="28"/>
          <w:b w:val="1"/>
          <w:bCs w:val="1"/>
          <w:color w:val="53C072"/>
          <w:vertAlign w:val="superscript"/>
        </w:rPr>
        <w:t>2025 ANNUAL</w:t>
      </w:r>
      <w:r>
        <w:rPr>
          <w:rFonts w:ascii="Arial" w:cs="Arial" w:eastAsia="Arial" w:hAnsi="Arial"/>
          <w:sz w:val="28"/>
          <w:szCs w:val="28"/>
          <w:b w:val="1"/>
          <w:bCs w:val="1"/>
          <w:color w:val="auto"/>
          <w:vertAlign w:val="superscript"/>
        </w:rPr>
        <w:t xml:space="preserve"> </w:t>
      </w:r>
      <w:r>
        <w:rPr>
          <w:sz w:val="20"/>
          <w:szCs w:val="20"/>
          <w:color w:val="auto"/>
        </w:rPr>
        <w:tab/>
      </w:r>
      <w:r>
        <w:rPr>
          <w:rFonts w:ascii="Arial" w:cs="Arial" w:eastAsia="Arial" w:hAnsi="Arial"/>
          <w:sz w:val="14"/>
          <w:szCs w:val="14"/>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720" w:right="159" w:hanging="730"/>
        <w:spacing w:after="0" w:line="259" w:lineRule="auto"/>
        <w:tabs>
          <w:tab w:leader="none" w:pos="1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generally implements base salary increases for executive officers on a fiscal year basis, although it may consider mid-year increases in the event of a promotion. In determining the increases to base salaries for fiscal 2025, the Committee considered the NEO’s experience in the position, the long-term performance of the individual NEO, and the benchmarking data, and aligned compensation for each NEO more closely to market.</w:t>
      </w:r>
    </w:p>
    <w:p>
      <w:pPr>
        <w:spacing w:after="0" w:line="111" w:lineRule="exact"/>
        <w:rPr>
          <w:rFonts w:ascii="Arial" w:cs="Arial" w:eastAsia="Arial" w:hAnsi="Arial"/>
          <w:sz w:val="18"/>
          <w:szCs w:val="18"/>
          <w:color w:val="auto"/>
        </w:rPr>
      </w:pPr>
    </w:p>
    <w:p>
      <w:pPr>
        <w:ind w:left="1720" w:hanging="730"/>
        <w:spacing w:after="0"/>
        <w:tabs>
          <w:tab w:leader="none" w:pos="1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increase to Mr. Jacobson’s salary was to align it closer to market peers.</w:t>
      </w:r>
    </w:p>
    <w:p>
      <w:pPr>
        <w:spacing w:after="0" w:line="139"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Annual Cash Incentives</w:t>
      </w:r>
    </w:p>
    <w:p>
      <w:pPr>
        <w:spacing w:after="0" w:line="153" w:lineRule="exact"/>
        <w:rPr>
          <w:sz w:val="20"/>
          <w:szCs w:val="20"/>
          <w:color w:val="auto"/>
        </w:rPr>
      </w:pPr>
    </w:p>
    <w:p>
      <w:pPr>
        <w:ind w:left="1000" w:right="299"/>
        <w:spacing w:after="0" w:line="259" w:lineRule="auto"/>
        <w:rPr>
          <w:sz w:val="20"/>
          <w:szCs w:val="20"/>
          <w:color w:val="auto"/>
        </w:rPr>
      </w:pPr>
      <w:r>
        <w:rPr>
          <w:rFonts w:ascii="Arial" w:cs="Arial" w:eastAsia="Arial" w:hAnsi="Arial"/>
          <w:sz w:val="18"/>
          <w:szCs w:val="18"/>
          <w:color w:val="auto"/>
        </w:rPr>
        <w:t>For fiscal 2025, the Committee approved the NEOs’ participation in the Company’s short-term incentive plan, making them eligible to receive annual cash incentive compensation based on pre-established performance goals as set forth in the following table. The design included both financial and non-financial metrics. The Committee believes the design reflects the Company’s business strategy, and effectively drives behaviors and decisions consistent with the Company’s strategic objectives.</w:t>
      </w:r>
    </w:p>
    <w:p>
      <w:pPr>
        <w:spacing w:after="0" w:line="146" w:lineRule="exact"/>
        <w:rPr>
          <w:sz w:val="20"/>
          <w:szCs w:val="20"/>
          <w:color w:val="auto"/>
        </w:rPr>
      </w:pPr>
    </w:p>
    <w:tbl>
      <w:tblPr>
        <w:tblLayout w:type="fixed"/>
        <w:tblInd w:w="990" w:type="dxa"/>
        <w:tblCellMar>
          <w:top w:w="0" w:type="dxa"/>
          <w:left w:w="0" w:type="dxa"/>
          <w:bottom w:w="0" w:type="dxa"/>
          <w:right w:w="0" w:type="dxa"/>
        </w:tblCellMar>
      </w:tblPr>
      <w:tr>
        <w:trPr>
          <w:trHeight w:val="322"/>
        </w:trPr>
        <w:tc>
          <w:tcPr>
            <w:tcW w:w="1540" w:type="dxa"/>
            <w:vAlign w:val="bottom"/>
            <w:tcBorders>
              <w:left w:val="single" w:sz="8" w:color="53C072"/>
            </w:tcBorders>
            <w:shd w:val="clear" w:color="auto" w:fill="53C072"/>
          </w:tcPr>
          <w:p>
            <w:pPr>
              <w:ind w:left="240"/>
              <w:spacing w:after="0"/>
              <w:rPr>
                <w:sz w:val="20"/>
                <w:szCs w:val="20"/>
                <w:color w:val="auto"/>
              </w:rPr>
            </w:pPr>
            <w:r>
              <w:rPr>
                <w:rFonts w:ascii="Arial" w:cs="Arial" w:eastAsia="Arial" w:hAnsi="Arial"/>
                <w:sz w:val="14"/>
                <w:szCs w:val="14"/>
                <w:b w:val="1"/>
                <w:bCs w:val="1"/>
                <w:color w:val="FEFEFE"/>
              </w:rPr>
              <w:t>Metrics</w:t>
            </w:r>
          </w:p>
        </w:tc>
        <w:tc>
          <w:tcPr>
            <w:tcW w:w="1340" w:type="dxa"/>
            <w:vAlign w:val="bottom"/>
            <w:gridSpan w:val="5"/>
            <w:shd w:val="clear" w:color="auto" w:fill="53C072"/>
          </w:tcPr>
          <w:p>
            <w:pPr>
              <w:ind w:left="200"/>
              <w:spacing w:after="0"/>
              <w:rPr>
                <w:sz w:val="20"/>
                <w:szCs w:val="20"/>
                <w:color w:val="auto"/>
              </w:rPr>
            </w:pP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Weighting </w:t>
            </w:r>
            <w:r>
              <w:rPr>
                <w:rFonts w:ascii="Arial" w:cs="Arial" w:eastAsia="Arial" w:hAnsi="Arial"/>
                <w:sz w:val="28"/>
                <w:szCs w:val="28"/>
                <w:b w:val="1"/>
                <w:bCs w:val="1"/>
                <w:color w:val="FEFEFE"/>
                <w:vertAlign w:val="subscript"/>
              </w:rPr>
              <w:t>​ ​</w:t>
            </w:r>
          </w:p>
        </w:tc>
        <w:tc>
          <w:tcPr>
            <w:tcW w:w="2280" w:type="dxa"/>
            <w:vAlign w:val="bottom"/>
            <w:shd w:val="clear" w:color="auto" w:fill="53C072"/>
          </w:tcPr>
          <w:p>
            <w:pPr>
              <w:ind w:left="80"/>
              <w:spacing w:after="0"/>
              <w:rPr>
                <w:sz w:val="20"/>
                <w:szCs w:val="20"/>
                <w:color w:val="auto"/>
              </w:rPr>
            </w:pPr>
            <w:r>
              <w:rPr>
                <w:rFonts w:ascii="Arial" w:cs="Arial" w:eastAsia="Arial" w:hAnsi="Arial"/>
                <w:sz w:val="14"/>
                <w:szCs w:val="14"/>
                <w:b w:val="1"/>
                <w:bCs w:val="1"/>
                <w:color w:val="FEFEFE"/>
              </w:rPr>
              <w:t>Financial Performance Metrics</w:t>
            </w:r>
          </w:p>
        </w:tc>
        <w:tc>
          <w:tcPr>
            <w:tcW w:w="1180" w:type="dxa"/>
            <w:vAlign w:val="bottom"/>
            <w:gridSpan w:val="4"/>
            <w:shd w:val="clear" w:color="auto" w:fill="53C072"/>
          </w:tcPr>
          <w:p>
            <w:pPr>
              <w:ind w:left="60"/>
              <w:spacing w:after="0"/>
              <w:rPr>
                <w:sz w:val="20"/>
                <w:szCs w:val="20"/>
                <w:color w:val="auto"/>
              </w:rPr>
            </w:pP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Weighting </w:t>
            </w:r>
            <w:r>
              <w:rPr>
                <w:rFonts w:ascii="Arial" w:cs="Arial" w:eastAsia="Arial" w:hAnsi="Arial"/>
                <w:sz w:val="28"/>
                <w:szCs w:val="28"/>
                <w:b w:val="1"/>
                <w:bCs w:val="1"/>
                <w:color w:val="FEFEFE"/>
                <w:vertAlign w:val="subscript"/>
              </w:rPr>
              <w:t>​ ​</w:t>
            </w:r>
          </w:p>
        </w:tc>
        <w:tc>
          <w:tcPr>
            <w:tcW w:w="2420" w:type="dxa"/>
            <w:vAlign w:val="bottom"/>
            <w:tcBorders>
              <w:right w:val="single" w:sz="8" w:color="53C072"/>
            </w:tcBorders>
            <w:shd w:val="clear" w:color="auto" w:fill="53C072"/>
          </w:tcPr>
          <w:p>
            <w:pPr>
              <w:jc w:val="center"/>
              <w:ind w:right="32"/>
              <w:spacing w:after="0"/>
              <w:rPr>
                <w:sz w:val="20"/>
                <w:szCs w:val="20"/>
                <w:color w:val="auto"/>
              </w:rPr>
            </w:pPr>
            <w:r>
              <w:rPr>
                <w:rFonts w:ascii="Arial" w:cs="Arial" w:eastAsia="Arial" w:hAnsi="Arial"/>
                <w:sz w:val="14"/>
                <w:szCs w:val="14"/>
                <w:b w:val="1"/>
                <w:bCs w:val="1"/>
                <w:color w:val="FEFEFE"/>
              </w:rPr>
              <w:t>Target Performance Goal</w:t>
            </w:r>
          </w:p>
        </w:tc>
        <w:tc>
          <w:tcPr>
            <w:tcW w:w="0" w:type="dxa"/>
            <w:vAlign w:val="bottom"/>
          </w:tcPr>
          <w:p>
            <w:pPr>
              <w:spacing w:after="0"/>
              <w:rPr>
                <w:sz w:val="1"/>
                <w:szCs w:val="1"/>
                <w:color w:val="auto"/>
              </w:rPr>
            </w:pPr>
          </w:p>
        </w:tc>
      </w:tr>
      <w:tr>
        <w:trPr>
          <w:trHeight w:val="238"/>
        </w:trPr>
        <w:tc>
          <w:tcPr>
            <w:tcW w:w="1540" w:type="dxa"/>
            <w:vAlign w:val="bottom"/>
            <w:tcBorders>
              <w:left w:val="single" w:sz="8" w:color="53C072"/>
            </w:tcBorders>
          </w:tcPr>
          <w:p>
            <w:pPr>
              <w:spacing w:after="0"/>
              <w:rPr>
                <w:sz w:val="20"/>
                <w:szCs w:val="20"/>
                <w:color w:val="auto"/>
              </w:rPr>
            </w:pPr>
          </w:p>
        </w:tc>
        <w:tc>
          <w:tcPr>
            <w:tcW w:w="260" w:type="dxa"/>
            <w:vAlign w:val="bottom"/>
            <w:tcBorders>
              <w:right w:val="single" w:sz="8" w:color="53C072"/>
            </w:tcBorders>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right w:val="single" w:sz="8" w:color="53C072"/>
            </w:tcBorders>
          </w:tcPr>
          <w:p>
            <w:pPr>
              <w:spacing w:after="0"/>
              <w:rPr>
                <w:sz w:val="20"/>
                <w:szCs w:val="20"/>
                <w:color w:val="auto"/>
              </w:rPr>
            </w:pP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Adjusted Operating Income</w:t>
            </w:r>
          </w:p>
        </w:tc>
        <w:tc>
          <w:tcPr>
            <w:tcW w:w="140" w:type="dxa"/>
            <w:vAlign w:val="bottom"/>
            <w:tcBorders>
              <w:right w:val="single" w:sz="8" w:color="53C072"/>
            </w:tcBorders>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right w:val="single" w:sz="8" w:color="53C072"/>
            </w:tcBorders>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Borders>
              <w:right w:val="single" w:sz="8" w:color="53C072"/>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1540" w:type="dxa"/>
            <w:vAlign w:val="bottom"/>
            <w:tcBorders>
              <w:left w:val="single" w:sz="8" w:color="53C072"/>
            </w:tcBorders>
            <w:vMerge w:val="restart"/>
          </w:tcPr>
          <w:p>
            <w:pPr>
              <w:ind w:left="240"/>
              <w:spacing w:after="0"/>
              <w:rPr>
                <w:sz w:val="20"/>
                <w:szCs w:val="20"/>
                <w:color w:val="auto"/>
              </w:rPr>
            </w:pPr>
            <w:r>
              <w:rPr>
                <w:rFonts w:ascii="Arial" w:cs="Arial" w:eastAsia="Arial" w:hAnsi="Arial"/>
                <w:sz w:val="18"/>
                <w:szCs w:val="18"/>
                <w:color w:val="auto"/>
              </w:rPr>
              <w:t>Financial</w:t>
            </w:r>
          </w:p>
        </w:tc>
        <w:tc>
          <w:tcPr>
            <w:tcW w:w="260" w:type="dxa"/>
            <w:vAlign w:val="bottom"/>
            <w:tcBorders>
              <w:right w:val="single" w:sz="8" w:color="53C072"/>
            </w:tcBorders>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Borders>
              <w:right w:val="single" w:sz="8" w:color="53C072"/>
            </w:tcBorders>
          </w:tcPr>
          <w:p>
            <w:pPr>
              <w:spacing w:after="0"/>
              <w:rPr>
                <w:sz w:val="22"/>
                <w:szCs w:val="22"/>
                <w:color w:val="auto"/>
              </w:rPr>
            </w:pPr>
          </w:p>
        </w:tc>
        <w:tc>
          <w:tcPr>
            <w:tcW w:w="1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53C072"/>
            </w:tcBorders>
          </w:tcPr>
          <w:p>
            <w:pPr>
              <w:ind w:left="100"/>
              <w:spacing w:after="0"/>
              <w:rPr>
                <w:sz w:val="20"/>
                <w:szCs w:val="20"/>
                <w:color w:val="auto"/>
              </w:rPr>
            </w:pPr>
            <w:r>
              <w:rPr>
                <w:rFonts w:ascii="Arial" w:cs="Arial" w:eastAsia="Arial" w:hAnsi="Arial"/>
                <w:sz w:val="18"/>
                <w:szCs w:val="18"/>
                <w:color w:val="auto"/>
              </w:rPr>
              <w:t>$ (OI$)</w:t>
            </w:r>
          </w:p>
        </w:tc>
        <w:tc>
          <w:tcPr>
            <w:tcW w:w="140" w:type="dxa"/>
            <w:vAlign w:val="bottom"/>
            <w:tcBorders>
              <w:bottom w:val="single" w:sz="8" w:color="53C072"/>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53C072"/>
              <w:right w:val="single" w:sz="8" w:color="53C072"/>
            </w:tcBorders>
          </w:tcPr>
          <w:p>
            <w:pPr>
              <w:ind w:left="100"/>
              <w:spacing w:after="0"/>
              <w:rPr>
                <w:sz w:val="20"/>
                <w:szCs w:val="20"/>
                <w:color w:val="auto"/>
              </w:rPr>
            </w:pPr>
            <w:r>
              <w:rPr>
                <w:rFonts w:ascii="Arial" w:cs="Arial" w:eastAsia="Arial" w:hAnsi="Arial"/>
                <w:sz w:val="18"/>
                <w:szCs w:val="18"/>
                <w:color w:val="auto"/>
              </w:rPr>
              <w:t>​ 40% ​​</w:t>
            </w:r>
          </w:p>
        </w:tc>
        <w:tc>
          <w:tcPr>
            <w:tcW w:w="12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53C072"/>
              <w:right w:val="single" w:sz="8" w:color="53C072"/>
            </w:tcBorders>
          </w:tcPr>
          <w:p>
            <w:pPr>
              <w:jc w:val="center"/>
              <w:ind w:right="12"/>
              <w:spacing w:after="0"/>
              <w:rPr>
                <w:sz w:val="20"/>
                <w:szCs w:val="20"/>
                <w:color w:val="auto"/>
              </w:rPr>
            </w:pPr>
            <w:r>
              <w:rPr>
                <w:rFonts w:ascii="Arial" w:cs="Arial" w:eastAsia="Arial" w:hAnsi="Arial"/>
                <w:sz w:val="18"/>
                <w:szCs w:val="18"/>
                <w:color w:val="auto"/>
                <w:w w:val="97"/>
              </w:rPr>
              <w:t>$871.4M</w:t>
            </w:r>
          </w:p>
        </w:tc>
        <w:tc>
          <w:tcPr>
            <w:tcW w:w="0" w:type="dxa"/>
            <w:vAlign w:val="bottom"/>
          </w:tcPr>
          <w:p>
            <w:pPr>
              <w:spacing w:after="0"/>
              <w:rPr>
                <w:sz w:val="1"/>
                <w:szCs w:val="1"/>
                <w:color w:val="auto"/>
              </w:rPr>
            </w:pPr>
          </w:p>
        </w:tc>
      </w:tr>
      <w:tr>
        <w:trPr>
          <w:trHeight w:val="110"/>
        </w:trPr>
        <w:tc>
          <w:tcPr>
            <w:tcW w:w="1540" w:type="dxa"/>
            <w:vAlign w:val="bottom"/>
            <w:tcBorders>
              <w:left w:val="single" w:sz="8" w:color="53C072"/>
            </w:tcBorders>
            <w:vMerge w:val="continue"/>
          </w:tcPr>
          <w:p>
            <w:pPr>
              <w:spacing w:after="0"/>
              <w:rPr>
                <w:sz w:val="9"/>
                <w:szCs w:val="9"/>
                <w:color w:val="auto"/>
              </w:rPr>
            </w:pPr>
          </w:p>
        </w:tc>
        <w:tc>
          <w:tcPr>
            <w:tcW w:w="260" w:type="dxa"/>
            <w:vAlign w:val="bottom"/>
            <w:tcBorders>
              <w:right w:val="single" w:sz="8" w:color="53C072"/>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right w:val="single" w:sz="8" w:color="53C072"/>
            </w:tcBorders>
          </w:tcPr>
          <w:p>
            <w:pPr>
              <w:spacing w:after="0"/>
              <w:rPr>
                <w:sz w:val="9"/>
                <w:szCs w:val="9"/>
                <w:color w:val="auto"/>
              </w:rPr>
            </w:pPr>
          </w:p>
        </w:tc>
        <w:tc>
          <w:tcPr>
            <w:tcW w:w="2440" w:type="dxa"/>
            <w:vAlign w:val="bottom"/>
            <w:gridSpan w:val="2"/>
            <w:vMerge w:val="restart"/>
          </w:tcPr>
          <w:p>
            <w:pPr>
              <w:ind w:left="40"/>
              <w:spacing w:after="0"/>
              <w:rPr>
                <w:sz w:val="20"/>
                <w:szCs w:val="20"/>
                <w:color w:val="auto"/>
              </w:rPr>
            </w:pPr>
            <w:r>
              <w:rPr>
                <w:rFonts w:ascii="Arial" w:cs="Arial" w:eastAsia="Arial" w:hAnsi="Arial"/>
                <w:sz w:val="18"/>
                <w:szCs w:val="18"/>
                <w:color w:val="auto"/>
              </w:rPr>
              <w:t>​Return on Working Capital %</w:t>
            </w:r>
          </w:p>
        </w:tc>
        <w:tc>
          <w:tcPr>
            <w:tcW w:w="140" w:type="dxa"/>
            <w:vAlign w:val="bottom"/>
            <w:tcBorders>
              <w:right w:val="single" w:sz="8" w:color="53C072"/>
            </w:tcBorders>
            <w:vMerge w:val="restart"/>
          </w:tcPr>
          <w:p>
            <w:pPr>
              <w:ind w:left="6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53C072"/>
            </w:tcBorders>
            <w:vMerge w:val="restart"/>
          </w:tcPr>
          <w:p>
            <w:pPr>
              <w:ind w:left="100"/>
              <w:spacing w:after="0"/>
              <w:rPr>
                <w:sz w:val="20"/>
                <w:szCs w:val="20"/>
                <w:color w:val="auto"/>
              </w:rPr>
            </w:pPr>
            <w:r>
              <w:rPr>
                <w:rFonts w:ascii="Arial" w:cs="Arial" w:eastAsia="Arial" w:hAnsi="Arial"/>
                <w:sz w:val="18"/>
                <w:szCs w:val="18"/>
                <w:color w:val="auto"/>
              </w:rPr>
              <w:t>​ 40% ​​</w:t>
            </w:r>
          </w:p>
        </w:tc>
        <w:tc>
          <w:tcPr>
            <w:tcW w:w="1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53C072"/>
            </w:tcBorders>
            <w:vMerge w:val="restart"/>
          </w:tcPr>
          <w:p>
            <w:pPr>
              <w:jc w:val="right"/>
              <w:ind w:right="872"/>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108"/>
        </w:trPr>
        <w:tc>
          <w:tcPr>
            <w:tcW w:w="1540" w:type="dxa"/>
            <w:vAlign w:val="bottom"/>
            <w:tcBorders>
              <w:left w:val="single" w:sz="8" w:color="53C072"/>
            </w:tcBorders>
            <w:vMerge w:val="restart"/>
          </w:tcPr>
          <w:p>
            <w:pPr>
              <w:ind w:left="240"/>
              <w:spacing w:after="0"/>
              <w:rPr>
                <w:sz w:val="20"/>
                <w:szCs w:val="20"/>
                <w:color w:val="auto"/>
              </w:rPr>
            </w:pPr>
            <w:r>
              <w:rPr>
                <w:rFonts w:ascii="Arial" w:cs="Arial" w:eastAsia="Arial" w:hAnsi="Arial"/>
                <w:sz w:val="18"/>
                <w:szCs w:val="18"/>
                <w:color w:val="auto"/>
              </w:rPr>
              <w:t>Performance</w:t>
            </w:r>
          </w:p>
        </w:tc>
        <w:tc>
          <w:tcPr>
            <w:tcW w:w="260" w:type="dxa"/>
            <w:vAlign w:val="bottom"/>
            <w:tcBorders>
              <w:right w:val="single" w:sz="8" w:color="53C072"/>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60" w:type="dxa"/>
            <w:vAlign w:val="bottom"/>
            <w:tcBorders>
              <w:right w:val="single" w:sz="8" w:color="53C072"/>
            </w:tcBorders>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140" w:type="dxa"/>
            <w:vAlign w:val="bottom"/>
            <w:tcBorders>
              <w:right w:val="single" w:sz="8" w:color="53C072"/>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740" w:type="dxa"/>
            <w:vAlign w:val="bottom"/>
            <w:tcBorders>
              <w:right w:val="single" w:sz="8" w:color="53C072"/>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420" w:type="dxa"/>
            <w:vAlign w:val="bottom"/>
            <w:tcBorders>
              <w:right w:val="single" w:sz="8" w:color="53C07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540" w:type="dxa"/>
            <w:vAlign w:val="bottom"/>
            <w:tcBorders>
              <w:left w:val="single" w:sz="8" w:color="53C072"/>
            </w:tcBorders>
            <w:vMerge w:val="continue"/>
          </w:tcPr>
          <w:p>
            <w:pPr>
              <w:spacing w:after="0"/>
              <w:rPr>
                <w:sz w:val="11"/>
                <w:szCs w:val="11"/>
                <w:color w:val="auto"/>
              </w:rPr>
            </w:pPr>
          </w:p>
        </w:tc>
        <w:tc>
          <w:tcPr>
            <w:tcW w:w="260" w:type="dxa"/>
            <w:vAlign w:val="bottom"/>
            <w:tcBorders>
              <w:right w:val="single" w:sz="8" w:color="53C072"/>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right w:val="single" w:sz="8" w:color="53C072"/>
            </w:tcBorders>
          </w:tcPr>
          <w:p>
            <w:pPr>
              <w:spacing w:after="0"/>
              <w:rPr>
                <w:sz w:val="11"/>
                <w:szCs w:val="11"/>
                <w:color w:val="auto"/>
              </w:rPr>
            </w:pPr>
          </w:p>
        </w:tc>
        <w:tc>
          <w:tcPr>
            <w:tcW w:w="2440" w:type="dxa"/>
            <w:vAlign w:val="bottom"/>
            <w:gridSpan w:val="2"/>
            <w:vMerge w:val="restart"/>
          </w:tcPr>
          <w:p>
            <w:pPr>
              <w:ind w:left="80"/>
              <w:spacing w:after="0"/>
              <w:rPr>
                <w:sz w:val="20"/>
                <w:szCs w:val="20"/>
                <w:color w:val="auto"/>
              </w:rPr>
            </w:pPr>
            <w:r>
              <w:rPr>
                <w:rFonts w:ascii="Arial" w:cs="Arial" w:eastAsia="Arial" w:hAnsi="Arial"/>
                <w:sz w:val="18"/>
                <w:szCs w:val="18"/>
                <w:color w:val="auto"/>
              </w:rPr>
              <w:t>(ROWC)</w:t>
            </w:r>
          </w:p>
        </w:tc>
        <w:tc>
          <w:tcPr>
            <w:tcW w:w="140" w:type="dxa"/>
            <w:vAlign w:val="bottom"/>
            <w:tcBorders>
              <w:right w:val="single" w:sz="8" w:color="53C072"/>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right w:val="single" w:sz="8" w:color="53C072"/>
            </w:tcBorders>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Borders>
              <w:right w:val="single" w:sz="8" w:color="53C072"/>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40" w:type="dxa"/>
            <w:vAlign w:val="bottom"/>
            <w:tcBorders>
              <w:left w:val="single" w:sz="8" w:color="53C072"/>
            </w:tcBorders>
          </w:tcPr>
          <w:p>
            <w:pPr>
              <w:spacing w:after="0"/>
              <w:rPr>
                <w:sz w:val="9"/>
                <w:szCs w:val="9"/>
                <w:color w:val="auto"/>
              </w:rPr>
            </w:pPr>
          </w:p>
        </w:tc>
        <w:tc>
          <w:tcPr>
            <w:tcW w:w="260" w:type="dxa"/>
            <w:vAlign w:val="bottom"/>
            <w:tcBorders>
              <w:right w:val="single" w:sz="8" w:color="53C072"/>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right w:val="single" w:sz="8" w:color="53C072"/>
            </w:tcBorders>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140" w:type="dxa"/>
            <w:vAlign w:val="bottom"/>
            <w:tcBorders>
              <w:right w:val="single" w:sz="8" w:color="53C072"/>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right w:val="single" w:sz="8" w:color="53C072"/>
            </w:tcBorders>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tcBorders>
              <w:right w:val="single" w:sz="8" w:color="53C072"/>
            </w:tcBorders>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540" w:type="dxa"/>
            <w:vAlign w:val="bottom"/>
            <w:tcBorders>
              <w:left w:val="single" w:sz="8" w:color="53C072"/>
            </w:tcBorders>
          </w:tcPr>
          <w:p>
            <w:pPr>
              <w:spacing w:after="0"/>
              <w:rPr>
                <w:sz w:val="2"/>
                <w:szCs w:val="2"/>
                <w:color w:val="auto"/>
              </w:rPr>
            </w:pPr>
          </w:p>
        </w:tc>
        <w:tc>
          <w:tcPr>
            <w:tcW w:w="260" w:type="dxa"/>
            <w:vAlign w:val="bottom"/>
            <w:tcBorders>
              <w:right w:val="single" w:sz="8" w:color="53C072"/>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Borders>
              <w:right w:val="single" w:sz="8" w:color="53C072"/>
            </w:tcBorders>
          </w:tcPr>
          <w:p>
            <w:pPr>
              <w:spacing w:after="0"/>
              <w:rPr>
                <w:sz w:val="2"/>
                <w:szCs w:val="2"/>
                <w:color w:val="auto"/>
              </w:rPr>
            </w:pPr>
          </w:p>
        </w:tc>
        <w:tc>
          <w:tcPr>
            <w:tcW w:w="2440" w:type="dxa"/>
            <w:vAlign w:val="bottom"/>
            <w:tcBorders>
              <w:bottom w:val="single" w:sz="8" w:color="53C072"/>
            </w:tcBorders>
            <w:gridSpan w:val="2"/>
          </w:tcPr>
          <w:p>
            <w:pPr>
              <w:spacing w:after="0"/>
              <w:rPr>
                <w:sz w:val="2"/>
                <w:szCs w:val="2"/>
                <w:color w:val="auto"/>
              </w:rPr>
            </w:pPr>
          </w:p>
        </w:tc>
        <w:tc>
          <w:tcPr>
            <w:tcW w:w="140" w:type="dxa"/>
            <w:vAlign w:val="bottom"/>
            <w:tcBorders>
              <w:bottom w:val="single" w:sz="8" w:color="53C072"/>
              <w:right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740" w:type="dxa"/>
            <w:vAlign w:val="bottom"/>
            <w:tcBorders>
              <w:bottom w:val="single" w:sz="8" w:color="53C072"/>
              <w:right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2420" w:type="dxa"/>
            <w:vAlign w:val="bottom"/>
            <w:tcBorders>
              <w:bottom w:val="single" w:sz="8" w:color="53C072"/>
              <w:right w:val="single" w:sz="8" w:color="53C072"/>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540" w:type="dxa"/>
            <w:vAlign w:val="bottom"/>
            <w:tcBorders>
              <w:left w:val="single" w:sz="8" w:color="53C072"/>
              <w:bottom w:val="single" w:sz="8" w:color="53C072"/>
            </w:tcBorders>
          </w:tcPr>
          <w:p>
            <w:pPr>
              <w:spacing w:after="0"/>
              <w:rPr>
                <w:sz w:val="22"/>
                <w:szCs w:val="22"/>
                <w:color w:val="auto"/>
              </w:rPr>
            </w:pPr>
          </w:p>
        </w:tc>
        <w:tc>
          <w:tcPr>
            <w:tcW w:w="260" w:type="dxa"/>
            <w:vAlign w:val="bottom"/>
            <w:tcBorders>
              <w:bottom w:val="single" w:sz="8" w:color="53C072"/>
              <w:right w:val="single" w:sz="8" w:color="53C072"/>
            </w:tcBorders>
          </w:tcPr>
          <w:p>
            <w:pPr>
              <w:ind w:lef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53C072"/>
            </w:tcBorders>
          </w:tcPr>
          <w:p>
            <w:pPr>
              <w:jc w:val="right"/>
              <w:ind w:right="29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53C072"/>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53C072"/>
            </w:tcBorders>
            <w:gridSpan w:val="2"/>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Relative Market Share</w:t>
            </w:r>
          </w:p>
        </w:tc>
        <w:tc>
          <w:tcPr>
            <w:tcW w:w="140" w:type="dxa"/>
            <w:vAlign w:val="bottom"/>
            <w:tcBorders>
              <w:bottom w:val="single" w:sz="8" w:color="53C072"/>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53C072"/>
              <w:right w:val="single" w:sz="8" w:color="53C072"/>
            </w:tcBorders>
          </w:tcPr>
          <w:p>
            <w:pPr>
              <w:ind w:left="10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20%</w:t>
            </w:r>
            <w:r>
              <w:rPr>
                <w:rFonts w:ascii="Arial" w:cs="Arial" w:eastAsia="Arial" w:hAnsi="Arial"/>
                <w:sz w:val="16"/>
                <w:szCs w:val="16"/>
                <w:color w:val="auto"/>
              </w:rPr>
              <w:t xml:space="preserve"> ​​</w:t>
            </w:r>
          </w:p>
        </w:tc>
        <w:tc>
          <w:tcPr>
            <w:tcW w:w="12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53C072"/>
              <w:right w:val="single" w:sz="8" w:color="53C072"/>
            </w:tcBorders>
          </w:tcPr>
          <w:p>
            <w:pPr>
              <w:jc w:val="center"/>
              <w:ind w:right="12"/>
              <w:spacing w:after="0"/>
              <w:rPr>
                <w:sz w:val="20"/>
                <w:szCs w:val="20"/>
                <w:color w:val="auto"/>
              </w:rPr>
            </w:pPr>
            <w:r>
              <w:rPr>
                <w:rFonts w:ascii="Arial" w:cs="Arial" w:eastAsia="Arial" w:hAnsi="Arial"/>
                <w:sz w:val="18"/>
                <w:szCs w:val="18"/>
                <w:color w:val="auto"/>
                <w:w w:val="99"/>
              </w:rPr>
              <w:t>+50 bps</w:t>
            </w:r>
          </w:p>
        </w:tc>
        <w:tc>
          <w:tcPr>
            <w:tcW w:w="0" w:type="dxa"/>
            <w:vAlign w:val="bottom"/>
          </w:tcPr>
          <w:p>
            <w:pPr>
              <w:spacing w:after="0"/>
              <w:rPr>
                <w:sz w:val="1"/>
                <w:szCs w:val="1"/>
                <w:color w:val="auto"/>
              </w:rPr>
            </w:pPr>
          </w:p>
        </w:tc>
      </w:tr>
      <w:tr>
        <w:trPr>
          <w:trHeight w:val="218"/>
        </w:trPr>
        <w:tc>
          <w:tcPr>
            <w:tcW w:w="1540" w:type="dxa"/>
            <w:vAlign w:val="bottom"/>
            <w:tcBorders>
              <w:left w:val="single" w:sz="8" w:color="53C072"/>
            </w:tcBorders>
          </w:tcPr>
          <w:p>
            <w:pPr>
              <w:spacing w:after="0"/>
              <w:rPr>
                <w:sz w:val="18"/>
                <w:szCs w:val="18"/>
                <w:color w:val="auto"/>
              </w:rPr>
            </w:pPr>
          </w:p>
        </w:tc>
        <w:tc>
          <w:tcPr>
            <w:tcW w:w="260" w:type="dxa"/>
            <w:vAlign w:val="bottom"/>
            <w:tcBorders>
              <w:right w:val="single" w:sz="8" w:color="53C072"/>
            </w:tcBorders>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440" w:type="dxa"/>
            <w:vAlign w:val="bottom"/>
            <w:gridSpan w:val="2"/>
          </w:tcPr>
          <w:p>
            <w:pPr>
              <w:ind w:left="40"/>
              <w:spacing w:after="0"/>
              <w:rPr>
                <w:sz w:val="20"/>
                <w:szCs w:val="20"/>
                <w:color w:val="auto"/>
              </w:rPr>
            </w:pPr>
            <w:r>
              <w:rPr>
                <w:rFonts w:ascii="Arial" w:cs="Arial" w:eastAsia="Arial" w:hAnsi="Arial"/>
                <w:sz w:val="18"/>
                <w:szCs w:val="18"/>
                <w:color w:val="auto"/>
              </w:rPr>
              <w:t>​Individual Goals</w:t>
            </w:r>
          </w:p>
        </w:tc>
        <w:tc>
          <w:tcPr>
            <w:tcW w:w="140" w:type="dxa"/>
            <w:vAlign w:val="bottom"/>
            <w:tcBorders>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53C072"/>
            </w:tcBorders>
          </w:tcPr>
          <w:p>
            <w:pPr>
              <w:ind w:left="100"/>
              <w:spacing w:after="0"/>
              <w:rPr>
                <w:sz w:val="20"/>
                <w:szCs w:val="20"/>
                <w:color w:val="auto"/>
              </w:rPr>
            </w:pPr>
            <w:r>
              <w:rPr>
                <w:rFonts w:ascii="Arial" w:cs="Arial" w:eastAsia="Arial" w:hAnsi="Arial"/>
                <w:sz w:val="18"/>
                <w:szCs w:val="18"/>
                <w:color w:val="auto"/>
              </w:rPr>
              <w:t>​100% ​​</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53C072"/>
            </w:tcBorders>
          </w:tcPr>
          <w:p>
            <w:pPr>
              <w:jc w:val="center"/>
              <w:ind w:right="12"/>
              <w:spacing w:after="0"/>
              <w:rPr>
                <w:sz w:val="20"/>
                <w:szCs w:val="20"/>
                <w:color w:val="auto"/>
              </w:rPr>
            </w:pPr>
            <w:r>
              <w:rPr>
                <w:rFonts w:ascii="Arial" w:cs="Arial" w:eastAsia="Arial" w:hAnsi="Arial"/>
                <w:sz w:val="18"/>
                <w:szCs w:val="18"/>
                <w:color w:val="auto"/>
                <w:w w:val="98"/>
              </w:rPr>
              <w:t>Individual contribution to the</w:t>
            </w:r>
          </w:p>
        </w:tc>
        <w:tc>
          <w:tcPr>
            <w:tcW w:w="0" w:type="dxa"/>
            <w:vAlign w:val="bottom"/>
          </w:tcPr>
          <w:p>
            <w:pPr>
              <w:spacing w:after="0"/>
              <w:rPr>
                <w:sz w:val="1"/>
                <w:szCs w:val="1"/>
                <w:color w:val="auto"/>
              </w:rPr>
            </w:pPr>
          </w:p>
        </w:tc>
      </w:tr>
      <w:tr>
        <w:trPr>
          <w:trHeight w:val="216"/>
        </w:trPr>
        <w:tc>
          <w:tcPr>
            <w:tcW w:w="1540" w:type="dxa"/>
            <w:vAlign w:val="bottom"/>
            <w:tcBorders>
              <w:left w:val="single" w:sz="8" w:color="53C072"/>
            </w:tcBorders>
            <w:vMerge w:val="restart"/>
          </w:tcPr>
          <w:p>
            <w:pPr>
              <w:ind w:left="240"/>
              <w:spacing w:after="0"/>
              <w:rPr>
                <w:sz w:val="20"/>
                <w:szCs w:val="20"/>
                <w:color w:val="auto"/>
              </w:rPr>
            </w:pPr>
            <w:r>
              <w:rPr>
                <w:rFonts w:ascii="Arial" w:cs="Arial" w:eastAsia="Arial" w:hAnsi="Arial"/>
                <w:sz w:val="18"/>
                <w:szCs w:val="18"/>
                <w:color w:val="auto"/>
              </w:rPr>
              <w:t>Non-Financial</w:t>
            </w:r>
          </w:p>
        </w:tc>
        <w:tc>
          <w:tcPr>
            <w:tcW w:w="260" w:type="dxa"/>
            <w:vAlign w:val="bottom"/>
            <w:tcBorders>
              <w:right w:val="single" w:sz="8" w:color="53C072"/>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right w:val="single" w:sz="8" w:color="53C072"/>
            </w:tcBorders>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Borders>
              <w:right w:val="single" w:sz="8" w:color="53C072"/>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right w:val="single" w:sz="8" w:color="53C072"/>
            </w:tcBorders>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Borders>
              <w:right w:val="single" w:sz="8" w:color="53C072"/>
            </w:tcBorders>
          </w:tcPr>
          <w:p>
            <w:pPr>
              <w:jc w:val="center"/>
              <w:ind w:right="12"/>
              <w:spacing w:after="0"/>
              <w:rPr>
                <w:sz w:val="20"/>
                <w:szCs w:val="20"/>
                <w:color w:val="auto"/>
              </w:rPr>
            </w:pPr>
            <w:r>
              <w:rPr>
                <w:rFonts w:ascii="Arial" w:cs="Arial" w:eastAsia="Arial" w:hAnsi="Arial"/>
                <w:sz w:val="18"/>
                <w:szCs w:val="18"/>
                <w:color w:val="auto"/>
                <w:w w:val="97"/>
              </w:rPr>
              <w:t>Company’s talent</w:t>
            </w:r>
          </w:p>
        </w:tc>
        <w:tc>
          <w:tcPr>
            <w:tcW w:w="0" w:type="dxa"/>
            <w:vAlign w:val="bottom"/>
          </w:tcPr>
          <w:p>
            <w:pPr>
              <w:spacing w:after="0"/>
              <w:rPr>
                <w:sz w:val="1"/>
                <w:szCs w:val="1"/>
                <w:color w:val="auto"/>
              </w:rPr>
            </w:pPr>
          </w:p>
        </w:tc>
      </w:tr>
      <w:tr>
        <w:trPr>
          <w:trHeight w:val="108"/>
        </w:trPr>
        <w:tc>
          <w:tcPr>
            <w:tcW w:w="1540" w:type="dxa"/>
            <w:vAlign w:val="bottom"/>
            <w:tcBorders>
              <w:left w:val="single" w:sz="8" w:color="53C072"/>
            </w:tcBorders>
            <w:vMerge w:val="continue"/>
          </w:tcPr>
          <w:p>
            <w:pPr>
              <w:spacing w:after="0"/>
              <w:rPr>
                <w:sz w:val="9"/>
                <w:szCs w:val="9"/>
                <w:color w:val="auto"/>
              </w:rPr>
            </w:pPr>
          </w:p>
        </w:tc>
        <w:tc>
          <w:tcPr>
            <w:tcW w:w="260" w:type="dxa"/>
            <w:vAlign w:val="bottom"/>
            <w:tcBorders>
              <w:right w:val="single" w:sz="8" w:color="53C072"/>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right w:val="single" w:sz="8" w:color="53C072"/>
            </w:tcBorders>
          </w:tcPr>
          <w:p>
            <w:pPr>
              <w:spacing w:after="0"/>
              <w:rPr>
                <w:sz w:val="9"/>
                <w:szCs w:val="9"/>
                <w:color w:val="auto"/>
              </w:rPr>
            </w:pPr>
          </w:p>
        </w:tc>
        <w:tc>
          <w:tcPr>
            <w:tcW w:w="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0" w:type="dxa"/>
            <w:vAlign w:val="bottom"/>
            <w:tcBorders>
              <w:right w:val="single" w:sz="8" w:color="53C072"/>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right w:val="single" w:sz="8" w:color="53C072"/>
            </w:tcBorders>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tcBorders>
              <w:right w:val="single" w:sz="8" w:color="53C072"/>
            </w:tcBorders>
            <w:vMerge w:val="restart"/>
          </w:tcPr>
          <w:p>
            <w:pPr>
              <w:jc w:val="center"/>
              <w:ind w:right="12"/>
              <w:spacing w:after="0"/>
              <w:rPr>
                <w:sz w:val="20"/>
                <w:szCs w:val="20"/>
                <w:color w:val="auto"/>
              </w:rPr>
            </w:pPr>
            <w:r>
              <w:rPr>
                <w:rFonts w:ascii="Arial" w:cs="Arial" w:eastAsia="Arial" w:hAnsi="Arial"/>
                <w:sz w:val="18"/>
                <w:szCs w:val="18"/>
                <w:color w:val="auto"/>
                <w:w w:val="98"/>
              </w:rPr>
              <w:t>management, leadership</w:t>
            </w:r>
          </w:p>
        </w:tc>
        <w:tc>
          <w:tcPr>
            <w:tcW w:w="0" w:type="dxa"/>
            <w:vAlign w:val="bottom"/>
          </w:tcPr>
          <w:p>
            <w:pPr>
              <w:spacing w:after="0"/>
              <w:rPr>
                <w:sz w:val="1"/>
                <w:szCs w:val="1"/>
                <w:color w:val="auto"/>
              </w:rPr>
            </w:pPr>
          </w:p>
        </w:tc>
      </w:tr>
      <w:tr>
        <w:trPr>
          <w:trHeight w:val="108"/>
        </w:trPr>
        <w:tc>
          <w:tcPr>
            <w:tcW w:w="1540" w:type="dxa"/>
            <w:vAlign w:val="bottom"/>
            <w:tcBorders>
              <w:left w:val="single" w:sz="8" w:color="53C072"/>
            </w:tcBorders>
            <w:vMerge w:val="restart"/>
          </w:tcPr>
          <w:p>
            <w:pPr>
              <w:ind w:left="240"/>
              <w:spacing w:after="0"/>
              <w:rPr>
                <w:sz w:val="20"/>
                <w:szCs w:val="20"/>
                <w:color w:val="auto"/>
              </w:rPr>
            </w:pPr>
            <w:r>
              <w:rPr>
                <w:rFonts w:ascii="Arial" w:cs="Arial" w:eastAsia="Arial" w:hAnsi="Arial"/>
                <w:sz w:val="18"/>
                <w:szCs w:val="18"/>
                <w:color w:val="auto"/>
              </w:rPr>
              <w:t>Performance</w:t>
            </w:r>
          </w:p>
        </w:tc>
        <w:tc>
          <w:tcPr>
            <w:tcW w:w="260" w:type="dxa"/>
            <w:vAlign w:val="bottom"/>
            <w:tcBorders>
              <w:right w:val="single" w:sz="8" w:color="53C072"/>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right w:val="single" w:sz="8" w:color="53C072"/>
            </w:tcBorders>
          </w:tcPr>
          <w:p>
            <w:pPr>
              <w:spacing w:after="0"/>
              <w:rPr>
                <w:sz w:val="9"/>
                <w:szCs w:val="9"/>
                <w:color w:val="auto"/>
              </w:rPr>
            </w:pPr>
          </w:p>
        </w:tc>
        <w:tc>
          <w:tcPr>
            <w:tcW w:w="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0" w:type="dxa"/>
            <w:vAlign w:val="bottom"/>
            <w:tcBorders>
              <w:right w:val="single" w:sz="8" w:color="53C072"/>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right w:val="single" w:sz="8" w:color="53C072"/>
            </w:tcBorders>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tcBorders>
              <w:right w:val="single" w:sz="8" w:color="53C07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540" w:type="dxa"/>
            <w:vAlign w:val="bottom"/>
            <w:tcBorders>
              <w:left w:val="single" w:sz="8" w:color="53C072"/>
            </w:tcBorders>
            <w:vMerge w:val="continue"/>
          </w:tcPr>
          <w:p>
            <w:pPr>
              <w:spacing w:after="0"/>
              <w:rPr>
                <w:sz w:val="11"/>
                <w:szCs w:val="11"/>
                <w:color w:val="auto"/>
              </w:rPr>
            </w:pPr>
          </w:p>
        </w:tc>
        <w:tc>
          <w:tcPr>
            <w:tcW w:w="260" w:type="dxa"/>
            <w:vAlign w:val="bottom"/>
            <w:tcBorders>
              <w:right w:val="single" w:sz="8" w:color="53C072"/>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right w:val="single" w:sz="8" w:color="53C072"/>
            </w:tcBorders>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40" w:type="dxa"/>
            <w:vAlign w:val="bottom"/>
            <w:tcBorders>
              <w:right w:val="single" w:sz="8" w:color="53C072"/>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right w:val="single" w:sz="8" w:color="53C072"/>
            </w:tcBorders>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Borders>
              <w:right w:val="single" w:sz="8" w:color="53C072"/>
            </w:tcBorders>
            <w:vMerge w:val="restart"/>
          </w:tcPr>
          <w:p>
            <w:pPr>
              <w:jc w:val="center"/>
              <w:ind w:right="12"/>
              <w:spacing w:after="0"/>
              <w:rPr>
                <w:sz w:val="20"/>
                <w:szCs w:val="20"/>
                <w:color w:val="auto"/>
              </w:rPr>
            </w:pPr>
            <w:r>
              <w:rPr>
                <w:rFonts w:ascii="Arial" w:cs="Arial" w:eastAsia="Arial" w:hAnsi="Arial"/>
                <w:sz w:val="18"/>
                <w:szCs w:val="18"/>
                <w:color w:val="auto"/>
                <w:w w:val="98"/>
              </w:rPr>
              <w:t>development and</w:t>
            </w:r>
          </w:p>
        </w:tc>
        <w:tc>
          <w:tcPr>
            <w:tcW w:w="0" w:type="dxa"/>
            <w:vAlign w:val="bottom"/>
          </w:tcPr>
          <w:p>
            <w:pPr>
              <w:spacing w:after="0"/>
              <w:rPr>
                <w:sz w:val="1"/>
                <w:szCs w:val="1"/>
                <w:color w:val="auto"/>
              </w:rPr>
            </w:pPr>
          </w:p>
        </w:tc>
      </w:tr>
      <w:tr>
        <w:trPr>
          <w:trHeight w:val="85"/>
        </w:trPr>
        <w:tc>
          <w:tcPr>
            <w:tcW w:w="1540" w:type="dxa"/>
            <w:vAlign w:val="bottom"/>
            <w:tcBorders>
              <w:left w:val="single" w:sz="8" w:color="53C072"/>
            </w:tcBorders>
          </w:tcPr>
          <w:p>
            <w:pPr>
              <w:spacing w:after="0"/>
              <w:rPr>
                <w:sz w:val="7"/>
                <w:szCs w:val="7"/>
                <w:color w:val="auto"/>
              </w:rPr>
            </w:pPr>
          </w:p>
        </w:tc>
        <w:tc>
          <w:tcPr>
            <w:tcW w:w="260" w:type="dxa"/>
            <w:vAlign w:val="bottom"/>
            <w:tcBorders>
              <w:right w:val="single" w:sz="8" w:color="53C072"/>
            </w:tcBorders>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Borders>
              <w:right w:val="single" w:sz="8" w:color="53C072"/>
            </w:tcBorders>
          </w:tcPr>
          <w:p>
            <w:pPr>
              <w:spacing w:after="0"/>
              <w:rPr>
                <w:sz w:val="7"/>
                <w:szCs w:val="7"/>
                <w:color w:val="auto"/>
              </w:rPr>
            </w:pPr>
          </w:p>
        </w:tc>
        <w:tc>
          <w:tcPr>
            <w:tcW w:w="1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40" w:type="dxa"/>
            <w:vAlign w:val="bottom"/>
            <w:tcBorders>
              <w:right w:val="single" w:sz="8" w:color="53C072"/>
            </w:tcBorders>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right w:val="single" w:sz="8" w:color="53C072"/>
            </w:tcBorders>
          </w:tcPr>
          <w:p>
            <w:pPr>
              <w:spacing w:after="0"/>
              <w:rPr>
                <w:sz w:val="7"/>
                <w:szCs w:val="7"/>
                <w:color w:val="auto"/>
              </w:rPr>
            </w:pPr>
          </w:p>
        </w:tc>
        <w:tc>
          <w:tcPr>
            <w:tcW w:w="120" w:type="dxa"/>
            <w:vAlign w:val="bottom"/>
          </w:tcPr>
          <w:p>
            <w:pPr>
              <w:spacing w:after="0"/>
              <w:rPr>
                <w:sz w:val="7"/>
                <w:szCs w:val="7"/>
                <w:color w:val="auto"/>
              </w:rPr>
            </w:pPr>
          </w:p>
        </w:tc>
        <w:tc>
          <w:tcPr>
            <w:tcW w:w="2420" w:type="dxa"/>
            <w:vAlign w:val="bottom"/>
            <w:tcBorders>
              <w:right w:val="single" w:sz="8" w:color="53C072"/>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1540" w:type="dxa"/>
            <w:vAlign w:val="bottom"/>
            <w:tcBorders>
              <w:left w:val="single" w:sz="8" w:color="53C072"/>
            </w:tcBorders>
          </w:tcPr>
          <w:p>
            <w:pPr>
              <w:spacing w:after="0"/>
              <w:rPr>
                <w:sz w:val="20"/>
                <w:szCs w:val="20"/>
                <w:color w:val="auto"/>
              </w:rPr>
            </w:pPr>
          </w:p>
        </w:tc>
        <w:tc>
          <w:tcPr>
            <w:tcW w:w="260" w:type="dxa"/>
            <w:vAlign w:val="bottom"/>
            <w:tcBorders>
              <w:right w:val="single" w:sz="8" w:color="53C072"/>
            </w:tcBorders>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right w:val="single" w:sz="8" w:color="53C072"/>
            </w:tcBorders>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Borders>
              <w:right w:val="single" w:sz="8" w:color="53C072"/>
            </w:tcBorders>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right w:val="single" w:sz="8" w:color="53C072"/>
            </w:tcBorders>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Borders>
              <w:right w:val="single" w:sz="8" w:color="53C072"/>
            </w:tcBorders>
          </w:tcPr>
          <w:p>
            <w:pPr>
              <w:jc w:val="center"/>
              <w:ind w:right="32"/>
              <w:spacing w:after="0"/>
              <w:rPr>
                <w:sz w:val="20"/>
                <w:szCs w:val="20"/>
                <w:color w:val="auto"/>
              </w:rPr>
            </w:pPr>
            <w:r>
              <w:rPr>
                <w:rFonts w:ascii="Arial" w:cs="Arial" w:eastAsia="Arial" w:hAnsi="Arial"/>
                <w:sz w:val="18"/>
                <w:szCs w:val="18"/>
                <w:color w:val="auto"/>
                <w:w w:val="98"/>
              </w:rPr>
              <w:t>engagement goals</w:t>
            </w:r>
          </w:p>
        </w:tc>
        <w:tc>
          <w:tcPr>
            <w:tcW w:w="0" w:type="dxa"/>
            <w:vAlign w:val="bottom"/>
          </w:tcPr>
          <w:p>
            <w:pPr>
              <w:spacing w:after="0"/>
              <w:rPr>
                <w:sz w:val="1"/>
                <w:szCs w:val="1"/>
                <w:color w:val="auto"/>
              </w:rPr>
            </w:pPr>
          </w:p>
        </w:tc>
      </w:tr>
      <w:tr>
        <w:trPr>
          <w:trHeight w:val="37"/>
        </w:trPr>
        <w:tc>
          <w:tcPr>
            <w:tcW w:w="1540" w:type="dxa"/>
            <w:vAlign w:val="bottom"/>
            <w:tcBorders>
              <w:left w:val="single" w:sz="8" w:color="53C072"/>
              <w:bottom w:val="single" w:sz="8" w:color="53C072"/>
            </w:tcBorders>
          </w:tcPr>
          <w:p>
            <w:pPr>
              <w:spacing w:after="0"/>
              <w:rPr>
                <w:sz w:val="3"/>
                <w:szCs w:val="3"/>
                <w:color w:val="auto"/>
              </w:rPr>
            </w:pPr>
          </w:p>
        </w:tc>
        <w:tc>
          <w:tcPr>
            <w:tcW w:w="260" w:type="dxa"/>
            <w:vAlign w:val="bottom"/>
            <w:tcBorders>
              <w:bottom w:val="single" w:sz="8" w:color="53C072"/>
              <w:right w:val="single" w:sz="8" w:color="53C072"/>
            </w:tcBorders>
          </w:tcPr>
          <w:p>
            <w:pPr>
              <w:spacing w:after="0"/>
              <w:rPr>
                <w:sz w:val="3"/>
                <w:szCs w:val="3"/>
                <w:color w:val="auto"/>
              </w:rPr>
            </w:pPr>
          </w:p>
        </w:tc>
        <w:tc>
          <w:tcPr>
            <w:tcW w:w="220" w:type="dxa"/>
            <w:vAlign w:val="bottom"/>
            <w:tcBorders>
              <w:bottom w:val="single" w:sz="8" w:color="53C072"/>
            </w:tcBorders>
          </w:tcPr>
          <w:p>
            <w:pPr>
              <w:spacing w:after="0"/>
              <w:rPr>
                <w:sz w:val="3"/>
                <w:szCs w:val="3"/>
                <w:color w:val="auto"/>
              </w:rPr>
            </w:pPr>
          </w:p>
        </w:tc>
        <w:tc>
          <w:tcPr>
            <w:tcW w:w="540" w:type="dxa"/>
            <w:vAlign w:val="bottom"/>
            <w:tcBorders>
              <w:bottom w:val="single" w:sz="8" w:color="53C072"/>
            </w:tcBorders>
          </w:tcPr>
          <w:p>
            <w:pPr>
              <w:spacing w:after="0"/>
              <w:rPr>
                <w:sz w:val="3"/>
                <w:szCs w:val="3"/>
                <w:color w:val="auto"/>
              </w:rPr>
            </w:pPr>
          </w:p>
        </w:tc>
        <w:tc>
          <w:tcPr>
            <w:tcW w:w="160" w:type="dxa"/>
            <w:vAlign w:val="bottom"/>
            <w:tcBorders>
              <w:bottom w:val="single" w:sz="8" w:color="53C072"/>
              <w:right w:val="single" w:sz="8" w:color="53C072"/>
            </w:tcBorders>
          </w:tcPr>
          <w:p>
            <w:pPr>
              <w:spacing w:after="0"/>
              <w:rPr>
                <w:sz w:val="3"/>
                <w:szCs w:val="3"/>
                <w:color w:val="auto"/>
              </w:rPr>
            </w:pPr>
          </w:p>
        </w:tc>
        <w:tc>
          <w:tcPr>
            <w:tcW w:w="160" w:type="dxa"/>
            <w:vAlign w:val="bottom"/>
            <w:tcBorders>
              <w:bottom w:val="single" w:sz="8" w:color="53C072"/>
            </w:tcBorders>
          </w:tcPr>
          <w:p>
            <w:pPr>
              <w:spacing w:after="0"/>
              <w:rPr>
                <w:sz w:val="3"/>
                <w:szCs w:val="3"/>
                <w:color w:val="auto"/>
              </w:rPr>
            </w:pPr>
          </w:p>
        </w:tc>
        <w:tc>
          <w:tcPr>
            <w:tcW w:w="2280" w:type="dxa"/>
            <w:vAlign w:val="bottom"/>
            <w:tcBorders>
              <w:bottom w:val="single" w:sz="8" w:color="53C072"/>
            </w:tcBorders>
          </w:tcPr>
          <w:p>
            <w:pPr>
              <w:spacing w:after="0"/>
              <w:rPr>
                <w:sz w:val="3"/>
                <w:szCs w:val="3"/>
                <w:color w:val="auto"/>
              </w:rPr>
            </w:pPr>
          </w:p>
        </w:tc>
        <w:tc>
          <w:tcPr>
            <w:tcW w:w="140" w:type="dxa"/>
            <w:vAlign w:val="bottom"/>
            <w:tcBorders>
              <w:bottom w:val="single" w:sz="8" w:color="53C072"/>
              <w:right w:val="single" w:sz="8" w:color="53C072"/>
            </w:tcBorders>
          </w:tcPr>
          <w:p>
            <w:pPr>
              <w:spacing w:after="0"/>
              <w:rPr>
                <w:sz w:val="3"/>
                <w:szCs w:val="3"/>
                <w:color w:val="auto"/>
              </w:rPr>
            </w:pPr>
          </w:p>
        </w:tc>
        <w:tc>
          <w:tcPr>
            <w:tcW w:w="180" w:type="dxa"/>
            <w:vAlign w:val="bottom"/>
            <w:tcBorders>
              <w:bottom w:val="single" w:sz="8" w:color="53C072"/>
            </w:tcBorders>
          </w:tcPr>
          <w:p>
            <w:pPr>
              <w:spacing w:after="0"/>
              <w:rPr>
                <w:sz w:val="3"/>
                <w:szCs w:val="3"/>
                <w:color w:val="auto"/>
              </w:rPr>
            </w:pPr>
          </w:p>
        </w:tc>
        <w:tc>
          <w:tcPr>
            <w:tcW w:w="740" w:type="dxa"/>
            <w:vAlign w:val="bottom"/>
            <w:tcBorders>
              <w:bottom w:val="single" w:sz="8" w:color="53C072"/>
              <w:right w:val="single" w:sz="8" w:color="53C072"/>
            </w:tcBorders>
          </w:tcPr>
          <w:p>
            <w:pPr>
              <w:spacing w:after="0"/>
              <w:rPr>
                <w:sz w:val="3"/>
                <w:szCs w:val="3"/>
                <w:color w:val="auto"/>
              </w:rPr>
            </w:pPr>
          </w:p>
        </w:tc>
        <w:tc>
          <w:tcPr>
            <w:tcW w:w="120" w:type="dxa"/>
            <w:vAlign w:val="bottom"/>
            <w:tcBorders>
              <w:bottom w:val="single" w:sz="8" w:color="53C072"/>
            </w:tcBorders>
          </w:tcPr>
          <w:p>
            <w:pPr>
              <w:spacing w:after="0"/>
              <w:rPr>
                <w:sz w:val="3"/>
                <w:szCs w:val="3"/>
                <w:color w:val="auto"/>
              </w:rPr>
            </w:pPr>
          </w:p>
        </w:tc>
        <w:tc>
          <w:tcPr>
            <w:tcW w:w="2420" w:type="dxa"/>
            <w:vAlign w:val="bottom"/>
            <w:tcBorders>
              <w:bottom w:val="single" w:sz="8" w:color="53C072"/>
              <w:right w:val="single" w:sz="8" w:color="53C072"/>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-1559560</wp:posOffset>
            </wp:positionV>
            <wp:extent cx="55378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37835" cy="8890"/>
                    </a:xfrm>
                    <a:prstGeom prst="rect">
                      <a:avLst/>
                    </a:prstGeom>
                    <a:noFill/>
                  </pic:spPr>
                </pic:pic>
              </a:graphicData>
            </a:graphic>
          </wp:anchor>
        </w:drawing>
      </w:r>
    </w:p>
    <w:p>
      <w:pPr>
        <w:spacing w:after="0" w:line="96" w:lineRule="exact"/>
        <w:rPr>
          <w:sz w:val="20"/>
          <w:szCs w:val="20"/>
          <w:color w:val="auto"/>
        </w:rPr>
      </w:pPr>
    </w:p>
    <w:p>
      <w:pPr>
        <w:ind w:left="1000" w:right="659"/>
        <w:spacing w:after="0" w:line="268" w:lineRule="auto"/>
        <w:rPr>
          <w:sz w:val="20"/>
          <w:szCs w:val="20"/>
          <w:color w:val="auto"/>
        </w:rPr>
      </w:pPr>
      <w:r>
        <w:rPr>
          <w:rFonts w:ascii="Arial" w:cs="Arial" w:eastAsia="Arial" w:hAnsi="Arial"/>
          <w:sz w:val="18"/>
          <w:szCs w:val="18"/>
          <w:b w:val="1"/>
          <w:bCs w:val="1"/>
          <w:color w:val="53C072"/>
        </w:rPr>
        <w:t xml:space="preserve">Target Annual Cash Incentive. </w:t>
      </w:r>
      <w:r>
        <w:rPr>
          <w:rFonts w:ascii="Arial" w:cs="Arial" w:eastAsia="Arial" w:hAnsi="Arial"/>
          <w:sz w:val="18"/>
          <w:szCs w:val="18"/>
          <w:color w:val="000000"/>
        </w:rPr>
        <w:t>The Committee sets each NEO’s target incentive opportunity based on</w:t>
      </w:r>
      <w:r>
        <w:rPr>
          <w:rFonts w:ascii="Arial" w:cs="Arial" w:eastAsia="Arial" w:hAnsi="Arial"/>
          <w:sz w:val="18"/>
          <w:szCs w:val="18"/>
          <w:b w:val="1"/>
          <w:bCs w:val="1"/>
          <w:color w:val="53C072"/>
        </w:rPr>
        <w:t xml:space="preserve"> </w:t>
      </w:r>
      <w:r>
        <w:rPr>
          <w:rFonts w:ascii="Arial" w:cs="Arial" w:eastAsia="Arial" w:hAnsi="Arial"/>
          <w:sz w:val="18"/>
          <w:szCs w:val="18"/>
          <w:color w:val="000000"/>
        </w:rPr>
        <w:t>market competitive data, internal equity, and other factors. The annualized target annual cash incentive compensation for fiscal 2024and fiscal 2025 for the NEOs is set forth in the following table:</w:t>
      </w:r>
    </w:p>
    <w:p>
      <w:pPr>
        <w:spacing w:after="0" w:line="149"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266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NEO</w:t>
            </w:r>
          </w:p>
        </w:tc>
        <w:tc>
          <w:tcPr>
            <w:tcW w:w="1980" w:type="dxa"/>
            <w:vAlign w:val="bottom"/>
            <w:shd w:val="clear" w:color="auto" w:fill="53C072"/>
          </w:tcPr>
          <w:p>
            <w:pPr>
              <w:spacing w:after="0"/>
              <w:rPr>
                <w:sz w:val="19"/>
                <w:szCs w:val="19"/>
                <w:color w:val="auto"/>
              </w:rPr>
            </w:pPr>
          </w:p>
        </w:tc>
        <w:tc>
          <w:tcPr>
            <w:tcW w:w="840" w:type="dxa"/>
            <w:vAlign w:val="bottom"/>
            <w:shd w:val="clear" w:color="auto" w:fill="53C072"/>
          </w:tcPr>
          <w:p>
            <w:pPr>
              <w:jc w:val="right"/>
              <w:ind w:right="34"/>
              <w:spacing w:after="0"/>
              <w:rPr>
                <w:sz w:val="20"/>
                <w:szCs w:val="20"/>
                <w:color w:val="auto"/>
              </w:rPr>
            </w:pPr>
            <w:r>
              <w:rPr>
                <w:rFonts w:ascii="Arial" w:cs="Arial" w:eastAsia="Arial" w:hAnsi="Arial"/>
                <w:sz w:val="14"/>
                <w:szCs w:val="14"/>
                <w:b w:val="1"/>
                <w:bCs w:val="1"/>
                <w:color w:val="FEFEFE"/>
              </w:rPr>
              <w:t>FY 2024</w:t>
            </w:r>
          </w:p>
        </w:tc>
        <w:tc>
          <w:tcPr>
            <w:tcW w:w="300" w:type="dxa"/>
            <w:vAlign w:val="bottom"/>
            <w:shd w:val="clear" w:color="auto" w:fill="53C072"/>
          </w:tcPr>
          <w:p>
            <w:pPr>
              <w:spacing w:after="0"/>
              <w:rPr>
                <w:sz w:val="19"/>
                <w:szCs w:val="19"/>
                <w:color w:val="auto"/>
              </w:rPr>
            </w:pPr>
          </w:p>
        </w:tc>
        <w:tc>
          <w:tcPr>
            <w:tcW w:w="840" w:type="dxa"/>
            <w:vAlign w:val="bottom"/>
            <w:shd w:val="clear" w:color="auto" w:fill="53C072"/>
          </w:tcPr>
          <w:p>
            <w:pPr>
              <w:jc w:val="right"/>
              <w:ind w:right="14"/>
              <w:spacing w:after="0"/>
              <w:rPr>
                <w:sz w:val="20"/>
                <w:szCs w:val="20"/>
                <w:color w:val="auto"/>
              </w:rPr>
            </w:pPr>
            <w:r>
              <w:rPr>
                <w:rFonts w:ascii="Arial" w:cs="Arial" w:eastAsia="Arial" w:hAnsi="Arial"/>
                <w:sz w:val="14"/>
                <w:szCs w:val="14"/>
                <w:b w:val="1"/>
                <w:bCs w:val="1"/>
                <w:color w:val="FEFEFE"/>
              </w:rPr>
              <w:t>FY 2025</w:t>
            </w:r>
          </w:p>
        </w:tc>
        <w:tc>
          <w:tcPr>
            <w:tcW w:w="920" w:type="dxa"/>
            <w:vAlign w:val="bottom"/>
            <w:shd w:val="clear" w:color="auto" w:fill="53C072"/>
          </w:tcPr>
          <w:p>
            <w:pPr>
              <w:jc w:val="right"/>
              <w:ind w:right="33"/>
              <w:spacing w:after="0"/>
              <w:rPr>
                <w:sz w:val="20"/>
                <w:szCs w:val="20"/>
                <w:color w:val="auto"/>
              </w:rPr>
            </w:pPr>
            <w:r>
              <w:rPr>
                <w:rFonts w:ascii="Arial" w:cs="Arial" w:eastAsia="Arial" w:hAnsi="Arial"/>
                <w:sz w:val="14"/>
                <w:szCs w:val="14"/>
                <w:b w:val="1"/>
                <w:bCs w:val="1"/>
                <w:color w:val="FEFEFE"/>
              </w:rPr>
              <w:t>% Change</w:t>
            </w:r>
          </w:p>
        </w:tc>
        <w:tc>
          <w:tcPr>
            <w:tcW w:w="1220" w:type="dxa"/>
            <w:vAlign w:val="bottom"/>
            <w:shd w:val="clear" w:color="auto" w:fill="53C072"/>
          </w:tcPr>
          <w:p>
            <w:pPr>
              <w:jc w:val="right"/>
              <w:ind w:right="33"/>
              <w:spacing w:after="0"/>
              <w:rPr>
                <w:sz w:val="20"/>
                <w:szCs w:val="20"/>
                <w:color w:val="auto"/>
              </w:rPr>
            </w:pPr>
            <w:r>
              <w:rPr>
                <w:rFonts w:ascii="Arial" w:cs="Arial" w:eastAsia="Arial" w:hAnsi="Arial"/>
                <w:sz w:val="14"/>
                <w:szCs w:val="14"/>
                <w:b w:val="1"/>
                <w:bCs w:val="1"/>
                <w:color w:val="FEFEFE"/>
              </w:rPr>
              <w:t>% Base Salary</w:t>
            </w:r>
          </w:p>
        </w:tc>
      </w:tr>
      <w:tr>
        <w:trPr>
          <w:trHeight w:val="257"/>
        </w:trPr>
        <w:tc>
          <w:tcPr>
            <w:tcW w:w="2660" w:type="dxa"/>
            <w:vAlign w:val="bottom"/>
          </w:tcPr>
          <w:p>
            <w:pPr>
              <w:ind w:left="120"/>
              <w:spacing w:after="0"/>
              <w:rPr>
                <w:sz w:val="20"/>
                <w:szCs w:val="20"/>
                <w:color w:val="auto"/>
              </w:rPr>
            </w:pPr>
            <w:r>
              <w:rPr>
                <w:rFonts w:ascii="Arial" w:cs="Arial" w:eastAsia="Arial" w:hAnsi="Arial"/>
                <w:sz w:val="18"/>
                <w:szCs w:val="18"/>
                <w:color w:val="auto"/>
              </w:rPr>
              <w:t>Gallagher</w:t>
            </w:r>
          </w:p>
        </w:tc>
        <w:tc>
          <w:tcPr>
            <w:tcW w:w="2820" w:type="dxa"/>
            <w:vAlign w:val="bottom"/>
            <w:gridSpan w:val="2"/>
          </w:tcPr>
          <w:p>
            <w:pPr>
              <w:jc w:val="right"/>
              <w:ind w:right="34"/>
              <w:spacing w:after="0"/>
              <w:rPr>
                <w:sz w:val="20"/>
                <w:szCs w:val="20"/>
                <w:color w:val="auto"/>
              </w:rPr>
            </w:pPr>
            <w:r>
              <w:rPr>
                <w:rFonts w:ascii="Arial" w:cs="Arial" w:eastAsia="Arial" w:hAnsi="Arial"/>
                <w:sz w:val="18"/>
                <w:szCs w:val="18"/>
                <w:color w:val="auto"/>
              </w:rPr>
              <w:t>​$1,800,000</w:t>
            </w: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​$1,800,000</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150%</w:t>
            </w:r>
          </w:p>
        </w:tc>
      </w:tr>
      <w:tr>
        <w:trPr>
          <w:trHeight w:val="256"/>
        </w:trPr>
        <w:tc>
          <w:tcPr>
            <w:tcW w:w="2660" w:type="dxa"/>
            <w:vAlign w:val="bottom"/>
            <w:shd w:val="clear" w:color="auto" w:fill="CBECD5"/>
          </w:tcPr>
          <w:p>
            <w:pPr>
              <w:ind w:left="120"/>
              <w:spacing w:after="0"/>
              <w:rPr>
                <w:sz w:val="20"/>
                <w:szCs w:val="20"/>
                <w:color w:val="auto"/>
              </w:rPr>
            </w:pPr>
            <w:r>
              <w:rPr>
                <w:rFonts w:ascii="Arial" w:cs="Arial" w:eastAsia="Arial" w:hAnsi="Arial"/>
                <w:sz w:val="18"/>
                <w:szCs w:val="18"/>
                <w:color w:val="auto"/>
              </w:rPr>
              <w:t>Jacobson</w:t>
            </w:r>
          </w:p>
        </w:tc>
        <w:tc>
          <w:tcPr>
            <w:tcW w:w="1980" w:type="dxa"/>
            <w:vAlign w:val="bottom"/>
            <w:shd w:val="clear" w:color="auto" w:fill="CBECD5"/>
          </w:tcPr>
          <w:p>
            <w:pPr>
              <w:ind w:left="17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600,000</w:t>
            </w:r>
          </w:p>
        </w:tc>
        <w:tc>
          <w:tcPr>
            <w:tcW w:w="300" w:type="dxa"/>
            <w:vAlign w:val="bottom"/>
            <w:shd w:val="clear" w:color="auto" w:fill="CBECD5"/>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14"/>
              <w:spacing w:after="0"/>
              <w:rPr>
                <w:sz w:val="20"/>
                <w:szCs w:val="20"/>
                <w:color w:val="auto"/>
              </w:rPr>
            </w:pPr>
            <w:r>
              <w:rPr>
                <w:rFonts w:ascii="Arial" w:cs="Arial" w:eastAsia="Arial" w:hAnsi="Arial"/>
                <w:sz w:val="18"/>
                <w:szCs w:val="18"/>
                <w:color w:val="auto"/>
              </w:rPr>
              <w:t>675,000</w:t>
            </w:r>
          </w:p>
        </w:tc>
        <w:tc>
          <w:tcPr>
            <w:tcW w:w="92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12.5%</w:t>
            </w:r>
          </w:p>
        </w:tc>
        <w:tc>
          <w:tcPr>
            <w:tcW w:w="122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100%</w:t>
            </w:r>
          </w:p>
        </w:tc>
      </w:tr>
      <w:tr>
        <w:trPr>
          <w:trHeight w:val="257"/>
        </w:trPr>
        <w:tc>
          <w:tcPr>
            <w:tcW w:w="2660" w:type="dxa"/>
            <w:vAlign w:val="bottom"/>
          </w:tcPr>
          <w:p>
            <w:pPr>
              <w:ind w:left="120"/>
              <w:spacing w:after="0"/>
              <w:rPr>
                <w:sz w:val="20"/>
                <w:szCs w:val="20"/>
                <w:color w:val="auto"/>
              </w:rPr>
            </w:pPr>
            <w:r>
              <w:rPr>
                <w:rFonts w:ascii="Arial" w:cs="Arial" w:eastAsia="Arial" w:hAnsi="Arial"/>
                <w:sz w:val="18"/>
                <w:szCs w:val="18"/>
                <w:color w:val="auto"/>
              </w:rPr>
              <w:t>Arnold</w:t>
            </w:r>
          </w:p>
        </w:tc>
        <w:tc>
          <w:tcPr>
            <w:tcW w:w="1980" w:type="dxa"/>
            <w:vAlign w:val="bottom"/>
          </w:tcPr>
          <w:p>
            <w:pPr>
              <w:ind w:left="17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420,000</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420,000</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75%</w:t>
            </w:r>
          </w:p>
        </w:tc>
      </w:tr>
      <w:tr>
        <w:trPr>
          <w:trHeight w:val="257"/>
        </w:trPr>
        <w:tc>
          <w:tcPr>
            <w:tcW w:w="2660" w:type="dxa"/>
            <w:vAlign w:val="bottom"/>
            <w:shd w:val="clear" w:color="auto" w:fill="CBECD5"/>
          </w:tcPr>
          <w:p>
            <w:pPr>
              <w:ind w:left="120"/>
              <w:spacing w:after="0"/>
              <w:rPr>
                <w:sz w:val="20"/>
                <w:szCs w:val="20"/>
                <w:color w:val="auto"/>
              </w:rPr>
            </w:pPr>
            <w:r>
              <w:rPr>
                <w:rFonts w:ascii="Arial" w:cs="Arial" w:eastAsia="Arial" w:hAnsi="Arial"/>
                <w:sz w:val="18"/>
                <w:szCs w:val="18"/>
                <w:color w:val="auto"/>
              </w:rPr>
              <w:t>Chan</w:t>
            </w:r>
          </w:p>
        </w:tc>
        <w:tc>
          <w:tcPr>
            <w:tcW w:w="1980" w:type="dxa"/>
            <w:vAlign w:val="bottom"/>
            <w:shd w:val="clear" w:color="auto" w:fill="CBECD5"/>
          </w:tcPr>
          <w:p>
            <w:pPr>
              <w:ind w:left="17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440,000</w:t>
            </w:r>
          </w:p>
        </w:tc>
        <w:tc>
          <w:tcPr>
            <w:tcW w:w="300" w:type="dxa"/>
            <w:vAlign w:val="bottom"/>
            <w:shd w:val="clear" w:color="auto" w:fill="CBECD5"/>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14"/>
              <w:spacing w:after="0"/>
              <w:rPr>
                <w:sz w:val="20"/>
                <w:szCs w:val="20"/>
                <w:color w:val="auto"/>
              </w:rPr>
            </w:pPr>
            <w:r>
              <w:rPr>
                <w:rFonts w:ascii="Arial" w:cs="Arial" w:eastAsia="Arial" w:hAnsi="Arial"/>
                <w:sz w:val="18"/>
                <w:szCs w:val="18"/>
                <w:color w:val="auto"/>
              </w:rPr>
              <w:t>440,000</w:t>
            </w:r>
          </w:p>
        </w:tc>
        <w:tc>
          <w:tcPr>
            <w:tcW w:w="92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w:t>
            </w:r>
          </w:p>
        </w:tc>
        <w:tc>
          <w:tcPr>
            <w:tcW w:w="122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80%</w:t>
            </w:r>
          </w:p>
        </w:tc>
      </w:tr>
      <w:tr>
        <w:trPr>
          <w:trHeight w:val="290"/>
        </w:trPr>
        <w:tc>
          <w:tcPr>
            <w:tcW w:w="2660" w:type="dxa"/>
            <w:vAlign w:val="bottom"/>
            <w:tcBorders>
              <w:bottom w:val="single" w:sz="8" w:color="53C072"/>
            </w:tcBorders>
          </w:tcPr>
          <w:p>
            <w:pPr>
              <w:ind w:left="120"/>
              <w:spacing w:after="0"/>
              <w:rPr>
                <w:sz w:val="20"/>
                <w:szCs w:val="20"/>
                <w:color w:val="auto"/>
              </w:rPr>
            </w:pPr>
            <w:r>
              <w:rPr>
                <w:rFonts w:ascii="Arial" w:cs="Arial" w:eastAsia="Arial" w:hAnsi="Arial"/>
                <w:sz w:val="18"/>
                <w:szCs w:val="18"/>
                <w:color w:val="auto"/>
              </w:rPr>
              <w:t>McCoy</w:t>
            </w:r>
          </w:p>
        </w:tc>
        <w:tc>
          <w:tcPr>
            <w:tcW w:w="1980" w:type="dxa"/>
            <w:vAlign w:val="bottom"/>
            <w:tcBorders>
              <w:bottom w:val="single" w:sz="8" w:color="53C072"/>
            </w:tcBorders>
          </w:tcPr>
          <w:p>
            <w:pPr>
              <w:ind w:left="1780"/>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840" w:type="dxa"/>
            <w:vAlign w:val="bottom"/>
            <w:tcBorders>
              <w:bottom w:val="single" w:sz="8" w:color="53C072"/>
            </w:tcBorders>
          </w:tcPr>
          <w:p>
            <w:pPr>
              <w:jc w:val="right"/>
              <w:ind w:right="34"/>
              <w:spacing w:after="0"/>
              <w:rPr>
                <w:sz w:val="20"/>
                <w:szCs w:val="20"/>
                <w:color w:val="auto"/>
              </w:rPr>
            </w:pPr>
            <w:r>
              <w:rPr>
                <w:rFonts w:ascii="Arial" w:cs="Arial" w:eastAsia="Arial" w:hAnsi="Arial"/>
                <w:sz w:val="18"/>
                <w:szCs w:val="18"/>
                <w:color w:val="auto"/>
              </w:rPr>
              <w:t>476,000</w:t>
            </w:r>
          </w:p>
        </w:tc>
        <w:tc>
          <w:tcPr>
            <w:tcW w:w="300" w:type="dxa"/>
            <w:vAlign w:val="bottom"/>
            <w:tcBorders>
              <w:bottom w:val="single" w:sz="8" w:color="53C072"/>
            </w:tcBorders>
          </w:tcPr>
          <w:p>
            <w:pPr>
              <w:ind w:left="120"/>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840" w:type="dxa"/>
            <w:vAlign w:val="bottom"/>
            <w:tcBorders>
              <w:bottom w:val="single" w:sz="8" w:color="53C072"/>
            </w:tcBorders>
          </w:tcPr>
          <w:p>
            <w:pPr>
              <w:jc w:val="right"/>
              <w:ind w:right="14"/>
              <w:spacing w:after="0"/>
              <w:rPr>
                <w:sz w:val="20"/>
                <w:szCs w:val="20"/>
                <w:color w:val="auto"/>
              </w:rPr>
            </w:pPr>
            <w:r>
              <w:rPr>
                <w:rFonts w:ascii="Arial" w:cs="Arial" w:eastAsia="Arial" w:hAnsi="Arial"/>
                <w:sz w:val="18"/>
                <w:szCs w:val="18"/>
                <w:color w:val="auto"/>
              </w:rPr>
              <w:t>476,000</w:t>
            </w:r>
          </w:p>
        </w:tc>
        <w:tc>
          <w:tcPr>
            <w:tcW w:w="920" w:type="dxa"/>
            <w:vAlign w:val="bottom"/>
            <w:tcBorders>
              <w:bottom w:val="single" w:sz="8" w:color="53C072"/>
            </w:tcBorders>
          </w:tcPr>
          <w:p>
            <w:pPr>
              <w:jc w:val="right"/>
              <w:ind w:right="33"/>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53C072"/>
            </w:tcBorders>
          </w:tcPr>
          <w:p>
            <w:pPr>
              <w:jc w:val="right"/>
              <w:ind w:right="33"/>
              <w:spacing w:after="0"/>
              <w:rPr>
                <w:sz w:val="20"/>
                <w:szCs w:val="20"/>
                <w:color w:val="auto"/>
              </w:rPr>
            </w:pPr>
            <w:r>
              <w:rPr>
                <w:rFonts w:ascii="Arial" w:cs="Arial" w:eastAsia="Arial" w:hAnsi="Arial"/>
                <w:sz w:val="18"/>
                <w:szCs w:val="18"/>
                <w:color w:val="auto"/>
              </w:rPr>
              <w:t>80%</w:t>
            </w:r>
          </w:p>
        </w:tc>
      </w:tr>
    </w:tbl>
    <w:p>
      <w:pPr>
        <w:spacing w:after="0" w:line="103" w:lineRule="exact"/>
        <w:rPr>
          <w:sz w:val="20"/>
          <w:szCs w:val="20"/>
          <w:color w:val="auto"/>
        </w:rPr>
      </w:pPr>
    </w:p>
    <w:p>
      <w:pPr>
        <w:ind w:left="1000" w:right="159"/>
        <w:spacing w:after="0" w:line="255" w:lineRule="auto"/>
        <w:rPr>
          <w:sz w:val="20"/>
          <w:szCs w:val="20"/>
          <w:color w:val="auto"/>
        </w:rPr>
      </w:pPr>
      <w:r>
        <w:rPr>
          <w:rFonts w:ascii="Arial" w:cs="Arial" w:eastAsia="Arial" w:hAnsi="Arial"/>
          <w:sz w:val="18"/>
          <w:szCs w:val="18"/>
          <w:b w:val="1"/>
          <w:bCs w:val="1"/>
          <w:color w:val="53C072"/>
        </w:rPr>
        <w:t xml:space="preserve">Financial Performance Metrics. </w:t>
      </w:r>
      <w:r>
        <w:rPr>
          <w:rFonts w:ascii="Arial" w:cs="Arial" w:eastAsia="Arial" w:hAnsi="Arial"/>
          <w:sz w:val="18"/>
          <w:szCs w:val="18"/>
          <w:color w:val="000000"/>
        </w:rPr>
        <w:t>For NEOs, 80% of their target annual cash incentive compensation was tied</w:t>
      </w:r>
      <w:r>
        <w:rPr>
          <w:rFonts w:ascii="Arial" w:cs="Arial" w:eastAsia="Arial" w:hAnsi="Arial"/>
          <w:sz w:val="18"/>
          <w:szCs w:val="18"/>
          <w:b w:val="1"/>
          <w:bCs w:val="1"/>
          <w:color w:val="53C072"/>
        </w:rPr>
        <w:t xml:space="preserve"> </w:t>
      </w:r>
      <w:r>
        <w:rPr>
          <w:rFonts w:ascii="Arial" w:cs="Arial" w:eastAsia="Arial" w:hAnsi="Arial"/>
          <w:sz w:val="18"/>
          <w:szCs w:val="18"/>
          <w:color w:val="000000"/>
        </w:rPr>
        <w:t>to the achievement of financial performance goals. Such goals are reviewed in conjunction with the Company’s budget for the upcoming fiscal year. When determining the goals, the Board seeks to ensure that they are fair, challenging, and forward-looking, without encouraging excessive risk-taking. Additionally, when determining the fiscal 2025 budget for executive compensation, the Board considered the Company’s results in fiscal 2024, projected growth, and the operating environment as projected by industry analysts. At its August 15, 2024 meeting, the Committee or the Board, as appropriate, finalized the financial performance goals and the target cash incentive compensation relating to such financial performance goals.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Financial performance goals were based on the percentage achievement of the Company’s fiscal 2025:</w:t>
      </w:r>
    </w:p>
    <w:p>
      <w:pPr>
        <w:spacing w:after="0" w:line="27" w:lineRule="exact"/>
        <w:rPr>
          <w:sz w:val="20"/>
          <w:szCs w:val="20"/>
          <w:color w:val="auto"/>
        </w:rPr>
      </w:pPr>
    </w:p>
    <w:p>
      <w:pPr>
        <w:ind w:left="1000" w:right="139" w:hanging="10"/>
        <w:spacing w:after="0" w:line="255" w:lineRule="auto"/>
        <w:tabs>
          <w:tab w:leader="none" w:pos="1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Adjusted Operating Income Dollars (“OI$”), (2) Return on Working Capital (“ROWC”) and (3) Relative Market Share. These goals reinforced the focus on profitable growth by rewarding growth in operating income while maintaining an appropriate amount of sensitivity to the developments in gross margin and efficiency in the use of working capital. For purposes of the fiscal 2025 awards, definitions are as follows:</w:t>
      </w:r>
    </w:p>
    <w:p>
      <w:pPr>
        <w:spacing w:after="0" w:line="1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48     </w:t>
      </w:r>
      <w:r>
        <w:rPr>
          <w:sz w:val="1"/>
          <w:szCs w:val="1"/>
          <w:color w:val="auto"/>
        </w:rPr>
        <w:drawing>
          <wp:inline distT="0" distB="0" distL="0" distR="0">
            <wp:extent cx="1242695" cy="24003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43" w:lineRule="exact"/>
        <w:rPr>
          <w:sz w:val="20"/>
          <w:szCs w:val="20"/>
          <w:color w:val="auto"/>
        </w:rPr>
      </w:pPr>
    </w:p>
    <w:p>
      <w:pPr>
        <w:jc w:val="right"/>
        <w:ind w:right="139"/>
        <w:spacing w:after="0"/>
        <w:tabs>
          <w:tab w:leader="none" w:pos="2460" w:val="left"/>
        </w:tabs>
        <w:rPr>
          <w:sz w:val="20"/>
          <w:szCs w:val="20"/>
          <w:color w:val="auto"/>
        </w:rPr>
      </w:pPr>
      <w:r>
        <w:rPr>
          <w:rFonts w:ascii="Arial" w:cs="Arial" w:eastAsia="Arial" w:hAnsi="Arial"/>
          <w:sz w:val="28"/>
          <w:szCs w:val="28"/>
          <w:b w:val="1"/>
          <w:bCs w:val="1"/>
          <w:color w:val="53C072"/>
          <w:vertAlign w:val="superscript"/>
        </w:rPr>
        <w:t>2025 ANNUAL</w:t>
      </w:r>
      <w:r>
        <w:rPr>
          <w:rFonts w:ascii="Arial" w:cs="Arial" w:eastAsia="Arial" w:hAnsi="Arial"/>
          <w:sz w:val="28"/>
          <w:szCs w:val="28"/>
          <w:b w:val="1"/>
          <w:bCs w:val="1"/>
          <w:color w:val="auto"/>
          <w:vertAlign w:val="superscript"/>
        </w:rPr>
        <w:t xml:space="preserve"> </w:t>
      </w:r>
      <w:r>
        <w:rPr>
          <w:sz w:val="20"/>
          <w:szCs w:val="20"/>
          <w:color w:val="auto"/>
        </w:rPr>
        <w:tab/>
      </w:r>
      <w:r>
        <w:rPr>
          <w:rFonts w:ascii="Arial" w:cs="Arial" w:eastAsia="Arial" w:hAnsi="Arial"/>
          <w:sz w:val="14"/>
          <w:szCs w:val="14"/>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980" w:right="359" w:hanging="270"/>
        <w:spacing w:after="0" w:line="268" w:lineRule="auto"/>
        <w:tabs>
          <w:tab w:leader="none" w:pos="1980" w:val="left"/>
        </w:tabs>
        <w:numPr>
          <w:ilvl w:val="0"/>
          <w:numId w:val="43"/>
        </w:numPr>
        <w:rPr>
          <w:rFonts w:ascii="Arial" w:cs="Arial" w:eastAsia="Arial" w:hAnsi="Arial"/>
          <w:sz w:val="18"/>
          <w:szCs w:val="18"/>
          <w:color w:val="53C072"/>
        </w:rPr>
      </w:pPr>
      <w:r>
        <w:rPr>
          <w:rFonts w:ascii="Arial" w:cs="Arial" w:eastAsia="Arial" w:hAnsi="Arial"/>
          <w:sz w:val="18"/>
          <w:szCs w:val="18"/>
          <w:color w:val="auto"/>
        </w:rPr>
        <w:t>ROWC is defined as adjusted operating income divided by the quarterly average of working capital. Working capital is defined as total accounts receivable plus net inventories less accounts payable.</w:t>
      </w:r>
    </w:p>
    <w:p>
      <w:pPr>
        <w:spacing w:after="0" w:line="76" w:lineRule="exact"/>
        <w:rPr>
          <w:rFonts w:ascii="Arial" w:cs="Arial" w:eastAsia="Arial" w:hAnsi="Arial"/>
          <w:sz w:val="18"/>
          <w:szCs w:val="18"/>
          <w:color w:val="53C072"/>
        </w:rPr>
      </w:pPr>
    </w:p>
    <w:p>
      <w:pPr>
        <w:ind w:left="1980" w:right="579" w:hanging="270"/>
        <w:spacing w:after="0" w:line="287" w:lineRule="auto"/>
        <w:tabs>
          <w:tab w:leader="none" w:pos="1980" w:val="left"/>
        </w:tabs>
        <w:numPr>
          <w:ilvl w:val="0"/>
          <w:numId w:val="43"/>
        </w:numPr>
        <w:rPr>
          <w:rFonts w:ascii="Arial" w:cs="Arial" w:eastAsia="Arial" w:hAnsi="Arial"/>
          <w:sz w:val="18"/>
          <w:szCs w:val="18"/>
          <w:color w:val="53C072"/>
        </w:rPr>
      </w:pPr>
      <w:r>
        <w:rPr>
          <w:rFonts w:ascii="Arial" w:cs="Arial" w:eastAsia="Arial" w:hAnsi="Arial"/>
          <w:sz w:val="18"/>
          <w:szCs w:val="18"/>
          <w:color w:val="auto"/>
        </w:rPr>
        <w:t>Relative market share measures the Company’s organic sales growth in constant currency as compared to its main competitor in its components business.</w:t>
      </w:r>
    </w:p>
    <w:p>
      <w:pPr>
        <w:spacing w:after="0" w:line="85" w:lineRule="exact"/>
        <w:rPr>
          <w:sz w:val="20"/>
          <w:szCs w:val="20"/>
          <w:color w:val="auto"/>
        </w:rPr>
      </w:pPr>
    </w:p>
    <w:p>
      <w:pPr>
        <w:ind w:left="1000" w:right="179"/>
        <w:spacing w:after="0" w:line="276" w:lineRule="auto"/>
        <w:rPr>
          <w:sz w:val="20"/>
          <w:szCs w:val="20"/>
          <w:color w:val="auto"/>
        </w:rPr>
      </w:pPr>
      <w:r>
        <w:rPr>
          <w:rFonts w:ascii="Arial" w:cs="Arial" w:eastAsia="Arial" w:hAnsi="Arial"/>
          <w:sz w:val="18"/>
          <w:szCs w:val="18"/>
          <w:color w:val="auto"/>
        </w:rPr>
        <w:t>Maximum annual cash incentive compensation relating to the financial performance goals was capped at 200% of target and no cash incentive compensation would be earned for such measures if actual performance was less than 80% of the financial targets.</w:t>
      </w:r>
    </w:p>
    <w:p>
      <w:pPr>
        <w:spacing w:after="0" w:line="96" w:lineRule="exact"/>
        <w:rPr>
          <w:sz w:val="20"/>
          <w:szCs w:val="20"/>
          <w:color w:val="auto"/>
        </w:rPr>
      </w:pPr>
    </w:p>
    <w:p>
      <w:pPr>
        <w:ind w:left="1000" w:right="439"/>
        <w:spacing w:after="0" w:line="287" w:lineRule="auto"/>
        <w:rPr>
          <w:sz w:val="20"/>
          <w:szCs w:val="20"/>
          <w:color w:val="auto"/>
        </w:rPr>
      </w:pPr>
      <w:r>
        <w:rPr>
          <w:rFonts w:ascii="Arial" w:cs="Arial" w:eastAsia="Arial" w:hAnsi="Arial"/>
          <w:sz w:val="18"/>
          <w:szCs w:val="18"/>
          <w:b w:val="1"/>
          <w:bCs w:val="1"/>
          <w:color w:val="53C072"/>
        </w:rPr>
        <w:t xml:space="preserve">Non-Financial Performance Metrics. </w:t>
      </w:r>
      <w:r>
        <w:rPr>
          <w:rFonts w:ascii="Arial" w:cs="Arial" w:eastAsia="Arial" w:hAnsi="Arial"/>
          <w:sz w:val="18"/>
          <w:szCs w:val="18"/>
          <w:color w:val="000000"/>
        </w:rPr>
        <w:t>For NEOs, 20% of their target annual cash incentive compensation</w:t>
      </w:r>
      <w:r>
        <w:rPr>
          <w:rFonts w:ascii="Arial" w:cs="Arial" w:eastAsia="Arial" w:hAnsi="Arial"/>
          <w:sz w:val="18"/>
          <w:szCs w:val="18"/>
          <w:b w:val="1"/>
          <w:bCs w:val="1"/>
          <w:color w:val="53C072"/>
        </w:rPr>
        <w:t xml:space="preserve"> </w:t>
      </w:r>
      <w:r>
        <w:rPr>
          <w:rFonts w:ascii="Arial" w:cs="Arial" w:eastAsia="Arial" w:hAnsi="Arial"/>
          <w:sz w:val="18"/>
          <w:szCs w:val="18"/>
          <w:color w:val="000000"/>
        </w:rPr>
        <w:t>was tied to the individual achievement of non-financial performance goals regarding:</w:t>
      </w:r>
    </w:p>
    <w:p>
      <w:pPr>
        <w:spacing w:after="0" w:line="72" w:lineRule="exact"/>
        <w:rPr>
          <w:sz w:val="20"/>
          <w:szCs w:val="20"/>
          <w:color w:val="auto"/>
        </w:rPr>
      </w:pPr>
    </w:p>
    <w:p>
      <w:pPr>
        <w:ind w:left="1980" w:hanging="270"/>
        <w:spacing w:after="0"/>
        <w:tabs>
          <w:tab w:leader="none" w:pos="1980" w:val="left"/>
        </w:tabs>
        <w:numPr>
          <w:ilvl w:val="0"/>
          <w:numId w:val="44"/>
        </w:numPr>
        <w:rPr>
          <w:rFonts w:ascii="Arial" w:cs="Arial" w:eastAsia="Arial" w:hAnsi="Arial"/>
          <w:sz w:val="18"/>
          <w:szCs w:val="18"/>
          <w:color w:val="53C072"/>
        </w:rPr>
      </w:pPr>
      <w:r>
        <w:rPr>
          <w:rFonts w:ascii="Arial" w:cs="Arial" w:eastAsia="Arial" w:hAnsi="Arial"/>
          <w:sz w:val="18"/>
          <w:szCs w:val="18"/>
          <w:color w:val="auto"/>
        </w:rPr>
        <w:t>Talent Retention</w:t>
      </w:r>
    </w:p>
    <w:p>
      <w:pPr>
        <w:spacing w:after="0" w:line="144" w:lineRule="exact"/>
        <w:rPr>
          <w:rFonts w:ascii="Arial" w:cs="Arial" w:eastAsia="Arial" w:hAnsi="Arial"/>
          <w:sz w:val="18"/>
          <w:szCs w:val="18"/>
          <w:color w:val="53C072"/>
        </w:rPr>
      </w:pPr>
    </w:p>
    <w:p>
      <w:pPr>
        <w:ind w:left="1980" w:hanging="270"/>
        <w:spacing w:after="0"/>
        <w:tabs>
          <w:tab w:leader="none" w:pos="1980" w:val="left"/>
        </w:tabs>
        <w:numPr>
          <w:ilvl w:val="0"/>
          <w:numId w:val="44"/>
        </w:numPr>
        <w:rPr>
          <w:rFonts w:ascii="Arial" w:cs="Arial" w:eastAsia="Arial" w:hAnsi="Arial"/>
          <w:sz w:val="18"/>
          <w:szCs w:val="18"/>
          <w:color w:val="53C072"/>
        </w:rPr>
      </w:pPr>
      <w:r>
        <w:rPr>
          <w:rFonts w:ascii="Arial" w:cs="Arial" w:eastAsia="Arial" w:hAnsi="Arial"/>
          <w:sz w:val="18"/>
          <w:szCs w:val="18"/>
          <w:color w:val="auto"/>
        </w:rPr>
        <w:t>Leadership Development</w:t>
      </w:r>
    </w:p>
    <w:p>
      <w:pPr>
        <w:spacing w:after="0" w:line="130" w:lineRule="exact"/>
        <w:rPr>
          <w:rFonts w:ascii="Arial" w:cs="Arial" w:eastAsia="Arial" w:hAnsi="Arial"/>
          <w:sz w:val="18"/>
          <w:szCs w:val="18"/>
          <w:color w:val="53C072"/>
        </w:rPr>
      </w:pPr>
    </w:p>
    <w:p>
      <w:pPr>
        <w:ind w:left="1980" w:hanging="270"/>
        <w:spacing w:after="0"/>
        <w:tabs>
          <w:tab w:leader="none" w:pos="1980" w:val="left"/>
        </w:tabs>
        <w:numPr>
          <w:ilvl w:val="0"/>
          <w:numId w:val="44"/>
        </w:numPr>
        <w:rPr>
          <w:rFonts w:ascii="Arial" w:cs="Arial" w:eastAsia="Arial" w:hAnsi="Arial"/>
          <w:sz w:val="18"/>
          <w:szCs w:val="18"/>
          <w:color w:val="53C072"/>
        </w:rPr>
      </w:pPr>
      <w:r>
        <w:rPr>
          <w:rFonts w:ascii="Arial" w:cs="Arial" w:eastAsia="Arial" w:hAnsi="Arial"/>
          <w:sz w:val="18"/>
          <w:szCs w:val="18"/>
          <w:color w:val="auto"/>
        </w:rPr>
        <w:t>Employee Engagement</w:t>
      </w:r>
    </w:p>
    <w:p>
      <w:pPr>
        <w:spacing w:after="0" w:line="158" w:lineRule="exact"/>
        <w:rPr>
          <w:sz w:val="20"/>
          <w:szCs w:val="20"/>
          <w:color w:val="auto"/>
        </w:rPr>
      </w:pPr>
    </w:p>
    <w:p>
      <w:pPr>
        <w:ind w:left="1000" w:right="279"/>
        <w:spacing w:after="0" w:line="285" w:lineRule="auto"/>
        <w:rPr>
          <w:sz w:val="20"/>
          <w:szCs w:val="20"/>
          <w:color w:val="auto"/>
        </w:rPr>
      </w:pPr>
      <w:r>
        <w:rPr>
          <w:rFonts w:ascii="Arial" w:cs="Arial" w:eastAsia="Arial" w:hAnsi="Arial"/>
          <w:sz w:val="17"/>
          <w:szCs w:val="17"/>
          <w:color w:val="auto"/>
        </w:rPr>
        <w:t>The CEO communicated these focus areas, and the goals and activities associated with them to the NEOs. At the end of the year, the CEO reviews each NEO, other than himself, against these focus areas. The CEO reviews and discusses these results with each NEO prior to making the recommendations to the Committee. Based on these and other factors, the CEO will recommend the percentage of achievement for each NEO to the Committee for approval. The Board approves the achievement percentage for the CEO based on CEO's performance against these goals based on the recommendation of the Committee. Maximum annual cash incentive compensation relating to the non-financial performance goals was capped at 200% of target.</w:t>
      </w:r>
    </w:p>
    <w:p>
      <w:pPr>
        <w:spacing w:after="0" w:line="90" w:lineRule="exact"/>
        <w:rPr>
          <w:sz w:val="20"/>
          <w:szCs w:val="20"/>
          <w:color w:val="auto"/>
        </w:rPr>
      </w:pPr>
    </w:p>
    <w:p>
      <w:pPr>
        <w:ind w:left="1000" w:right="799"/>
        <w:spacing w:after="0" w:line="303" w:lineRule="auto"/>
        <w:rPr>
          <w:sz w:val="20"/>
          <w:szCs w:val="20"/>
          <w:color w:val="auto"/>
        </w:rPr>
      </w:pPr>
      <w:r>
        <w:rPr>
          <w:rFonts w:ascii="Arial" w:cs="Arial" w:eastAsia="Arial" w:hAnsi="Arial"/>
          <w:sz w:val="18"/>
          <w:szCs w:val="18"/>
          <w:b w:val="1"/>
          <w:bCs w:val="1"/>
          <w:color w:val="53C072"/>
        </w:rPr>
        <w:t xml:space="preserve">Fiscal 2025 Goals. </w:t>
      </w:r>
      <w:r>
        <w:rPr>
          <w:rFonts w:ascii="Arial" w:cs="Arial" w:eastAsia="Arial" w:hAnsi="Arial"/>
          <w:sz w:val="18"/>
          <w:szCs w:val="18"/>
          <w:color w:val="000000"/>
        </w:rPr>
        <w:t>The fiscal 2025 financial performance metrics, weightings, goals, and methods for</w:t>
      </w:r>
      <w:r>
        <w:rPr>
          <w:rFonts w:ascii="Arial" w:cs="Arial" w:eastAsia="Arial" w:hAnsi="Arial"/>
          <w:sz w:val="18"/>
          <w:szCs w:val="18"/>
          <w:b w:val="1"/>
          <w:bCs w:val="1"/>
          <w:color w:val="53C072"/>
        </w:rPr>
        <w:t xml:space="preserve"> </w:t>
      </w:r>
      <w:r>
        <w:rPr>
          <w:rFonts w:ascii="Arial" w:cs="Arial" w:eastAsia="Arial" w:hAnsi="Arial"/>
          <w:sz w:val="18"/>
          <w:szCs w:val="18"/>
          <w:color w:val="000000"/>
        </w:rPr>
        <w:t>calculation are presented in the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83185</wp:posOffset>
            </wp:positionV>
            <wp:extent cx="5554980" cy="5657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54980" cy="565785"/>
                    </a:xfrm>
                    <a:prstGeom prst="rect">
                      <a:avLst/>
                    </a:prstGeom>
                    <a:noFill/>
                  </pic:spPr>
                </pic:pic>
              </a:graphicData>
            </a:graphic>
          </wp:anchor>
        </w:drawing>
      </w:r>
    </w:p>
    <w:p>
      <w:pPr>
        <w:spacing w:after="0" w:line="209"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FEFEFE"/>
        </w:rPr>
        <w:t>Fiscal 2025</w:t>
      </w:r>
    </w:p>
    <w:p>
      <w:pPr>
        <w:spacing w:after="0" w:line="15"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FEFEFE"/>
        </w:rPr>
        <w:t>Adjusted OI$ Goals</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FEFEFE"/>
        </w:rPr>
        <w:t>40% Weighting</w:t>
      </w:r>
    </w:p>
    <w:p>
      <w:pPr>
        <w:spacing w:after="0" w:line="41" w:lineRule="exact"/>
        <w:rPr>
          <w:sz w:val="20"/>
          <w:szCs w:val="20"/>
          <w:color w:val="auto"/>
        </w:rPr>
      </w:pPr>
    </w:p>
    <w:tbl>
      <w:tblPr>
        <w:tblLayout w:type="fixed"/>
        <w:tblInd w:w="990" w:type="dxa"/>
        <w:tblCellMar>
          <w:top w:w="0" w:type="dxa"/>
          <w:left w:w="0" w:type="dxa"/>
          <w:bottom w:w="0" w:type="dxa"/>
          <w:right w:w="0" w:type="dxa"/>
        </w:tblCellMar>
      </w:tblPr>
      <w:tr>
        <w:trPr>
          <w:trHeight w:val="252"/>
        </w:trPr>
        <w:tc>
          <w:tcPr>
            <w:tcW w:w="40" w:type="dxa"/>
            <w:vAlign w:val="bottom"/>
            <w:tcBorders>
              <w:left w:val="single" w:sz="8" w:color="53C072"/>
            </w:tcBorders>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shd w:val="clear" w:color="auto" w:fill="53C072"/>
          </w:tcPr>
          <w:p>
            <w:pPr>
              <w:spacing w:after="0"/>
              <w:rPr>
                <w:sz w:val="21"/>
                <w:szCs w:val="21"/>
                <w:color w:val="auto"/>
              </w:rPr>
            </w:pPr>
          </w:p>
        </w:tc>
        <w:tc>
          <w:tcPr>
            <w:tcW w:w="440" w:type="dxa"/>
            <w:vAlign w:val="bottom"/>
            <w:gridSpan w:val="3"/>
            <w:shd w:val="clear" w:color="auto" w:fill="53C072"/>
          </w:tcPr>
          <w:p>
            <w:pPr>
              <w:ind w:left="40"/>
              <w:spacing w:after="0"/>
              <w:rPr>
                <w:sz w:val="20"/>
                <w:szCs w:val="20"/>
                <w:color w:val="auto"/>
              </w:rPr>
            </w:pPr>
            <w:r>
              <w:rPr>
                <w:rFonts w:ascii="Arial" w:cs="Arial" w:eastAsia="Arial" w:hAnsi="Arial"/>
                <w:sz w:val="14"/>
                <w:szCs w:val="14"/>
                <w:b w:val="1"/>
                <w:bCs w:val="1"/>
                <w:color w:val="FEFEFE"/>
              </w:rPr>
              <w:t>​ ​</w:t>
            </w:r>
          </w:p>
        </w:tc>
        <w:tc>
          <w:tcPr>
            <w:tcW w:w="1740" w:type="dxa"/>
            <w:vAlign w:val="bottom"/>
            <w:shd w:val="clear" w:color="auto" w:fill="53C072"/>
          </w:tcPr>
          <w:p>
            <w:pPr>
              <w:jc w:val="center"/>
              <w:ind w:right="193"/>
              <w:spacing w:after="0"/>
              <w:rPr>
                <w:sz w:val="20"/>
                <w:szCs w:val="20"/>
                <w:color w:val="auto"/>
              </w:rPr>
            </w:pPr>
            <w:r>
              <w:rPr>
                <w:rFonts w:ascii="Arial" w:cs="Arial" w:eastAsia="Arial" w:hAnsi="Arial"/>
                <w:sz w:val="14"/>
                <w:szCs w:val="14"/>
                <w:b w:val="1"/>
                <w:bCs w:val="1"/>
                <w:color w:val="FEFEFE"/>
              </w:rPr>
              <w:t>% Attainment</w:t>
            </w:r>
          </w:p>
        </w:tc>
        <w:tc>
          <w:tcPr>
            <w:tcW w:w="360" w:type="dxa"/>
            <w:vAlign w:val="bottom"/>
            <w:gridSpan w:val="3"/>
            <w:shd w:val="clear" w:color="auto" w:fill="53C072"/>
          </w:tcPr>
          <w:p>
            <w:pPr>
              <w:spacing w:after="0"/>
              <w:rPr>
                <w:sz w:val="20"/>
                <w:szCs w:val="20"/>
                <w:color w:val="auto"/>
              </w:rPr>
            </w:pPr>
            <w:r>
              <w:rPr>
                <w:rFonts w:ascii="Arial" w:cs="Arial" w:eastAsia="Arial" w:hAnsi="Arial"/>
                <w:sz w:val="14"/>
                <w:szCs w:val="14"/>
                <w:b w:val="1"/>
                <w:bCs w:val="1"/>
                <w:color w:val="FEFEFE"/>
              </w:rPr>
              <w:t>​ ​</w:t>
            </w:r>
          </w:p>
        </w:tc>
        <w:tc>
          <w:tcPr>
            <w:tcW w:w="1460" w:type="dxa"/>
            <w:vAlign w:val="bottom"/>
            <w:shd w:val="clear" w:color="auto" w:fill="53C072"/>
          </w:tcPr>
          <w:p>
            <w:pPr>
              <w:ind w:left="200"/>
              <w:spacing w:after="0"/>
              <w:rPr>
                <w:sz w:val="20"/>
                <w:szCs w:val="20"/>
                <w:color w:val="auto"/>
              </w:rPr>
            </w:pPr>
            <w:r>
              <w:rPr>
                <w:rFonts w:ascii="Arial" w:cs="Arial" w:eastAsia="Arial" w:hAnsi="Arial"/>
                <w:sz w:val="14"/>
                <w:szCs w:val="14"/>
                <w:b w:val="1"/>
                <w:bCs w:val="1"/>
                <w:color w:val="FEFEFE"/>
              </w:rPr>
              <w:t>Adjusted OI$</w:t>
            </w:r>
          </w:p>
        </w:tc>
        <w:tc>
          <w:tcPr>
            <w:tcW w:w="400" w:type="dxa"/>
            <w:vAlign w:val="bottom"/>
            <w:gridSpan w:val="2"/>
            <w:shd w:val="clear" w:color="auto" w:fill="53C072"/>
          </w:tcPr>
          <w:p>
            <w:pPr>
              <w:jc w:val="right"/>
              <w:ind w:right="90"/>
              <w:spacing w:after="0"/>
              <w:rPr>
                <w:sz w:val="20"/>
                <w:szCs w:val="20"/>
                <w:color w:val="auto"/>
              </w:rPr>
            </w:pPr>
            <w:r>
              <w:rPr>
                <w:rFonts w:ascii="Arial" w:cs="Arial" w:eastAsia="Arial" w:hAnsi="Arial"/>
                <w:sz w:val="14"/>
                <w:szCs w:val="14"/>
                <w:b w:val="1"/>
                <w:bCs w:val="1"/>
                <w:color w:val="FEFEFE"/>
              </w:rPr>
              <w:t>​ ​</w:t>
            </w:r>
          </w:p>
        </w:tc>
        <w:tc>
          <w:tcPr>
            <w:tcW w:w="2940" w:type="dxa"/>
            <w:vAlign w:val="bottom"/>
            <w:tcBorders>
              <w:right w:val="single" w:sz="8" w:color="53C072"/>
            </w:tcBorders>
            <w:shd w:val="clear" w:color="auto" w:fill="53C072"/>
          </w:tcPr>
          <w:p>
            <w:pPr>
              <w:jc w:val="center"/>
              <w:ind w:right="152"/>
              <w:spacing w:after="0"/>
              <w:rPr>
                <w:sz w:val="20"/>
                <w:szCs w:val="20"/>
                <w:color w:val="auto"/>
              </w:rPr>
            </w:pPr>
            <w:r>
              <w:rPr>
                <w:rFonts w:ascii="Arial" w:cs="Arial" w:eastAsia="Arial" w:hAnsi="Arial"/>
                <w:sz w:val="14"/>
                <w:szCs w:val="14"/>
                <w:b w:val="1"/>
                <w:bCs w:val="1"/>
                <w:color w:val="FEFEFE"/>
              </w:rPr>
              <w:t>% Payout</w:t>
            </w:r>
          </w:p>
        </w:tc>
      </w:tr>
      <w:tr>
        <w:trPr>
          <w:trHeight w:val="270"/>
        </w:trPr>
        <w:tc>
          <w:tcPr>
            <w:tcW w:w="40" w:type="dxa"/>
            <w:vAlign w:val="bottom"/>
            <w:tcBorders>
              <w:left w:val="single" w:sz="8" w:color="53C072"/>
              <w:bottom w:val="single" w:sz="8" w:color="53C072"/>
            </w:tcBorders>
          </w:tcPr>
          <w:p>
            <w:pPr>
              <w:spacing w:after="0"/>
              <w:rPr>
                <w:sz w:val="23"/>
                <w:szCs w:val="23"/>
                <w:color w:val="auto"/>
              </w:rPr>
            </w:pPr>
          </w:p>
        </w:tc>
        <w:tc>
          <w:tcPr>
            <w:tcW w:w="1380" w:type="dxa"/>
            <w:vAlign w:val="bottom"/>
            <w:tcBorders>
              <w:bottom w:val="single" w:sz="8" w:color="53C072"/>
            </w:tcBorders>
            <w:gridSpan w:val="2"/>
          </w:tcPr>
          <w:p>
            <w:pPr>
              <w:ind w:left="200"/>
              <w:spacing w:after="0"/>
              <w:rPr>
                <w:sz w:val="20"/>
                <w:szCs w:val="20"/>
                <w:color w:val="auto"/>
              </w:rPr>
            </w:pPr>
            <w:r>
              <w:rPr>
                <w:rFonts w:ascii="Arial" w:cs="Arial" w:eastAsia="Arial" w:hAnsi="Arial"/>
                <w:sz w:val="18"/>
                <w:szCs w:val="18"/>
                <w:color w:val="auto"/>
              </w:rPr>
              <w:t>Maximum</w:t>
            </w:r>
          </w:p>
        </w:tc>
        <w:tc>
          <w:tcPr>
            <w:tcW w:w="100" w:type="dxa"/>
            <w:vAlign w:val="bottom"/>
            <w:tcBorders>
              <w:bottom w:val="single" w:sz="8" w:color="53C072"/>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53C072"/>
            </w:tcBorders>
            <w:gridSpan w:val="2"/>
          </w:tcPr>
          <w:p>
            <w:pPr>
              <w:ind w:left="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53C072"/>
            </w:tcBorders>
          </w:tcPr>
          <w:p>
            <w:pPr>
              <w:jc w:val="center"/>
              <w:ind w:right="193"/>
              <w:spacing w:after="0"/>
              <w:rPr>
                <w:sz w:val="20"/>
                <w:szCs w:val="20"/>
                <w:color w:val="auto"/>
              </w:rPr>
            </w:pPr>
            <w:r>
              <w:rPr>
                <w:rFonts w:ascii="Arial" w:cs="Arial" w:eastAsia="Arial" w:hAnsi="Arial"/>
                <w:sz w:val="18"/>
                <w:szCs w:val="18"/>
                <w:color w:val="auto"/>
                <w:w w:val="99"/>
              </w:rPr>
              <w:t>133%</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53C072"/>
            </w:tcBorders>
            <w:gridSpan w:val="2"/>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53C072"/>
            </w:tcBorders>
          </w:tcPr>
          <w:p>
            <w:pPr>
              <w:ind w:left="300"/>
              <w:spacing w:after="0"/>
              <w:rPr>
                <w:sz w:val="20"/>
                <w:szCs w:val="20"/>
                <w:color w:val="auto"/>
              </w:rPr>
            </w:pPr>
            <w:r>
              <w:rPr>
                <w:rFonts w:ascii="Arial" w:cs="Arial" w:eastAsia="Arial" w:hAnsi="Arial"/>
                <w:sz w:val="18"/>
                <w:szCs w:val="18"/>
                <w:color w:val="auto"/>
              </w:rPr>
              <w:t>$1,162M</w:t>
            </w:r>
          </w:p>
        </w:tc>
        <w:tc>
          <w:tcPr>
            <w:tcW w:w="140" w:type="dxa"/>
            <w:vAlign w:val="bottom"/>
            <w:tcBorders>
              <w:bottom w:val="single" w:sz="8" w:color="53C072"/>
              <w:right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53C072"/>
            </w:tcBorders>
          </w:tcPr>
          <w:p>
            <w:pPr>
              <w:jc w:val="right"/>
              <w:ind w:right="7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53C072"/>
              <w:right w:val="single" w:sz="8" w:color="53C072"/>
            </w:tcBorders>
          </w:tcPr>
          <w:p>
            <w:pPr>
              <w:jc w:val="center"/>
              <w:ind w:right="152"/>
              <w:spacing w:after="0"/>
              <w:rPr>
                <w:sz w:val="20"/>
                <w:szCs w:val="20"/>
                <w:color w:val="auto"/>
              </w:rPr>
            </w:pPr>
            <w:r>
              <w:rPr>
                <w:rFonts w:ascii="Arial" w:cs="Arial" w:eastAsia="Arial" w:hAnsi="Arial"/>
                <w:sz w:val="18"/>
                <w:szCs w:val="18"/>
                <w:color w:val="auto"/>
                <w:w w:val="99"/>
              </w:rPr>
              <w:t>200%</w:t>
            </w:r>
          </w:p>
        </w:tc>
      </w:tr>
      <w:tr>
        <w:trPr>
          <w:trHeight w:val="218"/>
        </w:trPr>
        <w:tc>
          <w:tcPr>
            <w:tcW w:w="40" w:type="dxa"/>
            <w:vAlign w:val="bottom"/>
            <w:tcBorders>
              <w:left w:val="single" w:sz="8" w:color="53C072"/>
            </w:tcBorders>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&gt; Target</w:t>
            </w:r>
          </w:p>
        </w:tc>
        <w:tc>
          <w:tcPr>
            <w:tcW w:w="100" w:type="dxa"/>
            <w:vAlign w:val="bottom"/>
            <w:tcBorders>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740" w:type="dxa"/>
            <w:vAlign w:val="bottom"/>
          </w:tcPr>
          <w:p>
            <w:pPr>
              <w:jc w:val="center"/>
              <w:ind w:right="193"/>
              <w:spacing w:after="0"/>
              <w:rPr>
                <w:sz w:val="20"/>
                <w:szCs w:val="20"/>
                <w:color w:val="auto"/>
              </w:rPr>
            </w:pPr>
            <w:r>
              <w:rPr>
                <w:rFonts w:ascii="Arial" w:cs="Arial" w:eastAsia="Arial" w:hAnsi="Arial"/>
                <w:sz w:val="18"/>
                <w:szCs w:val="18"/>
                <w:color w:val="auto"/>
                <w:w w:val="98"/>
              </w:rPr>
              <w:t>1% change = 1%</w:t>
            </w:r>
          </w:p>
        </w:tc>
        <w:tc>
          <w:tcPr>
            <w:tcW w:w="80" w:type="dxa"/>
            <w:vAlign w:val="bottom"/>
            <w:tcBorders>
              <w:right w:val="single" w:sz="8" w:color="53C072"/>
            </w:tcBorders>
          </w:tcPr>
          <w:p>
            <w:pPr>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53C072"/>
            </w:tcBorders>
            <w:gridSpan w:val="4"/>
          </w:tcPr>
          <w:p>
            <w:pPr>
              <w:jc w:val="right"/>
              <w:spacing w:after="0"/>
              <w:rPr>
                <w:sz w:val="20"/>
                <w:szCs w:val="20"/>
                <w:color w:val="auto"/>
              </w:rPr>
            </w:pPr>
            <w:r>
              <w:rPr>
                <w:rFonts w:ascii="Arial" w:cs="Arial" w:eastAsia="Arial" w:hAnsi="Arial"/>
                <w:sz w:val="18"/>
                <w:szCs w:val="18"/>
                <w:color w:val="auto"/>
              </w:rPr>
              <w:t>​ $871.5M — $1,161M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940" w:type="dxa"/>
            <w:vAlign w:val="bottom"/>
            <w:tcBorders>
              <w:right w:val="single" w:sz="8" w:color="53C072"/>
            </w:tcBorders>
          </w:tcPr>
          <w:p>
            <w:pPr>
              <w:jc w:val="center"/>
              <w:ind w:right="152"/>
              <w:spacing w:after="0"/>
              <w:rPr>
                <w:sz w:val="20"/>
                <w:szCs w:val="20"/>
                <w:color w:val="auto"/>
              </w:rPr>
            </w:pPr>
            <w:r>
              <w:rPr>
                <w:rFonts w:ascii="Arial" w:cs="Arial" w:eastAsia="Arial" w:hAnsi="Arial"/>
                <w:sz w:val="18"/>
                <w:szCs w:val="18"/>
                <w:color w:val="auto"/>
                <w:w w:val="97"/>
              </w:rPr>
              <w:t>3% increase in payout per 1%</w:t>
            </w:r>
          </w:p>
        </w:tc>
      </w:tr>
      <w:tr>
        <w:trPr>
          <w:trHeight w:val="239"/>
        </w:trPr>
        <w:tc>
          <w:tcPr>
            <w:tcW w:w="40" w:type="dxa"/>
            <w:vAlign w:val="bottom"/>
            <w:tcBorders>
              <w:left w:val="single" w:sz="8" w:color="53C072"/>
            </w:tcBorders>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Borders>
              <w:right w:val="single" w:sz="8" w:color="53C072"/>
            </w:tcBorders>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ind w:left="40"/>
              <w:spacing w:after="0"/>
              <w:rPr>
                <w:sz w:val="20"/>
                <w:szCs w:val="20"/>
                <w:color w:val="auto"/>
              </w:rPr>
            </w:pPr>
            <w:r>
              <w:rPr>
                <w:rFonts w:ascii="Arial" w:cs="Arial" w:eastAsia="Arial" w:hAnsi="Arial"/>
                <w:sz w:val="18"/>
                <w:szCs w:val="18"/>
                <w:color w:val="auto"/>
              </w:rPr>
              <w:t>change in attainment</w:t>
            </w:r>
          </w:p>
        </w:tc>
        <w:tc>
          <w:tcPr>
            <w:tcW w:w="80" w:type="dxa"/>
            <w:vAlign w:val="bottom"/>
            <w:tcBorders>
              <w:right w:val="single" w:sz="8" w:color="53C072"/>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Borders>
              <w:right w:val="single" w:sz="8" w:color="53C072"/>
            </w:tcBorders>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tcBorders>
              <w:right w:val="single" w:sz="8" w:color="53C072"/>
            </w:tcBorders>
          </w:tcPr>
          <w:p>
            <w:pPr>
              <w:jc w:val="center"/>
              <w:ind w:right="152"/>
              <w:spacing w:after="0"/>
              <w:rPr>
                <w:sz w:val="20"/>
                <w:szCs w:val="20"/>
                <w:color w:val="auto"/>
              </w:rPr>
            </w:pPr>
            <w:r>
              <w:rPr>
                <w:rFonts w:ascii="Arial" w:cs="Arial" w:eastAsia="Arial" w:hAnsi="Arial"/>
                <w:sz w:val="18"/>
                <w:szCs w:val="18"/>
                <w:color w:val="auto"/>
                <w:w w:val="98"/>
              </w:rPr>
              <w:t>increase in attainment</w:t>
            </w:r>
          </w:p>
        </w:tc>
      </w:tr>
      <w:tr>
        <w:trPr>
          <w:trHeight w:val="23"/>
        </w:trPr>
        <w:tc>
          <w:tcPr>
            <w:tcW w:w="40" w:type="dxa"/>
            <w:vAlign w:val="bottom"/>
            <w:tcBorders>
              <w:left w:val="single" w:sz="8" w:color="53C072"/>
              <w:bottom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1180" w:type="dxa"/>
            <w:vAlign w:val="bottom"/>
            <w:tcBorders>
              <w:bottom w:val="single" w:sz="8" w:color="53C072"/>
            </w:tcBorders>
          </w:tcPr>
          <w:p>
            <w:pPr>
              <w:spacing w:after="0"/>
              <w:rPr>
                <w:sz w:val="2"/>
                <w:szCs w:val="2"/>
                <w:color w:val="auto"/>
              </w:rPr>
            </w:pPr>
          </w:p>
        </w:tc>
        <w:tc>
          <w:tcPr>
            <w:tcW w:w="100" w:type="dxa"/>
            <w:vAlign w:val="bottom"/>
            <w:tcBorders>
              <w:bottom w:val="single" w:sz="8" w:color="53C072"/>
              <w:right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740" w:type="dxa"/>
            <w:vAlign w:val="bottom"/>
            <w:tcBorders>
              <w:bottom w:val="single" w:sz="8" w:color="53C072"/>
            </w:tcBorders>
          </w:tcPr>
          <w:p>
            <w:pPr>
              <w:spacing w:after="0"/>
              <w:rPr>
                <w:sz w:val="2"/>
                <w:szCs w:val="2"/>
                <w:color w:val="auto"/>
              </w:rPr>
            </w:pPr>
          </w:p>
        </w:tc>
        <w:tc>
          <w:tcPr>
            <w:tcW w:w="80" w:type="dxa"/>
            <w:vAlign w:val="bottom"/>
            <w:tcBorders>
              <w:bottom w:val="single" w:sz="8" w:color="53C072"/>
              <w:right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460" w:type="dxa"/>
            <w:vAlign w:val="bottom"/>
            <w:tcBorders>
              <w:bottom w:val="single" w:sz="8" w:color="53C072"/>
            </w:tcBorders>
          </w:tcPr>
          <w:p>
            <w:pPr>
              <w:spacing w:after="0"/>
              <w:rPr>
                <w:sz w:val="2"/>
                <w:szCs w:val="2"/>
                <w:color w:val="auto"/>
              </w:rPr>
            </w:pPr>
          </w:p>
        </w:tc>
        <w:tc>
          <w:tcPr>
            <w:tcW w:w="140" w:type="dxa"/>
            <w:vAlign w:val="bottom"/>
            <w:tcBorders>
              <w:bottom w:val="single" w:sz="8" w:color="53C072"/>
              <w:right w:val="single" w:sz="8" w:color="53C072"/>
            </w:tcBorders>
          </w:tcPr>
          <w:p>
            <w:pPr>
              <w:spacing w:after="0"/>
              <w:rPr>
                <w:sz w:val="2"/>
                <w:szCs w:val="2"/>
                <w:color w:val="auto"/>
              </w:rPr>
            </w:pPr>
          </w:p>
        </w:tc>
        <w:tc>
          <w:tcPr>
            <w:tcW w:w="260" w:type="dxa"/>
            <w:vAlign w:val="bottom"/>
            <w:tcBorders>
              <w:bottom w:val="single" w:sz="8" w:color="53C072"/>
            </w:tcBorders>
          </w:tcPr>
          <w:p>
            <w:pPr>
              <w:spacing w:after="0"/>
              <w:rPr>
                <w:sz w:val="2"/>
                <w:szCs w:val="2"/>
                <w:color w:val="auto"/>
              </w:rPr>
            </w:pPr>
          </w:p>
        </w:tc>
        <w:tc>
          <w:tcPr>
            <w:tcW w:w="2940" w:type="dxa"/>
            <w:vAlign w:val="bottom"/>
            <w:tcBorders>
              <w:bottom w:val="single" w:sz="8" w:color="53C072"/>
              <w:right w:val="single" w:sz="8" w:color="53C072"/>
            </w:tcBorders>
          </w:tcPr>
          <w:p>
            <w:pPr>
              <w:spacing w:after="0"/>
              <w:rPr>
                <w:sz w:val="2"/>
                <w:szCs w:val="2"/>
                <w:color w:val="auto"/>
              </w:rPr>
            </w:pPr>
          </w:p>
        </w:tc>
      </w:tr>
      <w:tr>
        <w:trPr>
          <w:trHeight w:val="263"/>
        </w:trPr>
        <w:tc>
          <w:tcPr>
            <w:tcW w:w="40" w:type="dxa"/>
            <w:vAlign w:val="bottom"/>
            <w:tcBorders>
              <w:left w:val="single" w:sz="8" w:color="53C072"/>
              <w:bottom w:val="single" w:sz="8" w:color="53C072"/>
            </w:tcBorders>
            <w:shd w:val="clear" w:color="auto" w:fill="CBECD5"/>
          </w:tcPr>
          <w:p>
            <w:pPr>
              <w:spacing w:after="0"/>
              <w:rPr>
                <w:sz w:val="22"/>
                <w:szCs w:val="22"/>
                <w:color w:val="auto"/>
              </w:rPr>
            </w:pPr>
          </w:p>
        </w:tc>
        <w:tc>
          <w:tcPr>
            <w:tcW w:w="1380" w:type="dxa"/>
            <w:vAlign w:val="bottom"/>
            <w:tcBorders>
              <w:bottom w:val="single" w:sz="8" w:color="53C072"/>
            </w:tcBorders>
            <w:gridSpan w:val="2"/>
            <w:shd w:val="clear" w:color="auto" w:fill="CBECD5"/>
          </w:tcPr>
          <w:p>
            <w:pPr>
              <w:ind w:left="200"/>
              <w:spacing w:after="0"/>
              <w:rPr>
                <w:sz w:val="20"/>
                <w:szCs w:val="20"/>
                <w:color w:val="auto"/>
              </w:rPr>
            </w:pPr>
            <w:r>
              <w:rPr>
                <w:rFonts w:ascii="Arial" w:cs="Arial" w:eastAsia="Arial" w:hAnsi="Arial"/>
                <w:sz w:val="18"/>
                <w:szCs w:val="18"/>
                <w:b w:val="1"/>
                <w:bCs w:val="1"/>
                <w:color w:val="auto"/>
              </w:rPr>
              <w:t>Target</w:t>
            </w:r>
          </w:p>
        </w:tc>
        <w:tc>
          <w:tcPr>
            <w:tcW w:w="100" w:type="dxa"/>
            <w:vAlign w:val="bottom"/>
            <w:tcBorders>
              <w:bottom w:val="single" w:sz="8" w:color="53C072"/>
              <w:right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53C072"/>
            </w:tcBorders>
            <w:gridSpan w:val="2"/>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53C072"/>
            </w:tcBorders>
            <w:shd w:val="clear" w:color="auto" w:fill="CBECD5"/>
          </w:tcPr>
          <w:p>
            <w:pPr>
              <w:jc w:val="center"/>
              <w:ind w:right="193"/>
              <w:spacing w:after="0"/>
              <w:rPr>
                <w:sz w:val="20"/>
                <w:szCs w:val="20"/>
                <w:color w:val="auto"/>
              </w:rPr>
            </w:pPr>
            <w:r>
              <w:rPr>
                <w:rFonts w:ascii="Arial" w:cs="Arial" w:eastAsia="Arial" w:hAnsi="Arial"/>
                <w:sz w:val="18"/>
                <w:szCs w:val="18"/>
                <w:b w:val="1"/>
                <w:bCs w:val="1"/>
                <w:color w:val="auto"/>
                <w:w w:val="94"/>
              </w:rPr>
              <w:t>100.0%</w:t>
            </w:r>
          </w:p>
        </w:tc>
        <w:tc>
          <w:tcPr>
            <w:tcW w:w="80" w:type="dxa"/>
            <w:vAlign w:val="bottom"/>
            <w:tcBorders>
              <w:bottom w:val="single" w:sz="8" w:color="53C072"/>
              <w:right w:val="single" w:sz="8" w:color="53C072"/>
            </w:tcBorders>
            <w:shd w:val="clear" w:color="auto" w:fill="CBECD5"/>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53C072"/>
            </w:tcBorders>
            <w:gridSpan w:val="2"/>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53C072"/>
            </w:tcBorders>
            <w:shd w:val="clear" w:color="auto" w:fill="CBECD5"/>
          </w:tcPr>
          <w:p>
            <w:pPr>
              <w:ind w:left="300"/>
              <w:spacing w:after="0"/>
              <w:rPr>
                <w:sz w:val="20"/>
                <w:szCs w:val="20"/>
                <w:color w:val="auto"/>
              </w:rPr>
            </w:pPr>
            <w:r>
              <w:rPr>
                <w:rFonts w:ascii="Arial" w:cs="Arial" w:eastAsia="Arial" w:hAnsi="Arial"/>
                <w:sz w:val="18"/>
                <w:szCs w:val="18"/>
                <w:b w:val="1"/>
                <w:bCs w:val="1"/>
                <w:color w:val="auto"/>
              </w:rPr>
              <w:t>$871.4M</w:t>
            </w:r>
          </w:p>
        </w:tc>
        <w:tc>
          <w:tcPr>
            <w:tcW w:w="140" w:type="dxa"/>
            <w:vAlign w:val="bottom"/>
            <w:tcBorders>
              <w:bottom w:val="single" w:sz="8" w:color="53C072"/>
              <w:right w:val="single" w:sz="8" w:color="53C072"/>
            </w:tcBorders>
            <w:shd w:val="clear" w:color="auto" w:fill="CBECD5"/>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53C072"/>
            </w:tcBorders>
            <w:shd w:val="clear" w:color="auto" w:fill="CBECD5"/>
          </w:tcPr>
          <w:p>
            <w:pPr>
              <w:jc w:val="right"/>
              <w:ind w:right="7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53C072"/>
              <w:right w:val="single" w:sz="8" w:color="53C072"/>
            </w:tcBorders>
            <w:shd w:val="clear" w:color="auto" w:fill="CBECD5"/>
          </w:tcPr>
          <w:p>
            <w:pPr>
              <w:jc w:val="center"/>
              <w:ind w:right="132"/>
              <w:spacing w:after="0"/>
              <w:rPr>
                <w:sz w:val="20"/>
                <w:szCs w:val="20"/>
                <w:color w:val="auto"/>
              </w:rPr>
            </w:pPr>
            <w:r>
              <w:rPr>
                <w:rFonts w:ascii="Arial" w:cs="Arial" w:eastAsia="Arial" w:hAnsi="Arial"/>
                <w:sz w:val="18"/>
                <w:szCs w:val="18"/>
                <w:b w:val="1"/>
                <w:bCs w:val="1"/>
                <w:color w:val="auto"/>
                <w:w w:val="98"/>
              </w:rPr>
              <w:t>100.0%</w:t>
            </w:r>
          </w:p>
        </w:tc>
      </w:tr>
      <w:tr>
        <w:trPr>
          <w:trHeight w:val="218"/>
        </w:trPr>
        <w:tc>
          <w:tcPr>
            <w:tcW w:w="40" w:type="dxa"/>
            <w:vAlign w:val="bottom"/>
            <w:tcBorders>
              <w:left w:val="single" w:sz="8" w:color="53C072"/>
            </w:tcBorders>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&lt; Target</w:t>
            </w:r>
          </w:p>
        </w:tc>
        <w:tc>
          <w:tcPr>
            <w:tcW w:w="100" w:type="dxa"/>
            <w:vAlign w:val="bottom"/>
            <w:tcBorders>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740" w:type="dxa"/>
            <w:vAlign w:val="bottom"/>
          </w:tcPr>
          <w:p>
            <w:pPr>
              <w:jc w:val="center"/>
              <w:ind w:right="193"/>
              <w:spacing w:after="0"/>
              <w:rPr>
                <w:sz w:val="20"/>
                <w:szCs w:val="20"/>
                <w:color w:val="auto"/>
              </w:rPr>
            </w:pPr>
            <w:r>
              <w:rPr>
                <w:rFonts w:ascii="Arial" w:cs="Arial" w:eastAsia="Arial" w:hAnsi="Arial"/>
                <w:sz w:val="18"/>
                <w:szCs w:val="18"/>
                <w:color w:val="auto"/>
                <w:w w:val="98"/>
              </w:rPr>
              <w:t>1% change = 1%</w:t>
            </w:r>
          </w:p>
        </w:tc>
        <w:tc>
          <w:tcPr>
            <w:tcW w:w="80" w:type="dxa"/>
            <w:vAlign w:val="bottom"/>
            <w:tcBorders>
              <w:right w:val="single" w:sz="8" w:color="53C072"/>
            </w:tcBorders>
          </w:tcPr>
          <w:p>
            <w:pPr>
              <w:spacing w:after="0"/>
              <w:rPr>
                <w:sz w:val="20"/>
                <w:szCs w:val="20"/>
                <w:color w:val="auto"/>
              </w:rPr>
            </w:pPr>
            <w:r>
              <w:rPr>
                <w:rFonts w:ascii="Arial" w:cs="Arial" w:eastAsia="Arial" w:hAnsi="Arial"/>
                <w:sz w:val="18"/>
                <w:szCs w:val="18"/>
                <w:color w:val="auto"/>
              </w:rPr>
              <w:t>​</w:t>
            </w:r>
          </w:p>
        </w:tc>
        <w:tc>
          <w:tcPr>
            <w:tcW w:w="1740" w:type="dxa"/>
            <w:vAlign w:val="bottom"/>
            <w:gridSpan w:val="3"/>
          </w:tcPr>
          <w:p>
            <w:pPr>
              <w:ind w:left="40"/>
              <w:spacing w:after="0"/>
              <w:rPr>
                <w:sz w:val="20"/>
                <w:szCs w:val="20"/>
                <w:color w:val="auto"/>
              </w:rPr>
            </w:pPr>
            <w:r>
              <w:rPr>
                <w:rFonts w:ascii="Arial" w:cs="Arial" w:eastAsia="Arial" w:hAnsi="Arial"/>
                <w:sz w:val="18"/>
                <w:szCs w:val="18"/>
                <w:color w:val="auto"/>
              </w:rPr>
              <w:t>​ $697.2 — $871.3M</w:t>
            </w:r>
          </w:p>
        </w:tc>
        <w:tc>
          <w:tcPr>
            <w:tcW w:w="140" w:type="dxa"/>
            <w:vAlign w:val="bottom"/>
            <w:tcBorders>
              <w:right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940" w:type="dxa"/>
            <w:vAlign w:val="bottom"/>
            <w:tcBorders>
              <w:right w:val="single" w:sz="8" w:color="53C072"/>
            </w:tcBorders>
          </w:tcPr>
          <w:p>
            <w:pPr>
              <w:jc w:val="center"/>
              <w:ind w:right="152"/>
              <w:spacing w:after="0"/>
              <w:rPr>
                <w:sz w:val="20"/>
                <w:szCs w:val="20"/>
                <w:color w:val="auto"/>
              </w:rPr>
            </w:pPr>
            <w:r>
              <w:rPr>
                <w:rFonts w:ascii="Arial" w:cs="Arial" w:eastAsia="Arial" w:hAnsi="Arial"/>
                <w:sz w:val="18"/>
                <w:szCs w:val="18"/>
                <w:color w:val="auto"/>
                <w:w w:val="98"/>
              </w:rPr>
              <w:t>3% decrease in payout per 1%</w:t>
            </w:r>
          </w:p>
        </w:tc>
      </w:tr>
      <w:tr>
        <w:trPr>
          <w:trHeight w:val="239"/>
        </w:trPr>
        <w:tc>
          <w:tcPr>
            <w:tcW w:w="40" w:type="dxa"/>
            <w:vAlign w:val="bottom"/>
            <w:tcBorders>
              <w:left w:val="single" w:sz="8" w:color="53C072"/>
            </w:tcBorders>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Borders>
              <w:right w:val="single" w:sz="8" w:color="53C072"/>
            </w:tcBorders>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ind w:left="40"/>
              <w:spacing w:after="0"/>
              <w:rPr>
                <w:sz w:val="20"/>
                <w:szCs w:val="20"/>
                <w:color w:val="auto"/>
              </w:rPr>
            </w:pPr>
            <w:r>
              <w:rPr>
                <w:rFonts w:ascii="Arial" w:cs="Arial" w:eastAsia="Arial" w:hAnsi="Arial"/>
                <w:sz w:val="18"/>
                <w:szCs w:val="18"/>
                <w:color w:val="auto"/>
              </w:rPr>
              <w:t>change in attainment</w:t>
            </w:r>
          </w:p>
        </w:tc>
        <w:tc>
          <w:tcPr>
            <w:tcW w:w="80" w:type="dxa"/>
            <w:vAlign w:val="bottom"/>
            <w:tcBorders>
              <w:right w:val="single" w:sz="8" w:color="53C072"/>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Borders>
              <w:right w:val="single" w:sz="8" w:color="53C072"/>
            </w:tcBorders>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tcBorders>
              <w:right w:val="single" w:sz="8" w:color="53C072"/>
            </w:tcBorders>
          </w:tcPr>
          <w:p>
            <w:pPr>
              <w:jc w:val="center"/>
              <w:ind w:right="152"/>
              <w:spacing w:after="0"/>
              <w:rPr>
                <w:sz w:val="20"/>
                <w:szCs w:val="20"/>
                <w:color w:val="auto"/>
              </w:rPr>
            </w:pPr>
            <w:r>
              <w:rPr>
                <w:rFonts w:ascii="Arial" w:cs="Arial" w:eastAsia="Arial" w:hAnsi="Arial"/>
                <w:sz w:val="18"/>
                <w:szCs w:val="18"/>
                <w:color w:val="auto"/>
                <w:w w:val="97"/>
              </w:rPr>
              <w:t>decrease in attainment</w:t>
            </w:r>
          </w:p>
        </w:tc>
      </w:tr>
      <w:tr>
        <w:trPr>
          <w:trHeight w:val="23"/>
        </w:trPr>
        <w:tc>
          <w:tcPr>
            <w:tcW w:w="40" w:type="dxa"/>
            <w:vAlign w:val="bottom"/>
            <w:tcBorders>
              <w:left w:val="single" w:sz="8" w:color="53C072"/>
              <w:bottom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1180" w:type="dxa"/>
            <w:vAlign w:val="bottom"/>
            <w:tcBorders>
              <w:bottom w:val="single" w:sz="8" w:color="53C072"/>
            </w:tcBorders>
          </w:tcPr>
          <w:p>
            <w:pPr>
              <w:spacing w:after="0"/>
              <w:rPr>
                <w:sz w:val="2"/>
                <w:szCs w:val="2"/>
                <w:color w:val="auto"/>
              </w:rPr>
            </w:pPr>
          </w:p>
        </w:tc>
        <w:tc>
          <w:tcPr>
            <w:tcW w:w="100" w:type="dxa"/>
            <w:vAlign w:val="bottom"/>
            <w:tcBorders>
              <w:bottom w:val="single" w:sz="8" w:color="53C072"/>
              <w:right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740" w:type="dxa"/>
            <w:vAlign w:val="bottom"/>
            <w:tcBorders>
              <w:bottom w:val="single" w:sz="8" w:color="53C072"/>
            </w:tcBorders>
          </w:tcPr>
          <w:p>
            <w:pPr>
              <w:spacing w:after="0"/>
              <w:rPr>
                <w:sz w:val="2"/>
                <w:szCs w:val="2"/>
                <w:color w:val="auto"/>
              </w:rPr>
            </w:pPr>
          </w:p>
        </w:tc>
        <w:tc>
          <w:tcPr>
            <w:tcW w:w="80" w:type="dxa"/>
            <w:vAlign w:val="bottom"/>
            <w:tcBorders>
              <w:bottom w:val="single" w:sz="8" w:color="53C072"/>
              <w:right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460" w:type="dxa"/>
            <w:vAlign w:val="bottom"/>
            <w:tcBorders>
              <w:bottom w:val="single" w:sz="8" w:color="53C072"/>
            </w:tcBorders>
          </w:tcPr>
          <w:p>
            <w:pPr>
              <w:spacing w:after="0"/>
              <w:rPr>
                <w:sz w:val="2"/>
                <w:szCs w:val="2"/>
                <w:color w:val="auto"/>
              </w:rPr>
            </w:pPr>
          </w:p>
        </w:tc>
        <w:tc>
          <w:tcPr>
            <w:tcW w:w="140" w:type="dxa"/>
            <w:vAlign w:val="bottom"/>
            <w:tcBorders>
              <w:bottom w:val="single" w:sz="8" w:color="53C072"/>
              <w:right w:val="single" w:sz="8" w:color="53C072"/>
            </w:tcBorders>
          </w:tcPr>
          <w:p>
            <w:pPr>
              <w:spacing w:after="0"/>
              <w:rPr>
                <w:sz w:val="2"/>
                <w:szCs w:val="2"/>
                <w:color w:val="auto"/>
              </w:rPr>
            </w:pPr>
          </w:p>
        </w:tc>
        <w:tc>
          <w:tcPr>
            <w:tcW w:w="260" w:type="dxa"/>
            <w:vAlign w:val="bottom"/>
            <w:tcBorders>
              <w:bottom w:val="single" w:sz="8" w:color="53C072"/>
            </w:tcBorders>
          </w:tcPr>
          <w:p>
            <w:pPr>
              <w:spacing w:after="0"/>
              <w:rPr>
                <w:sz w:val="2"/>
                <w:szCs w:val="2"/>
                <w:color w:val="auto"/>
              </w:rPr>
            </w:pPr>
          </w:p>
        </w:tc>
        <w:tc>
          <w:tcPr>
            <w:tcW w:w="2940" w:type="dxa"/>
            <w:vAlign w:val="bottom"/>
            <w:tcBorders>
              <w:bottom w:val="single" w:sz="8" w:color="53C072"/>
              <w:right w:val="single" w:sz="8" w:color="53C072"/>
            </w:tcBorders>
          </w:tcPr>
          <w:p>
            <w:pPr>
              <w:spacing w:after="0"/>
              <w:rPr>
                <w:sz w:val="2"/>
                <w:szCs w:val="2"/>
                <w:color w:val="auto"/>
              </w:rPr>
            </w:pPr>
          </w:p>
        </w:tc>
      </w:tr>
      <w:tr>
        <w:trPr>
          <w:trHeight w:val="250"/>
        </w:trPr>
        <w:tc>
          <w:tcPr>
            <w:tcW w:w="40" w:type="dxa"/>
            <w:vAlign w:val="bottom"/>
            <w:tcBorders>
              <w:left w:val="single" w:sz="8" w:color="53C072"/>
              <w:bottom w:val="single" w:sz="8" w:color="53C072"/>
            </w:tcBorders>
          </w:tcPr>
          <w:p>
            <w:pPr>
              <w:spacing w:after="0"/>
              <w:rPr>
                <w:sz w:val="21"/>
                <w:szCs w:val="21"/>
                <w:color w:val="auto"/>
              </w:rPr>
            </w:pPr>
          </w:p>
        </w:tc>
        <w:tc>
          <w:tcPr>
            <w:tcW w:w="1380" w:type="dxa"/>
            <w:vAlign w:val="bottom"/>
            <w:tcBorders>
              <w:bottom w:val="single" w:sz="8" w:color="53C072"/>
            </w:tcBorders>
            <w:gridSpan w:val="2"/>
          </w:tcPr>
          <w:p>
            <w:pPr>
              <w:ind w:left="200"/>
              <w:spacing w:after="0"/>
              <w:rPr>
                <w:sz w:val="20"/>
                <w:szCs w:val="20"/>
                <w:color w:val="auto"/>
              </w:rPr>
            </w:pPr>
            <w:r>
              <w:rPr>
                <w:rFonts w:ascii="Arial" w:cs="Arial" w:eastAsia="Arial" w:hAnsi="Arial"/>
                <w:sz w:val="18"/>
                <w:szCs w:val="18"/>
                <w:color w:val="auto"/>
              </w:rPr>
              <w:t>Threshold</w:t>
            </w:r>
          </w:p>
        </w:tc>
        <w:tc>
          <w:tcPr>
            <w:tcW w:w="100" w:type="dxa"/>
            <w:vAlign w:val="bottom"/>
            <w:tcBorders>
              <w:bottom w:val="single" w:sz="8" w:color="53C072"/>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53C072"/>
            </w:tcBorders>
            <w:gridSpan w:val="2"/>
          </w:tcPr>
          <w:p>
            <w:pPr>
              <w:ind w:left="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53C072"/>
            </w:tcBorders>
          </w:tcPr>
          <w:p>
            <w:pPr>
              <w:jc w:val="center"/>
              <w:ind w:right="193"/>
              <w:spacing w:after="0"/>
              <w:rPr>
                <w:sz w:val="20"/>
                <w:szCs w:val="20"/>
                <w:color w:val="auto"/>
              </w:rPr>
            </w:pPr>
            <w:r>
              <w:rPr>
                <w:rFonts w:ascii="Arial" w:cs="Arial" w:eastAsia="Arial" w:hAnsi="Arial"/>
                <w:sz w:val="18"/>
                <w:szCs w:val="18"/>
                <w:color w:val="auto"/>
                <w:w w:val="97"/>
              </w:rPr>
              <w:t>80.0%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53C072"/>
            </w:tcBorders>
            <w:gridSpan w:val="2"/>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53C072"/>
            </w:tcBorders>
          </w:tcPr>
          <w:p>
            <w:pPr>
              <w:ind w:left="300"/>
              <w:spacing w:after="0"/>
              <w:rPr>
                <w:sz w:val="20"/>
                <w:szCs w:val="20"/>
                <w:color w:val="auto"/>
              </w:rPr>
            </w:pPr>
            <w:r>
              <w:rPr>
                <w:rFonts w:ascii="Arial" w:cs="Arial" w:eastAsia="Arial" w:hAnsi="Arial"/>
                <w:sz w:val="18"/>
                <w:szCs w:val="18"/>
                <w:color w:val="auto"/>
              </w:rPr>
              <w:t>$697.1M</w:t>
            </w:r>
          </w:p>
        </w:tc>
        <w:tc>
          <w:tcPr>
            <w:tcW w:w="140" w:type="dxa"/>
            <w:vAlign w:val="bottom"/>
            <w:tcBorders>
              <w:bottom w:val="single" w:sz="8" w:color="53C072"/>
              <w:right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53C072"/>
            </w:tcBorders>
          </w:tcPr>
          <w:p>
            <w:pPr>
              <w:jc w:val="right"/>
              <w:ind w:right="7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53C072"/>
              <w:right w:val="single" w:sz="8" w:color="53C072"/>
            </w:tcBorders>
          </w:tcPr>
          <w:p>
            <w:pPr>
              <w:jc w:val="center"/>
              <w:ind w:right="132"/>
              <w:spacing w:after="0"/>
              <w:rPr>
                <w:sz w:val="20"/>
                <w:szCs w:val="20"/>
                <w:color w:val="auto"/>
              </w:rPr>
            </w:pPr>
            <w:r>
              <w:rPr>
                <w:rFonts w:ascii="Arial" w:cs="Arial" w:eastAsia="Arial" w:hAnsi="Arial"/>
                <w:sz w:val="18"/>
                <w:szCs w:val="18"/>
                <w:color w:val="auto"/>
                <w:w w:val="99"/>
              </w:rPr>
              <w:t>40%</w:t>
            </w:r>
          </w:p>
        </w:tc>
      </w:tr>
      <w:tr>
        <w:trPr>
          <w:trHeight w:val="128"/>
        </w:trPr>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c>
          <w:tcPr>
            <w:tcW w:w="15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940" w:type="dxa"/>
            <w:vAlign w:val="bottom"/>
          </w:tcPr>
          <w:p>
            <w:pPr>
              <w:spacing w:after="0"/>
              <w:rPr>
                <w:sz w:val="11"/>
                <w:szCs w:val="11"/>
                <w:color w:val="auto"/>
              </w:rPr>
            </w:pPr>
          </w:p>
        </w:tc>
      </w:tr>
      <w:tr>
        <w:trPr>
          <w:trHeight w:val="261"/>
        </w:trPr>
        <w:tc>
          <w:tcPr>
            <w:tcW w:w="40" w:type="dxa"/>
            <w:vAlign w:val="bottom"/>
            <w:tcBorders>
              <w:left w:val="single" w:sz="8" w:color="53C072"/>
            </w:tcBorders>
          </w:tcPr>
          <w:p>
            <w:pPr>
              <w:spacing w:after="0"/>
              <w:rPr>
                <w:sz w:val="22"/>
                <w:szCs w:val="22"/>
                <w:color w:val="auto"/>
              </w:rPr>
            </w:pPr>
          </w:p>
        </w:tc>
        <w:tc>
          <w:tcPr>
            <w:tcW w:w="200" w:type="dxa"/>
            <w:vAlign w:val="bottom"/>
            <w:shd w:val="clear" w:color="auto" w:fill="53C072"/>
          </w:tcPr>
          <w:p>
            <w:pPr>
              <w:spacing w:after="0"/>
              <w:rPr>
                <w:sz w:val="22"/>
                <w:szCs w:val="22"/>
                <w:color w:val="auto"/>
              </w:rPr>
            </w:pPr>
          </w:p>
        </w:tc>
        <w:tc>
          <w:tcPr>
            <w:tcW w:w="1180" w:type="dxa"/>
            <w:vAlign w:val="bottom"/>
            <w:shd w:val="clear" w:color="auto" w:fill="53C072"/>
          </w:tcPr>
          <w:p>
            <w:pPr>
              <w:spacing w:after="0"/>
              <w:rPr>
                <w:sz w:val="22"/>
                <w:szCs w:val="22"/>
                <w:color w:val="auto"/>
              </w:rPr>
            </w:pPr>
          </w:p>
        </w:tc>
        <w:tc>
          <w:tcPr>
            <w:tcW w:w="100" w:type="dxa"/>
            <w:vAlign w:val="bottom"/>
            <w:tcBorders>
              <w:right w:val="single" w:sz="8" w:color="53C072"/>
            </w:tcBorders>
            <w:shd w:val="clear" w:color="auto" w:fill="53C072"/>
          </w:tcPr>
          <w:p>
            <w:pPr>
              <w:spacing w:after="0"/>
              <w:rPr>
                <w:sz w:val="22"/>
                <w:szCs w:val="22"/>
                <w:color w:val="auto"/>
              </w:rPr>
            </w:pPr>
          </w:p>
        </w:tc>
        <w:tc>
          <w:tcPr>
            <w:tcW w:w="200" w:type="dxa"/>
            <w:vAlign w:val="bottom"/>
            <w:tcBorders>
              <w:right w:val="single" w:sz="8" w:color="53C072"/>
            </w:tcBorders>
            <w:shd w:val="clear" w:color="auto" w:fill="53C072"/>
          </w:tcPr>
          <w:p>
            <w:pPr>
              <w:spacing w:after="0"/>
              <w:rPr>
                <w:sz w:val="22"/>
                <w:szCs w:val="22"/>
                <w:color w:val="auto"/>
              </w:rPr>
            </w:pPr>
          </w:p>
        </w:tc>
        <w:tc>
          <w:tcPr>
            <w:tcW w:w="140" w:type="dxa"/>
            <w:vAlign w:val="bottom"/>
            <w:shd w:val="clear" w:color="auto" w:fill="53C072"/>
          </w:tcPr>
          <w:p>
            <w:pPr>
              <w:spacing w:after="0"/>
              <w:rPr>
                <w:sz w:val="22"/>
                <w:szCs w:val="22"/>
                <w:color w:val="auto"/>
              </w:rPr>
            </w:pPr>
          </w:p>
        </w:tc>
        <w:tc>
          <w:tcPr>
            <w:tcW w:w="1740" w:type="dxa"/>
            <w:vAlign w:val="bottom"/>
            <w:shd w:val="clear" w:color="auto" w:fill="53C072"/>
          </w:tcPr>
          <w:p>
            <w:pPr>
              <w:spacing w:after="0"/>
              <w:rPr>
                <w:sz w:val="22"/>
                <w:szCs w:val="22"/>
                <w:color w:val="auto"/>
              </w:rPr>
            </w:pPr>
          </w:p>
        </w:tc>
        <w:tc>
          <w:tcPr>
            <w:tcW w:w="1820" w:type="dxa"/>
            <w:vAlign w:val="bottom"/>
            <w:gridSpan w:val="4"/>
            <w:shd w:val="clear" w:color="auto" w:fill="53C072"/>
          </w:tcPr>
          <w:p>
            <w:pPr>
              <w:spacing w:after="0"/>
              <w:rPr>
                <w:sz w:val="20"/>
                <w:szCs w:val="20"/>
                <w:color w:val="auto"/>
              </w:rPr>
            </w:pPr>
            <w:r>
              <w:rPr>
                <w:rFonts w:ascii="Arial" w:cs="Arial" w:eastAsia="Arial" w:hAnsi="Arial"/>
                <w:sz w:val="14"/>
                <w:szCs w:val="14"/>
                <w:b w:val="1"/>
                <w:bCs w:val="1"/>
                <w:color w:val="FEFEFE"/>
              </w:rPr>
              <w:t>Fiscal 2025 ROWC Goals</w:t>
            </w:r>
          </w:p>
        </w:tc>
        <w:tc>
          <w:tcPr>
            <w:tcW w:w="140" w:type="dxa"/>
            <w:vAlign w:val="bottom"/>
            <w:tcBorders>
              <w:right w:val="single" w:sz="8" w:color="53C072"/>
            </w:tcBorders>
            <w:shd w:val="clear" w:color="auto" w:fill="53C072"/>
          </w:tcPr>
          <w:p>
            <w:pPr>
              <w:spacing w:after="0"/>
              <w:rPr>
                <w:sz w:val="22"/>
                <w:szCs w:val="22"/>
                <w:color w:val="auto"/>
              </w:rPr>
            </w:pPr>
          </w:p>
        </w:tc>
        <w:tc>
          <w:tcPr>
            <w:tcW w:w="260" w:type="dxa"/>
            <w:vAlign w:val="bottom"/>
            <w:shd w:val="clear" w:color="auto" w:fill="53C072"/>
          </w:tcPr>
          <w:p>
            <w:pPr>
              <w:spacing w:after="0"/>
              <w:rPr>
                <w:sz w:val="22"/>
                <w:szCs w:val="22"/>
                <w:color w:val="auto"/>
              </w:rPr>
            </w:pPr>
          </w:p>
        </w:tc>
        <w:tc>
          <w:tcPr>
            <w:tcW w:w="2940" w:type="dxa"/>
            <w:vAlign w:val="bottom"/>
            <w:tcBorders>
              <w:right w:val="single" w:sz="8" w:color="53C072"/>
            </w:tcBorders>
            <w:shd w:val="clear" w:color="auto" w:fill="53C072"/>
          </w:tcPr>
          <w:p>
            <w:pPr>
              <w:spacing w:after="0"/>
              <w:rPr>
                <w:sz w:val="22"/>
                <w:szCs w:val="22"/>
                <w:color w:val="auto"/>
              </w:rPr>
            </w:pPr>
          </w:p>
        </w:tc>
      </w:tr>
      <w:tr>
        <w:trPr>
          <w:trHeight w:val="196"/>
        </w:trPr>
        <w:tc>
          <w:tcPr>
            <w:tcW w:w="40" w:type="dxa"/>
            <w:vAlign w:val="bottom"/>
            <w:tcBorders>
              <w:left w:val="single" w:sz="8" w:color="53C072"/>
            </w:tcBorders>
          </w:tcPr>
          <w:p>
            <w:pPr>
              <w:spacing w:after="0"/>
              <w:rPr>
                <w:sz w:val="17"/>
                <w:szCs w:val="17"/>
                <w:color w:val="auto"/>
              </w:rPr>
            </w:pPr>
          </w:p>
        </w:tc>
        <w:tc>
          <w:tcPr>
            <w:tcW w:w="200" w:type="dxa"/>
            <w:vAlign w:val="bottom"/>
            <w:shd w:val="clear" w:color="auto" w:fill="53C072"/>
          </w:tcPr>
          <w:p>
            <w:pPr>
              <w:spacing w:after="0"/>
              <w:rPr>
                <w:sz w:val="17"/>
                <w:szCs w:val="17"/>
                <w:color w:val="auto"/>
              </w:rPr>
            </w:pPr>
          </w:p>
        </w:tc>
        <w:tc>
          <w:tcPr>
            <w:tcW w:w="1180" w:type="dxa"/>
            <w:vAlign w:val="bottom"/>
            <w:shd w:val="clear" w:color="auto" w:fill="53C072"/>
          </w:tcPr>
          <w:p>
            <w:pPr>
              <w:spacing w:after="0"/>
              <w:rPr>
                <w:sz w:val="17"/>
                <w:szCs w:val="17"/>
                <w:color w:val="auto"/>
              </w:rPr>
            </w:pPr>
          </w:p>
        </w:tc>
        <w:tc>
          <w:tcPr>
            <w:tcW w:w="100" w:type="dxa"/>
            <w:vAlign w:val="bottom"/>
            <w:tcBorders>
              <w:right w:val="single" w:sz="8" w:color="53C072"/>
            </w:tcBorders>
            <w:shd w:val="clear" w:color="auto" w:fill="53C072"/>
          </w:tcPr>
          <w:p>
            <w:pPr>
              <w:spacing w:after="0"/>
              <w:rPr>
                <w:sz w:val="17"/>
                <w:szCs w:val="17"/>
                <w:color w:val="auto"/>
              </w:rPr>
            </w:pPr>
          </w:p>
        </w:tc>
        <w:tc>
          <w:tcPr>
            <w:tcW w:w="200" w:type="dxa"/>
            <w:vAlign w:val="bottom"/>
            <w:tcBorders>
              <w:right w:val="single" w:sz="8" w:color="53C072"/>
            </w:tcBorders>
            <w:shd w:val="clear" w:color="auto" w:fill="53C072"/>
          </w:tcPr>
          <w:p>
            <w:pPr>
              <w:spacing w:after="0"/>
              <w:rPr>
                <w:sz w:val="17"/>
                <w:szCs w:val="17"/>
                <w:color w:val="auto"/>
              </w:rPr>
            </w:pPr>
          </w:p>
        </w:tc>
        <w:tc>
          <w:tcPr>
            <w:tcW w:w="140" w:type="dxa"/>
            <w:vAlign w:val="bottom"/>
            <w:shd w:val="clear" w:color="auto" w:fill="53C072"/>
          </w:tcPr>
          <w:p>
            <w:pPr>
              <w:spacing w:after="0"/>
              <w:rPr>
                <w:sz w:val="17"/>
                <w:szCs w:val="17"/>
                <w:color w:val="auto"/>
              </w:rPr>
            </w:pPr>
          </w:p>
        </w:tc>
        <w:tc>
          <w:tcPr>
            <w:tcW w:w="1740" w:type="dxa"/>
            <w:vAlign w:val="bottom"/>
            <w:shd w:val="clear" w:color="auto" w:fill="53C072"/>
          </w:tcPr>
          <w:p>
            <w:pPr>
              <w:spacing w:after="0"/>
              <w:rPr>
                <w:sz w:val="17"/>
                <w:szCs w:val="17"/>
                <w:color w:val="auto"/>
              </w:rPr>
            </w:pPr>
          </w:p>
        </w:tc>
        <w:tc>
          <w:tcPr>
            <w:tcW w:w="80" w:type="dxa"/>
            <w:vAlign w:val="bottom"/>
            <w:tcBorders>
              <w:right w:val="single" w:sz="8" w:color="53C072"/>
            </w:tcBorders>
            <w:shd w:val="clear" w:color="auto" w:fill="53C072"/>
          </w:tcPr>
          <w:p>
            <w:pPr>
              <w:spacing w:after="0"/>
              <w:rPr>
                <w:sz w:val="17"/>
                <w:szCs w:val="17"/>
                <w:color w:val="auto"/>
              </w:rPr>
            </w:pPr>
          </w:p>
        </w:tc>
        <w:tc>
          <w:tcPr>
            <w:tcW w:w="18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1460" w:type="dxa"/>
            <w:vAlign w:val="bottom"/>
            <w:shd w:val="clear" w:color="auto" w:fill="53C072"/>
          </w:tcPr>
          <w:p>
            <w:pPr>
              <w:spacing w:after="0"/>
              <w:rPr>
                <w:sz w:val="20"/>
                <w:szCs w:val="20"/>
                <w:color w:val="auto"/>
              </w:rPr>
            </w:pPr>
            <w:r>
              <w:rPr>
                <w:rFonts w:ascii="Arial" w:cs="Arial" w:eastAsia="Arial" w:hAnsi="Arial"/>
                <w:sz w:val="14"/>
                <w:szCs w:val="14"/>
                <w:b w:val="1"/>
                <w:bCs w:val="1"/>
                <w:color w:val="FEFEFE"/>
              </w:rPr>
              <w:t>40% Weighting</w:t>
            </w:r>
          </w:p>
        </w:tc>
        <w:tc>
          <w:tcPr>
            <w:tcW w:w="140" w:type="dxa"/>
            <w:vAlign w:val="bottom"/>
            <w:tcBorders>
              <w:right w:val="single" w:sz="8" w:color="53C072"/>
            </w:tcBorders>
            <w:shd w:val="clear" w:color="auto" w:fill="53C072"/>
          </w:tcPr>
          <w:p>
            <w:pPr>
              <w:spacing w:after="0"/>
              <w:rPr>
                <w:sz w:val="17"/>
                <w:szCs w:val="17"/>
                <w:color w:val="auto"/>
              </w:rPr>
            </w:pPr>
          </w:p>
        </w:tc>
        <w:tc>
          <w:tcPr>
            <w:tcW w:w="260" w:type="dxa"/>
            <w:vAlign w:val="bottom"/>
            <w:shd w:val="clear" w:color="auto" w:fill="53C072"/>
          </w:tcPr>
          <w:p>
            <w:pPr>
              <w:spacing w:after="0"/>
              <w:rPr>
                <w:sz w:val="17"/>
                <w:szCs w:val="17"/>
                <w:color w:val="auto"/>
              </w:rPr>
            </w:pPr>
          </w:p>
        </w:tc>
        <w:tc>
          <w:tcPr>
            <w:tcW w:w="2940" w:type="dxa"/>
            <w:vAlign w:val="bottom"/>
            <w:tcBorders>
              <w:right w:val="single" w:sz="8" w:color="53C072"/>
            </w:tcBorders>
            <w:shd w:val="clear" w:color="auto" w:fill="53C072"/>
          </w:tcPr>
          <w:p>
            <w:pPr>
              <w:spacing w:after="0"/>
              <w:rPr>
                <w:sz w:val="17"/>
                <w:szCs w:val="17"/>
                <w:color w:val="auto"/>
              </w:rPr>
            </w:pPr>
          </w:p>
        </w:tc>
      </w:tr>
      <w:tr>
        <w:trPr>
          <w:trHeight w:val="272"/>
        </w:trPr>
        <w:tc>
          <w:tcPr>
            <w:tcW w:w="40" w:type="dxa"/>
            <w:vAlign w:val="bottom"/>
            <w:tcBorders>
              <w:left w:val="single" w:sz="8" w:color="53C072"/>
            </w:tcBorders>
          </w:tcPr>
          <w:p>
            <w:pPr>
              <w:spacing w:after="0"/>
              <w:rPr>
                <w:sz w:val="23"/>
                <w:szCs w:val="23"/>
                <w:color w:val="auto"/>
              </w:rPr>
            </w:pPr>
          </w:p>
        </w:tc>
        <w:tc>
          <w:tcPr>
            <w:tcW w:w="200" w:type="dxa"/>
            <w:vAlign w:val="bottom"/>
            <w:shd w:val="clear" w:color="auto" w:fill="53C072"/>
          </w:tcPr>
          <w:p>
            <w:pPr>
              <w:spacing w:after="0"/>
              <w:rPr>
                <w:sz w:val="23"/>
                <w:szCs w:val="23"/>
                <w:color w:val="auto"/>
              </w:rPr>
            </w:pPr>
          </w:p>
        </w:tc>
        <w:tc>
          <w:tcPr>
            <w:tcW w:w="1180" w:type="dxa"/>
            <w:vAlign w:val="bottom"/>
            <w:shd w:val="clear" w:color="auto" w:fill="53C072"/>
          </w:tcPr>
          <w:p>
            <w:pPr>
              <w:spacing w:after="0"/>
              <w:rPr>
                <w:sz w:val="23"/>
                <w:szCs w:val="23"/>
                <w:color w:val="auto"/>
              </w:rPr>
            </w:pPr>
          </w:p>
        </w:tc>
        <w:tc>
          <w:tcPr>
            <w:tcW w:w="100" w:type="dxa"/>
            <w:vAlign w:val="bottom"/>
            <w:tcBorders>
              <w:right w:val="single" w:sz="8" w:color="53C072"/>
            </w:tcBorders>
            <w:shd w:val="clear" w:color="auto" w:fill="53C072"/>
          </w:tcPr>
          <w:p>
            <w:pPr>
              <w:spacing w:after="0"/>
              <w:rPr>
                <w:sz w:val="23"/>
                <w:szCs w:val="23"/>
                <w:color w:val="auto"/>
              </w:rPr>
            </w:pPr>
          </w:p>
        </w:tc>
        <w:tc>
          <w:tcPr>
            <w:tcW w:w="340" w:type="dxa"/>
            <w:vAlign w:val="bottom"/>
            <w:gridSpan w:val="2"/>
            <w:shd w:val="clear" w:color="auto" w:fill="53C072"/>
          </w:tcPr>
          <w:p>
            <w:pPr>
              <w:ind w:left="140"/>
              <w:spacing w:after="0"/>
              <w:rPr>
                <w:sz w:val="20"/>
                <w:szCs w:val="20"/>
                <w:color w:val="auto"/>
              </w:rPr>
            </w:pPr>
            <w:r>
              <w:rPr>
                <w:rFonts w:ascii="Arial" w:cs="Arial" w:eastAsia="Arial" w:hAnsi="Arial"/>
                <w:sz w:val="14"/>
                <w:szCs w:val="14"/>
                <w:b w:val="1"/>
                <w:bCs w:val="1"/>
                <w:color w:val="FEFEFE"/>
              </w:rPr>
              <w:t>​ ​</w:t>
            </w:r>
          </w:p>
        </w:tc>
        <w:tc>
          <w:tcPr>
            <w:tcW w:w="1740" w:type="dxa"/>
            <w:vAlign w:val="bottom"/>
            <w:shd w:val="clear" w:color="auto" w:fill="53C072"/>
          </w:tcPr>
          <w:p>
            <w:pPr>
              <w:jc w:val="center"/>
              <w:ind w:left="13"/>
              <w:spacing w:after="0"/>
              <w:rPr>
                <w:sz w:val="20"/>
                <w:szCs w:val="20"/>
                <w:color w:val="auto"/>
              </w:rPr>
            </w:pPr>
            <w:r>
              <w:rPr>
                <w:rFonts w:ascii="Arial" w:cs="Arial" w:eastAsia="Arial" w:hAnsi="Arial"/>
                <w:sz w:val="14"/>
                <w:szCs w:val="14"/>
                <w:b w:val="1"/>
                <w:bCs w:val="1"/>
                <w:color w:val="FEFEFE"/>
              </w:rPr>
              <w:t>% Attainment</w:t>
            </w:r>
          </w:p>
        </w:tc>
        <w:tc>
          <w:tcPr>
            <w:tcW w:w="80" w:type="dxa"/>
            <w:vAlign w:val="bottom"/>
            <w:tcBorders>
              <w:right w:val="single" w:sz="8" w:color="53C072"/>
            </w:tcBorders>
            <w:shd w:val="clear" w:color="auto" w:fill="53C072"/>
          </w:tcPr>
          <w:p>
            <w:pPr>
              <w:spacing w:after="0"/>
              <w:rPr>
                <w:sz w:val="23"/>
                <w:szCs w:val="23"/>
                <w:color w:val="auto"/>
              </w:rPr>
            </w:pPr>
          </w:p>
        </w:tc>
        <w:tc>
          <w:tcPr>
            <w:tcW w:w="280" w:type="dxa"/>
            <w:vAlign w:val="bottom"/>
            <w:gridSpan w:val="2"/>
            <w:shd w:val="clear" w:color="auto" w:fill="53C072"/>
          </w:tcPr>
          <w:p>
            <w:pPr>
              <w:ind w:left="120"/>
              <w:spacing w:after="0"/>
              <w:rPr>
                <w:sz w:val="20"/>
                <w:szCs w:val="20"/>
                <w:color w:val="auto"/>
              </w:rPr>
            </w:pPr>
            <w:r>
              <w:rPr>
                <w:rFonts w:ascii="Arial" w:cs="Arial" w:eastAsia="Arial" w:hAnsi="Arial"/>
                <w:sz w:val="14"/>
                <w:szCs w:val="14"/>
                <w:b w:val="1"/>
                <w:bCs w:val="1"/>
                <w:color w:val="FEFEFE"/>
              </w:rPr>
              <w:t>​ ​</w:t>
            </w:r>
          </w:p>
        </w:tc>
        <w:tc>
          <w:tcPr>
            <w:tcW w:w="1460" w:type="dxa"/>
            <w:vAlign w:val="bottom"/>
            <w:shd w:val="clear" w:color="auto" w:fill="53C072"/>
          </w:tcPr>
          <w:p>
            <w:pPr>
              <w:ind w:left="440"/>
              <w:spacing w:after="0"/>
              <w:rPr>
                <w:sz w:val="20"/>
                <w:szCs w:val="20"/>
                <w:color w:val="auto"/>
              </w:rPr>
            </w:pPr>
            <w:r>
              <w:rPr>
                <w:rFonts w:ascii="Arial" w:cs="Arial" w:eastAsia="Arial" w:hAnsi="Arial"/>
                <w:sz w:val="14"/>
                <w:szCs w:val="14"/>
                <w:b w:val="1"/>
                <w:bCs w:val="1"/>
                <w:color w:val="FEFEFE"/>
              </w:rPr>
              <w:t>ROWC %</w:t>
            </w:r>
          </w:p>
        </w:tc>
        <w:tc>
          <w:tcPr>
            <w:tcW w:w="400" w:type="dxa"/>
            <w:vAlign w:val="bottom"/>
            <w:gridSpan w:val="2"/>
            <w:shd w:val="clear" w:color="auto" w:fill="53C072"/>
          </w:tcPr>
          <w:p>
            <w:pPr>
              <w:jc w:val="right"/>
              <w:ind w:right="90"/>
              <w:spacing w:after="0"/>
              <w:rPr>
                <w:sz w:val="20"/>
                <w:szCs w:val="20"/>
                <w:color w:val="auto"/>
              </w:rPr>
            </w:pPr>
            <w:r>
              <w:rPr>
                <w:rFonts w:ascii="Arial" w:cs="Arial" w:eastAsia="Arial" w:hAnsi="Arial"/>
                <w:sz w:val="14"/>
                <w:szCs w:val="14"/>
                <w:b w:val="1"/>
                <w:bCs w:val="1"/>
                <w:color w:val="FEFEFE"/>
              </w:rPr>
              <w:t>​ ​</w:t>
            </w:r>
          </w:p>
        </w:tc>
        <w:tc>
          <w:tcPr>
            <w:tcW w:w="2940" w:type="dxa"/>
            <w:vAlign w:val="bottom"/>
            <w:tcBorders>
              <w:right w:val="single" w:sz="8" w:color="53C072"/>
            </w:tcBorders>
            <w:shd w:val="clear" w:color="auto" w:fill="53C072"/>
          </w:tcPr>
          <w:p>
            <w:pPr>
              <w:jc w:val="center"/>
              <w:ind w:right="152"/>
              <w:spacing w:after="0"/>
              <w:rPr>
                <w:sz w:val="20"/>
                <w:szCs w:val="20"/>
                <w:color w:val="auto"/>
              </w:rPr>
            </w:pPr>
            <w:r>
              <w:rPr>
                <w:rFonts w:ascii="Arial" w:cs="Arial" w:eastAsia="Arial" w:hAnsi="Arial"/>
                <w:sz w:val="14"/>
                <w:szCs w:val="14"/>
                <w:b w:val="1"/>
                <w:bCs w:val="1"/>
                <w:color w:val="FEFEFE"/>
              </w:rPr>
              <w:t>% Payout</w:t>
            </w:r>
          </w:p>
        </w:tc>
      </w:tr>
      <w:tr>
        <w:trPr>
          <w:trHeight w:val="270"/>
        </w:trPr>
        <w:tc>
          <w:tcPr>
            <w:tcW w:w="40" w:type="dxa"/>
            <w:vAlign w:val="bottom"/>
            <w:tcBorders>
              <w:left w:val="single" w:sz="8" w:color="53C072"/>
            </w:tcBorders>
          </w:tcPr>
          <w:p>
            <w:pPr>
              <w:spacing w:after="0"/>
              <w:rPr>
                <w:sz w:val="23"/>
                <w:szCs w:val="23"/>
                <w:color w:val="auto"/>
              </w:rPr>
            </w:pPr>
          </w:p>
        </w:tc>
        <w:tc>
          <w:tcPr>
            <w:tcW w:w="200" w:type="dxa"/>
            <w:vAlign w:val="bottom"/>
            <w:tcBorders>
              <w:bottom w:val="single" w:sz="8" w:color="53C072"/>
            </w:tcBorders>
          </w:tcPr>
          <w:p>
            <w:pPr>
              <w:spacing w:after="0"/>
              <w:rPr>
                <w:sz w:val="23"/>
                <w:szCs w:val="23"/>
                <w:color w:val="auto"/>
              </w:rPr>
            </w:pPr>
          </w:p>
        </w:tc>
        <w:tc>
          <w:tcPr>
            <w:tcW w:w="1180" w:type="dxa"/>
            <w:vAlign w:val="bottom"/>
            <w:tcBorders>
              <w:bottom w:val="single" w:sz="8" w:color="53C072"/>
            </w:tcBorders>
          </w:tcPr>
          <w:p>
            <w:pPr>
              <w:ind w:left="20"/>
              <w:spacing w:after="0"/>
              <w:rPr>
                <w:sz w:val="20"/>
                <w:szCs w:val="20"/>
                <w:color w:val="auto"/>
              </w:rPr>
            </w:pPr>
            <w:r>
              <w:rPr>
                <w:rFonts w:ascii="Arial" w:cs="Arial" w:eastAsia="Arial" w:hAnsi="Arial"/>
                <w:sz w:val="18"/>
                <w:szCs w:val="18"/>
                <w:color w:val="auto"/>
              </w:rPr>
              <w:t>Maximum</w:t>
            </w:r>
          </w:p>
        </w:tc>
        <w:tc>
          <w:tcPr>
            <w:tcW w:w="100" w:type="dxa"/>
            <w:vAlign w:val="bottom"/>
            <w:tcBorders>
              <w:bottom w:val="single" w:sz="8" w:color="53C072"/>
            </w:tcBorders>
          </w:tcPr>
          <w:p>
            <w:pPr>
              <w:spacing w:after="0"/>
              <w:rPr>
                <w:sz w:val="23"/>
                <w:szCs w:val="23"/>
                <w:color w:val="auto"/>
              </w:rPr>
            </w:pPr>
          </w:p>
        </w:tc>
        <w:tc>
          <w:tcPr>
            <w:tcW w:w="200" w:type="dxa"/>
            <w:vAlign w:val="bottom"/>
            <w:tcBorders>
              <w:bottom w:val="single" w:sz="8" w:color="53C072"/>
              <w:right w:val="single" w:sz="8" w:color="53C072"/>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53C072"/>
            </w:tcBorders>
          </w:tcPr>
          <w:p>
            <w:pPr>
              <w:jc w:val="center"/>
              <w:ind w:left="13"/>
              <w:spacing w:after="0"/>
              <w:rPr>
                <w:sz w:val="20"/>
                <w:szCs w:val="20"/>
                <w:color w:val="auto"/>
              </w:rPr>
            </w:pPr>
            <w:r>
              <w:rPr>
                <w:rFonts w:ascii="Arial" w:cs="Arial" w:eastAsia="Arial" w:hAnsi="Arial"/>
                <w:sz w:val="18"/>
                <w:szCs w:val="18"/>
                <w:color w:val="auto"/>
                <w:w w:val="95"/>
              </w:rPr>
              <w:t>133%</w:t>
            </w:r>
          </w:p>
        </w:tc>
        <w:tc>
          <w:tcPr>
            <w:tcW w:w="80" w:type="dxa"/>
            <w:vAlign w:val="bottom"/>
            <w:tcBorders>
              <w:bottom w:val="single" w:sz="8" w:color="53C072"/>
            </w:tcBorders>
          </w:tcPr>
          <w:p>
            <w:pPr>
              <w:spacing w:after="0"/>
              <w:rPr>
                <w:sz w:val="23"/>
                <w:szCs w:val="23"/>
                <w:color w:val="auto"/>
              </w:rPr>
            </w:pPr>
          </w:p>
        </w:tc>
        <w:tc>
          <w:tcPr>
            <w:tcW w:w="180" w:type="dxa"/>
            <w:vAlign w:val="bottom"/>
            <w:tcBorders>
              <w:bottom w:val="single" w:sz="8" w:color="53C072"/>
              <w:right w:val="single" w:sz="8" w:color="53C072"/>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53C072"/>
            </w:tcBorders>
          </w:tcPr>
          <w:p>
            <w:pPr>
              <w:ind w:left="440"/>
              <w:spacing w:after="0"/>
              <w:rPr>
                <w:sz w:val="20"/>
                <w:szCs w:val="20"/>
                <w:color w:val="auto"/>
              </w:rPr>
            </w:pPr>
            <w:r>
              <w:rPr>
                <w:rFonts w:ascii="Arial" w:cs="Arial" w:eastAsia="Arial" w:hAnsi="Arial"/>
                <w:sz w:val="18"/>
                <w:szCs w:val="18"/>
                <w:color w:val="auto"/>
              </w:rPr>
              <w:t>17.96%</w:t>
            </w:r>
          </w:p>
        </w:tc>
        <w:tc>
          <w:tcPr>
            <w:tcW w:w="140" w:type="dxa"/>
            <w:vAlign w:val="bottom"/>
            <w:tcBorders>
              <w:bottom w:val="single" w:sz="8" w:color="53C072"/>
              <w:right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53C072"/>
            </w:tcBorders>
          </w:tcPr>
          <w:p>
            <w:pPr>
              <w:jc w:val="right"/>
              <w:ind w:right="7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53C072"/>
              <w:right w:val="single" w:sz="8" w:color="53C072"/>
            </w:tcBorders>
          </w:tcPr>
          <w:p>
            <w:pPr>
              <w:jc w:val="center"/>
              <w:ind w:right="152"/>
              <w:spacing w:after="0"/>
              <w:rPr>
                <w:sz w:val="20"/>
                <w:szCs w:val="20"/>
                <w:color w:val="auto"/>
              </w:rPr>
            </w:pPr>
            <w:r>
              <w:rPr>
                <w:rFonts w:ascii="Arial" w:cs="Arial" w:eastAsia="Arial" w:hAnsi="Arial"/>
                <w:sz w:val="18"/>
                <w:szCs w:val="18"/>
                <w:color w:val="auto"/>
                <w:w w:val="99"/>
              </w:rPr>
              <w:t>200%</w:t>
            </w:r>
          </w:p>
        </w:tc>
      </w:tr>
      <w:tr>
        <w:trPr>
          <w:trHeight w:val="191"/>
        </w:trPr>
        <w:tc>
          <w:tcPr>
            <w:tcW w:w="40" w:type="dxa"/>
            <w:vAlign w:val="bottom"/>
            <w:tcBorders>
              <w:left w:val="single" w:sz="8" w:color="53C072"/>
            </w:tcBorders>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ind w:left="20"/>
              <w:spacing w:after="0" w:line="191" w:lineRule="exact"/>
              <w:rPr>
                <w:sz w:val="20"/>
                <w:szCs w:val="20"/>
                <w:color w:val="auto"/>
              </w:rPr>
            </w:pPr>
            <w:r>
              <w:rPr>
                <w:rFonts w:ascii="Arial" w:cs="Arial" w:eastAsia="Arial" w:hAnsi="Arial"/>
                <w:sz w:val="18"/>
                <w:szCs w:val="18"/>
                <w:color w:val="auto"/>
              </w:rPr>
              <w:t>&gt; Target</w:t>
            </w:r>
          </w:p>
        </w:tc>
        <w:tc>
          <w:tcPr>
            <w:tcW w:w="100" w:type="dxa"/>
            <w:vAlign w:val="bottom"/>
          </w:tcPr>
          <w:p>
            <w:pPr>
              <w:spacing w:after="0"/>
              <w:rPr>
                <w:sz w:val="16"/>
                <w:szCs w:val="16"/>
                <w:color w:val="auto"/>
              </w:rPr>
            </w:pPr>
          </w:p>
        </w:tc>
        <w:tc>
          <w:tcPr>
            <w:tcW w:w="200" w:type="dxa"/>
            <w:vAlign w:val="bottom"/>
            <w:tcBorders>
              <w:right w:val="single" w:sz="8" w:color="53C072"/>
            </w:tcBorders>
          </w:tcPr>
          <w:p>
            <w:pPr>
              <w:ind w:left="140"/>
              <w:spacing w:after="0" w:line="191" w:lineRule="exact"/>
              <w:rPr>
                <w:sz w:val="20"/>
                <w:szCs w:val="20"/>
                <w:color w:val="auto"/>
              </w:rPr>
            </w:pPr>
            <w:r>
              <w:rPr>
                <w:rFonts w:ascii="Arial" w:cs="Arial" w:eastAsia="Arial" w:hAnsi="Arial"/>
                <w:sz w:val="18"/>
                <w:szCs w:val="18"/>
                <w:color w:val="auto"/>
              </w:rPr>
              <w:t>​</w:t>
            </w:r>
          </w:p>
        </w:tc>
        <w:tc>
          <w:tcPr>
            <w:tcW w:w="140" w:type="dxa"/>
            <w:vAlign w:val="bottom"/>
          </w:tcPr>
          <w:p>
            <w:pPr>
              <w:ind w:left="40"/>
              <w:spacing w:after="0" w:line="191" w:lineRule="exact"/>
              <w:rPr>
                <w:sz w:val="20"/>
                <w:szCs w:val="20"/>
                <w:color w:val="auto"/>
              </w:rPr>
            </w:pPr>
            <w:r>
              <w:rPr>
                <w:rFonts w:ascii="Arial" w:cs="Arial" w:eastAsia="Arial" w:hAnsi="Arial"/>
                <w:sz w:val="18"/>
                <w:szCs w:val="18"/>
                <w:color w:val="auto"/>
              </w:rPr>
              <w:t>​</w:t>
            </w:r>
          </w:p>
        </w:tc>
        <w:tc>
          <w:tcPr>
            <w:tcW w:w="1740" w:type="dxa"/>
            <w:vAlign w:val="bottom"/>
          </w:tcPr>
          <w:p>
            <w:pPr>
              <w:jc w:val="center"/>
              <w:ind w:left="13"/>
              <w:spacing w:after="0" w:line="191" w:lineRule="exact"/>
              <w:rPr>
                <w:sz w:val="20"/>
                <w:szCs w:val="20"/>
                <w:color w:val="auto"/>
              </w:rPr>
            </w:pPr>
            <w:r>
              <w:rPr>
                <w:rFonts w:ascii="Arial" w:cs="Arial" w:eastAsia="Arial" w:hAnsi="Arial"/>
                <w:sz w:val="18"/>
                <w:szCs w:val="18"/>
                <w:color w:val="auto"/>
                <w:w w:val="99"/>
              </w:rPr>
              <w:t>1% change = 1%</w:t>
            </w:r>
          </w:p>
        </w:tc>
        <w:tc>
          <w:tcPr>
            <w:tcW w:w="80" w:type="dxa"/>
            <w:vAlign w:val="bottom"/>
          </w:tcPr>
          <w:p>
            <w:pPr>
              <w:spacing w:after="0"/>
              <w:rPr>
                <w:sz w:val="16"/>
                <w:szCs w:val="16"/>
                <w:color w:val="auto"/>
              </w:rPr>
            </w:pPr>
          </w:p>
        </w:tc>
        <w:tc>
          <w:tcPr>
            <w:tcW w:w="180" w:type="dxa"/>
            <w:vAlign w:val="bottom"/>
            <w:tcBorders>
              <w:right w:val="single" w:sz="8" w:color="53C072"/>
            </w:tcBorders>
          </w:tcPr>
          <w:p>
            <w:pPr>
              <w:ind w:left="120"/>
              <w:spacing w:after="0" w:line="191" w:lineRule="exact"/>
              <w:rPr>
                <w:sz w:val="20"/>
                <w:szCs w:val="20"/>
                <w:color w:val="auto"/>
              </w:rPr>
            </w:pPr>
            <w:r>
              <w:rPr>
                <w:rFonts w:ascii="Arial" w:cs="Arial" w:eastAsia="Arial" w:hAnsi="Arial"/>
                <w:sz w:val="18"/>
                <w:szCs w:val="18"/>
                <w:color w:val="auto"/>
              </w:rPr>
              <w:t>​</w:t>
            </w:r>
          </w:p>
        </w:tc>
        <w:tc>
          <w:tcPr>
            <w:tcW w:w="1700" w:type="dxa"/>
            <w:vAlign w:val="bottom"/>
            <w:tcBorders>
              <w:right w:val="single" w:sz="8" w:color="53C072"/>
            </w:tcBorders>
            <w:gridSpan w:val="3"/>
          </w:tcPr>
          <w:p>
            <w:pPr>
              <w:jc w:val="right"/>
              <w:spacing w:after="0" w:line="191" w:lineRule="exact"/>
              <w:rPr>
                <w:sz w:val="20"/>
                <w:szCs w:val="20"/>
                <w:color w:val="auto"/>
              </w:rPr>
            </w:pPr>
            <w:r>
              <w:rPr>
                <w:rFonts w:ascii="Arial" w:cs="Arial" w:eastAsia="Arial" w:hAnsi="Arial"/>
                <w:sz w:val="18"/>
                <w:szCs w:val="18"/>
                <w:color w:val="auto"/>
              </w:rPr>
              <w:t>​13.48% — 17.95% ​</w:t>
            </w:r>
          </w:p>
        </w:tc>
        <w:tc>
          <w:tcPr>
            <w:tcW w:w="260" w:type="dxa"/>
            <w:vAlign w:val="bottom"/>
          </w:tcPr>
          <w:p>
            <w:pPr>
              <w:jc w:val="right"/>
              <w:ind w:right="70"/>
              <w:spacing w:after="0" w:line="191" w:lineRule="exact"/>
              <w:rPr>
                <w:sz w:val="20"/>
                <w:szCs w:val="20"/>
                <w:color w:val="auto"/>
              </w:rPr>
            </w:pPr>
            <w:r>
              <w:rPr>
                <w:rFonts w:ascii="Arial" w:cs="Arial" w:eastAsia="Arial" w:hAnsi="Arial"/>
                <w:sz w:val="18"/>
                <w:szCs w:val="18"/>
                <w:color w:val="auto"/>
              </w:rPr>
              <w:t>​</w:t>
            </w:r>
          </w:p>
        </w:tc>
        <w:tc>
          <w:tcPr>
            <w:tcW w:w="2940" w:type="dxa"/>
            <w:vAlign w:val="bottom"/>
            <w:tcBorders>
              <w:right w:val="single" w:sz="8" w:color="53C072"/>
            </w:tcBorders>
          </w:tcPr>
          <w:p>
            <w:pPr>
              <w:jc w:val="center"/>
              <w:ind w:right="152"/>
              <w:spacing w:after="0" w:line="191" w:lineRule="exact"/>
              <w:rPr>
                <w:sz w:val="20"/>
                <w:szCs w:val="20"/>
                <w:color w:val="auto"/>
              </w:rPr>
            </w:pPr>
            <w:r>
              <w:rPr>
                <w:rFonts w:ascii="Arial" w:cs="Arial" w:eastAsia="Arial" w:hAnsi="Arial"/>
                <w:sz w:val="18"/>
                <w:szCs w:val="18"/>
                <w:color w:val="auto"/>
                <w:w w:val="97"/>
              </w:rPr>
              <w:t>3% increase in payout per 1%</w:t>
            </w:r>
          </w:p>
        </w:tc>
      </w:tr>
      <w:tr>
        <w:trPr>
          <w:trHeight w:val="235"/>
        </w:trPr>
        <w:tc>
          <w:tcPr>
            <w:tcW w:w="40" w:type="dxa"/>
            <w:vAlign w:val="bottom"/>
            <w:tcBorders>
              <w:left w:val="single" w:sz="8" w:color="53C072"/>
            </w:tcBorders>
          </w:tcPr>
          <w:p>
            <w:pPr>
              <w:spacing w:after="0"/>
              <w:rPr>
                <w:sz w:val="20"/>
                <w:szCs w:val="20"/>
                <w:color w:val="auto"/>
              </w:rPr>
            </w:pPr>
          </w:p>
        </w:tc>
        <w:tc>
          <w:tcPr>
            <w:tcW w:w="200" w:type="dxa"/>
            <w:vAlign w:val="bottom"/>
            <w:tcBorders>
              <w:bottom w:val="single" w:sz="8" w:color="53C072"/>
            </w:tcBorders>
          </w:tcPr>
          <w:p>
            <w:pPr>
              <w:spacing w:after="0"/>
              <w:rPr>
                <w:sz w:val="20"/>
                <w:szCs w:val="20"/>
                <w:color w:val="auto"/>
              </w:rPr>
            </w:pPr>
          </w:p>
        </w:tc>
        <w:tc>
          <w:tcPr>
            <w:tcW w:w="1180" w:type="dxa"/>
            <w:vAlign w:val="bottom"/>
            <w:tcBorders>
              <w:bottom w:val="single" w:sz="8" w:color="53C072"/>
            </w:tcBorders>
          </w:tcPr>
          <w:p>
            <w:pPr>
              <w:spacing w:after="0"/>
              <w:rPr>
                <w:sz w:val="20"/>
                <w:szCs w:val="20"/>
                <w:color w:val="auto"/>
              </w:rPr>
            </w:pPr>
          </w:p>
        </w:tc>
        <w:tc>
          <w:tcPr>
            <w:tcW w:w="100" w:type="dxa"/>
            <w:vAlign w:val="bottom"/>
            <w:tcBorders>
              <w:bottom w:val="single" w:sz="8" w:color="53C072"/>
            </w:tcBorders>
          </w:tcPr>
          <w:p>
            <w:pPr>
              <w:spacing w:after="0"/>
              <w:rPr>
                <w:sz w:val="20"/>
                <w:szCs w:val="20"/>
                <w:color w:val="auto"/>
              </w:rPr>
            </w:pPr>
          </w:p>
        </w:tc>
        <w:tc>
          <w:tcPr>
            <w:tcW w:w="200" w:type="dxa"/>
            <w:vAlign w:val="bottom"/>
            <w:tcBorders>
              <w:bottom w:val="single" w:sz="8" w:color="53C072"/>
              <w:right w:val="single" w:sz="8" w:color="53C072"/>
            </w:tcBorders>
          </w:tcPr>
          <w:p>
            <w:pPr>
              <w:spacing w:after="0"/>
              <w:rPr>
                <w:sz w:val="20"/>
                <w:szCs w:val="20"/>
                <w:color w:val="auto"/>
              </w:rPr>
            </w:pPr>
          </w:p>
        </w:tc>
        <w:tc>
          <w:tcPr>
            <w:tcW w:w="140" w:type="dxa"/>
            <w:vAlign w:val="bottom"/>
            <w:tcBorders>
              <w:bottom w:val="single" w:sz="8" w:color="53C072"/>
            </w:tcBorders>
          </w:tcPr>
          <w:p>
            <w:pPr>
              <w:spacing w:after="0"/>
              <w:rPr>
                <w:sz w:val="20"/>
                <w:szCs w:val="20"/>
                <w:color w:val="auto"/>
              </w:rPr>
            </w:pPr>
          </w:p>
        </w:tc>
        <w:tc>
          <w:tcPr>
            <w:tcW w:w="1740" w:type="dxa"/>
            <w:vAlign w:val="bottom"/>
            <w:tcBorders>
              <w:bottom w:val="single" w:sz="8" w:color="53C072"/>
            </w:tcBorders>
          </w:tcPr>
          <w:p>
            <w:pPr>
              <w:jc w:val="center"/>
              <w:ind w:left="13"/>
              <w:spacing w:after="0"/>
              <w:rPr>
                <w:sz w:val="20"/>
                <w:szCs w:val="20"/>
                <w:color w:val="auto"/>
              </w:rPr>
            </w:pPr>
            <w:r>
              <w:rPr>
                <w:rFonts w:ascii="Arial" w:cs="Arial" w:eastAsia="Arial" w:hAnsi="Arial"/>
                <w:sz w:val="18"/>
                <w:szCs w:val="18"/>
                <w:color w:val="auto"/>
                <w:w w:val="98"/>
              </w:rPr>
              <w:t>change in attainment</w:t>
            </w:r>
          </w:p>
        </w:tc>
        <w:tc>
          <w:tcPr>
            <w:tcW w:w="80" w:type="dxa"/>
            <w:vAlign w:val="bottom"/>
            <w:tcBorders>
              <w:bottom w:val="single" w:sz="8" w:color="53C072"/>
            </w:tcBorders>
          </w:tcPr>
          <w:p>
            <w:pPr>
              <w:spacing w:after="0"/>
              <w:rPr>
                <w:sz w:val="20"/>
                <w:szCs w:val="20"/>
                <w:color w:val="auto"/>
              </w:rPr>
            </w:pPr>
          </w:p>
        </w:tc>
        <w:tc>
          <w:tcPr>
            <w:tcW w:w="180" w:type="dxa"/>
            <w:vAlign w:val="bottom"/>
            <w:tcBorders>
              <w:bottom w:val="single" w:sz="8" w:color="53C072"/>
              <w:right w:val="single" w:sz="8" w:color="53C072"/>
            </w:tcBorders>
          </w:tcPr>
          <w:p>
            <w:pPr>
              <w:spacing w:after="0"/>
              <w:rPr>
                <w:sz w:val="20"/>
                <w:szCs w:val="20"/>
                <w:color w:val="auto"/>
              </w:rPr>
            </w:pPr>
          </w:p>
        </w:tc>
        <w:tc>
          <w:tcPr>
            <w:tcW w:w="100" w:type="dxa"/>
            <w:vAlign w:val="bottom"/>
            <w:tcBorders>
              <w:bottom w:val="single" w:sz="8" w:color="53C072"/>
            </w:tcBorders>
          </w:tcPr>
          <w:p>
            <w:pPr>
              <w:spacing w:after="0"/>
              <w:rPr>
                <w:sz w:val="20"/>
                <w:szCs w:val="20"/>
                <w:color w:val="auto"/>
              </w:rPr>
            </w:pPr>
          </w:p>
        </w:tc>
        <w:tc>
          <w:tcPr>
            <w:tcW w:w="1460" w:type="dxa"/>
            <w:vAlign w:val="bottom"/>
            <w:tcBorders>
              <w:bottom w:val="single" w:sz="8" w:color="53C072"/>
            </w:tcBorders>
          </w:tcPr>
          <w:p>
            <w:pPr>
              <w:spacing w:after="0"/>
              <w:rPr>
                <w:sz w:val="20"/>
                <w:szCs w:val="20"/>
                <w:color w:val="auto"/>
              </w:rPr>
            </w:pPr>
          </w:p>
        </w:tc>
        <w:tc>
          <w:tcPr>
            <w:tcW w:w="140" w:type="dxa"/>
            <w:vAlign w:val="bottom"/>
            <w:tcBorders>
              <w:bottom w:val="single" w:sz="8" w:color="53C072"/>
              <w:right w:val="single" w:sz="8" w:color="53C072"/>
            </w:tcBorders>
          </w:tcPr>
          <w:p>
            <w:pPr>
              <w:spacing w:after="0"/>
              <w:rPr>
                <w:sz w:val="20"/>
                <w:szCs w:val="20"/>
                <w:color w:val="auto"/>
              </w:rPr>
            </w:pPr>
          </w:p>
        </w:tc>
        <w:tc>
          <w:tcPr>
            <w:tcW w:w="260" w:type="dxa"/>
            <w:vAlign w:val="bottom"/>
            <w:tcBorders>
              <w:bottom w:val="single" w:sz="8" w:color="53C072"/>
            </w:tcBorders>
          </w:tcPr>
          <w:p>
            <w:pPr>
              <w:spacing w:after="0"/>
              <w:rPr>
                <w:sz w:val="20"/>
                <w:szCs w:val="20"/>
                <w:color w:val="auto"/>
              </w:rPr>
            </w:pPr>
          </w:p>
        </w:tc>
        <w:tc>
          <w:tcPr>
            <w:tcW w:w="2940" w:type="dxa"/>
            <w:vAlign w:val="bottom"/>
            <w:tcBorders>
              <w:bottom w:val="single" w:sz="8" w:color="53C072"/>
              <w:right w:val="single" w:sz="8" w:color="53C072"/>
            </w:tcBorders>
          </w:tcPr>
          <w:p>
            <w:pPr>
              <w:jc w:val="center"/>
              <w:ind w:right="152"/>
              <w:spacing w:after="0"/>
              <w:rPr>
                <w:sz w:val="20"/>
                <w:szCs w:val="20"/>
                <w:color w:val="auto"/>
              </w:rPr>
            </w:pPr>
            <w:r>
              <w:rPr>
                <w:rFonts w:ascii="Arial" w:cs="Arial" w:eastAsia="Arial" w:hAnsi="Arial"/>
                <w:sz w:val="18"/>
                <w:szCs w:val="18"/>
                <w:color w:val="auto"/>
                <w:w w:val="98"/>
              </w:rPr>
              <w:t>increase in attainment</w:t>
            </w:r>
          </w:p>
        </w:tc>
      </w:tr>
      <w:tr>
        <w:trPr>
          <w:trHeight w:val="264"/>
        </w:trPr>
        <w:tc>
          <w:tcPr>
            <w:tcW w:w="40" w:type="dxa"/>
            <w:vAlign w:val="bottom"/>
            <w:tcBorders>
              <w:left w:val="single" w:sz="8" w:color="53C072"/>
            </w:tcBorders>
          </w:tcPr>
          <w:p>
            <w:pPr>
              <w:spacing w:after="0"/>
              <w:rPr>
                <w:sz w:val="22"/>
                <w:szCs w:val="22"/>
                <w:color w:val="auto"/>
              </w:rPr>
            </w:pPr>
          </w:p>
        </w:tc>
        <w:tc>
          <w:tcPr>
            <w:tcW w:w="200" w:type="dxa"/>
            <w:vAlign w:val="bottom"/>
            <w:tcBorders>
              <w:bottom w:val="single" w:sz="8" w:color="53C072"/>
            </w:tcBorders>
            <w:shd w:val="clear" w:color="auto" w:fill="CBECD5"/>
          </w:tcPr>
          <w:p>
            <w:pPr>
              <w:spacing w:after="0"/>
              <w:rPr>
                <w:sz w:val="22"/>
                <w:szCs w:val="22"/>
                <w:color w:val="auto"/>
              </w:rPr>
            </w:pPr>
          </w:p>
        </w:tc>
        <w:tc>
          <w:tcPr>
            <w:tcW w:w="1180" w:type="dxa"/>
            <w:vAlign w:val="bottom"/>
            <w:tcBorders>
              <w:bottom w:val="single" w:sz="8" w:color="53C072"/>
            </w:tcBorders>
            <w:shd w:val="clear" w:color="auto" w:fill="CBECD5"/>
          </w:tcPr>
          <w:p>
            <w:pPr>
              <w:ind w:left="20"/>
              <w:spacing w:after="0"/>
              <w:rPr>
                <w:sz w:val="20"/>
                <w:szCs w:val="20"/>
                <w:color w:val="auto"/>
              </w:rPr>
            </w:pPr>
            <w:r>
              <w:rPr>
                <w:rFonts w:ascii="Arial" w:cs="Arial" w:eastAsia="Arial" w:hAnsi="Arial"/>
                <w:sz w:val="18"/>
                <w:szCs w:val="18"/>
                <w:b w:val="1"/>
                <w:bCs w:val="1"/>
                <w:color w:val="auto"/>
              </w:rPr>
              <w:t>Target</w:t>
            </w:r>
          </w:p>
        </w:tc>
        <w:tc>
          <w:tcPr>
            <w:tcW w:w="100" w:type="dxa"/>
            <w:vAlign w:val="bottom"/>
            <w:tcBorders>
              <w:bottom w:val="single" w:sz="8" w:color="53C072"/>
              <w:right w:val="single" w:sz="8" w:color="CBECD5"/>
            </w:tcBorders>
            <w:shd w:val="clear" w:color="auto" w:fill="CBECD5"/>
          </w:tcPr>
          <w:p>
            <w:pPr>
              <w:spacing w:after="0"/>
              <w:rPr>
                <w:sz w:val="22"/>
                <w:szCs w:val="22"/>
                <w:color w:val="auto"/>
              </w:rPr>
            </w:pPr>
          </w:p>
        </w:tc>
        <w:tc>
          <w:tcPr>
            <w:tcW w:w="200" w:type="dxa"/>
            <w:vAlign w:val="bottom"/>
            <w:tcBorders>
              <w:bottom w:val="single" w:sz="8" w:color="53C072"/>
              <w:right w:val="single" w:sz="8" w:color="53C072"/>
            </w:tcBorders>
            <w:shd w:val="clear" w:color="auto" w:fill="CBECD5"/>
          </w:tcPr>
          <w:p>
            <w:pPr>
              <w:ind w:left="14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53C072"/>
            </w:tcBorders>
            <w:shd w:val="clear" w:color="auto" w:fill="CBECD5"/>
          </w:tcPr>
          <w:p>
            <w:pPr>
              <w:jc w:val="center"/>
              <w:ind w:left="13"/>
              <w:spacing w:after="0"/>
              <w:rPr>
                <w:sz w:val="20"/>
                <w:szCs w:val="20"/>
                <w:color w:val="auto"/>
              </w:rPr>
            </w:pPr>
            <w:r>
              <w:rPr>
                <w:rFonts w:ascii="Arial" w:cs="Arial" w:eastAsia="Arial" w:hAnsi="Arial"/>
                <w:sz w:val="18"/>
                <w:szCs w:val="18"/>
                <w:b w:val="1"/>
                <w:bCs w:val="1"/>
                <w:color w:val="auto"/>
                <w:w w:val="98"/>
              </w:rPr>
              <w:t>100.0%</w:t>
            </w:r>
          </w:p>
        </w:tc>
        <w:tc>
          <w:tcPr>
            <w:tcW w:w="80" w:type="dxa"/>
            <w:vAlign w:val="bottom"/>
            <w:tcBorders>
              <w:bottom w:val="single" w:sz="8" w:color="53C072"/>
              <w:right w:val="single" w:sz="8" w:color="CBECD5"/>
            </w:tcBorders>
            <w:shd w:val="clear" w:color="auto" w:fill="CBECD5"/>
          </w:tcPr>
          <w:p>
            <w:pPr>
              <w:spacing w:after="0"/>
              <w:rPr>
                <w:sz w:val="22"/>
                <w:szCs w:val="22"/>
                <w:color w:val="auto"/>
              </w:rPr>
            </w:pPr>
          </w:p>
        </w:tc>
        <w:tc>
          <w:tcPr>
            <w:tcW w:w="180" w:type="dxa"/>
            <w:vAlign w:val="bottom"/>
            <w:tcBorders>
              <w:bottom w:val="single" w:sz="8" w:color="53C072"/>
              <w:right w:val="single" w:sz="8" w:color="53C072"/>
            </w:tcBorders>
            <w:shd w:val="clear" w:color="auto" w:fill="CBECD5"/>
          </w:tcPr>
          <w:p>
            <w:pPr>
              <w:ind w:left="1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53C072"/>
            </w:tcBorders>
            <w:shd w:val="clear" w:color="auto" w:fill="CBECD5"/>
          </w:tcPr>
          <w:p>
            <w:pPr>
              <w:ind w:left="440"/>
              <w:spacing w:after="0"/>
              <w:rPr>
                <w:sz w:val="20"/>
                <w:szCs w:val="20"/>
                <w:color w:val="auto"/>
              </w:rPr>
            </w:pPr>
            <w:r>
              <w:rPr>
                <w:rFonts w:ascii="Arial" w:cs="Arial" w:eastAsia="Arial" w:hAnsi="Arial"/>
                <w:sz w:val="18"/>
                <w:szCs w:val="18"/>
                <w:b w:val="1"/>
                <w:bCs w:val="1"/>
                <w:color w:val="auto"/>
              </w:rPr>
              <w:t>13.47%</w:t>
            </w:r>
          </w:p>
        </w:tc>
        <w:tc>
          <w:tcPr>
            <w:tcW w:w="140" w:type="dxa"/>
            <w:vAlign w:val="bottom"/>
            <w:tcBorders>
              <w:bottom w:val="single" w:sz="8" w:color="53C072"/>
              <w:right w:val="single" w:sz="8" w:color="53C072"/>
            </w:tcBorders>
            <w:shd w:val="clear" w:color="auto" w:fill="CBECD5"/>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53C072"/>
            </w:tcBorders>
            <w:shd w:val="clear" w:color="auto" w:fill="CBECD5"/>
          </w:tcPr>
          <w:p>
            <w:pPr>
              <w:jc w:val="right"/>
              <w:ind w:right="7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53C072"/>
              <w:right w:val="single" w:sz="8" w:color="53C072"/>
            </w:tcBorders>
            <w:shd w:val="clear" w:color="auto" w:fill="CBECD5"/>
          </w:tcPr>
          <w:p>
            <w:pPr>
              <w:jc w:val="center"/>
              <w:ind w:right="132"/>
              <w:spacing w:after="0"/>
              <w:rPr>
                <w:sz w:val="20"/>
                <w:szCs w:val="20"/>
                <w:color w:val="auto"/>
              </w:rPr>
            </w:pPr>
            <w:r>
              <w:rPr>
                <w:rFonts w:ascii="Arial" w:cs="Arial" w:eastAsia="Arial" w:hAnsi="Arial"/>
                <w:sz w:val="18"/>
                <w:szCs w:val="18"/>
                <w:b w:val="1"/>
                <w:bCs w:val="1"/>
                <w:color w:val="auto"/>
                <w:w w:val="98"/>
              </w:rPr>
              <w:t>100.0%</w:t>
            </w:r>
          </w:p>
        </w:tc>
      </w:tr>
      <w:tr>
        <w:trPr>
          <w:trHeight w:val="191"/>
        </w:trPr>
        <w:tc>
          <w:tcPr>
            <w:tcW w:w="40" w:type="dxa"/>
            <w:vAlign w:val="bottom"/>
            <w:tcBorders>
              <w:left w:val="single" w:sz="8" w:color="53C072"/>
            </w:tcBorders>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ind w:left="20"/>
              <w:spacing w:after="0" w:line="191" w:lineRule="exact"/>
              <w:rPr>
                <w:sz w:val="20"/>
                <w:szCs w:val="20"/>
                <w:color w:val="auto"/>
              </w:rPr>
            </w:pPr>
            <w:r>
              <w:rPr>
                <w:rFonts w:ascii="Arial" w:cs="Arial" w:eastAsia="Arial" w:hAnsi="Arial"/>
                <w:sz w:val="18"/>
                <w:szCs w:val="18"/>
                <w:color w:val="auto"/>
              </w:rPr>
              <w:t>&lt; Target</w:t>
            </w:r>
          </w:p>
        </w:tc>
        <w:tc>
          <w:tcPr>
            <w:tcW w:w="100" w:type="dxa"/>
            <w:vAlign w:val="bottom"/>
          </w:tcPr>
          <w:p>
            <w:pPr>
              <w:spacing w:after="0"/>
              <w:rPr>
                <w:sz w:val="16"/>
                <w:szCs w:val="16"/>
                <w:color w:val="auto"/>
              </w:rPr>
            </w:pPr>
          </w:p>
        </w:tc>
        <w:tc>
          <w:tcPr>
            <w:tcW w:w="200" w:type="dxa"/>
            <w:vAlign w:val="bottom"/>
            <w:tcBorders>
              <w:right w:val="single" w:sz="8" w:color="53C072"/>
            </w:tcBorders>
          </w:tcPr>
          <w:p>
            <w:pPr>
              <w:ind w:left="140"/>
              <w:spacing w:after="0" w:line="191" w:lineRule="exact"/>
              <w:rPr>
                <w:sz w:val="20"/>
                <w:szCs w:val="20"/>
                <w:color w:val="auto"/>
              </w:rPr>
            </w:pPr>
            <w:r>
              <w:rPr>
                <w:rFonts w:ascii="Arial" w:cs="Arial" w:eastAsia="Arial" w:hAnsi="Arial"/>
                <w:sz w:val="18"/>
                <w:szCs w:val="18"/>
                <w:color w:val="auto"/>
              </w:rPr>
              <w:t>​</w:t>
            </w:r>
          </w:p>
        </w:tc>
        <w:tc>
          <w:tcPr>
            <w:tcW w:w="140" w:type="dxa"/>
            <w:vAlign w:val="bottom"/>
          </w:tcPr>
          <w:p>
            <w:pPr>
              <w:ind w:left="40"/>
              <w:spacing w:after="0" w:line="191" w:lineRule="exact"/>
              <w:rPr>
                <w:sz w:val="20"/>
                <w:szCs w:val="20"/>
                <w:color w:val="auto"/>
              </w:rPr>
            </w:pPr>
            <w:r>
              <w:rPr>
                <w:rFonts w:ascii="Arial" w:cs="Arial" w:eastAsia="Arial" w:hAnsi="Arial"/>
                <w:sz w:val="18"/>
                <w:szCs w:val="18"/>
                <w:color w:val="auto"/>
              </w:rPr>
              <w:t>​</w:t>
            </w:r>
          </w:p>
        </w:tc>
        <w:tc>
          <w:tcPr>
            <w:tcW w:w="1740" w:type="dxa"/>
            <w:vAlign w:val="bottom"/>
          </w:tcPr>
          <w:p>
            <w:pPr>
              <w:jc w:val="center"/>
              <w:ind w:left="13"/>
              <w:spacing w:after="0" w:line="191" w:lineRule="exact"/>
              <w:rPr>
                <w:sz w:val="20"/>
                <w:szCs w:val="20"/>
                <w:color w:val="auto"/>
              </w:rPr>
            </w:pPr>
            <w:r>
              <w:rPr>
                <w:rFonts w:ascii="Arial" w:cs="Arial" w:eastAsia="Arial" w:hAnsi="Arial"/>
                <w:sz w:val="18"/>
                <w:szCs w:val="18"/>
                <w:color w:val="auto"/>
                <w:w w:val="99"/>
              </w:rPr>
              <w:t>1% change = 1%</w:t>
            </w:r>
          </w:p>
        </w:tc>
        <w:tc>
          <w:tcPr>
            <w:tcW w:w="80" w:type="dxa"/>
            <w:vAlign w:val="bottom"/>
          </w:tcPr>
          <w:p>
            <w:pPr>
              <w:spacing w:after="0"/>
              <w:rPr>
                <w:sz w:val="16"/>
                <w:szCs w:val="16"/>
                <w:color w:val="auto"/>
              </w:rPr>
            </w:pPr>
          </w:p>
        </w:tc>
        <w:tc>
          <w:tcPr>
            <w:tcW w:w="180" w:type="dxa"/>
            <w:vAlign w:val="bottom"/>
            <w:tcBorders>
              <w:right w:val="single" w:sz="8" w:color="53C072"/>
            </w:tcBorders>
          </w:tcPr>
          <w:p>
            <w:pPr>
              <w:ind w:left="120"/>
              <w:spacing w:after="0" w:line="191" w:lineRule="exact"/>
              <w:rPr>
                <w:sz w:val="20"/>
                <w:szCs w:val="20"/>
                <w:color w:val="auto"/>
              </w:rPr>
            </w:pPr>
            <w:r>
              <w:rPr>
                <w:rFonts w:ascii="Arial" w:cs="Arial" w:eastAsia="Arial" w:hAnsi="Arial"/>
                <w:sz w:val="18"/>
                <w:szCs w:val="18"/>
                <w:color w:val="auto"/>
              </w:rPr>
              <w:t>​</w:t>
            </w:r>
          </w:p>
        </w:tc>
        <w:tc>
          <w:tcPr>
            <w:tcW w:w="1700" w:type="dxa"/>
            <w:vAlign w:val="bottom"/>
            <w:tcBorders>
              <w:right w:val="single" w:sz="8" w:color="53C072"/>
            </w:tcBorders>
            <w:gridSpan w:val="3"/>
          </w:tcPr>
          <w:p>
            <w:pPr>
              <w:jc w:val="right"/>
              <w:spacing w:after="0" w:line="191" w:lineRule="exact"/>
              <w:rPr>
                <w:sz w:val="20"/>
                <w:szCs w:val="20"/>
                <w:color w:val="auto"/>
              </w:rPr>
            </w:pPr>
            <w:r>
              <w:rPr>
                <w:rFonts w:ascii="Arial" w:cs="Arial" w:eastAsia="Arial" w:hAnsi="Arial"/>
                <w:sz w:val="18"/>
                <w:szCs w:val="18"/>
                <w:color w:val="auto"/>
              </w:rPr>
              <w:t>​10.79% — 13.46% ​</w:t>
            </w:r>
          </w:p>
        </w:tc>
        <w:tc>
          <w:tcPr>
            <w:tcW w:w="260" w:type="dxa"/>
            <w:vAlign w:val="bottom"/>
          </w:tcPr>
          <w:p>
            <w:pPr>
              <w:jc w:val="right"/>
              <w:ind w:right="70"/>
              <w:spacing w:after="0" w:line="191" w:lineRule="exact"/>
              <w:rPr>
                <w:sz w:val="20"/>
                <w:szCs w:val="20"/>
                <w:color w:val="auto"/>
              </w:rPr>
            </w:pPr>
            <w:r>
              <w:rPr>
                <w:rFonts w:ascii="Arial" w:cs="Arial" w:eastAsia="Arial" w:hAnsi="Arial"/>
                <w:sz w:val="18"/>
                <w:szCs w:val="18"/>
                <w:color w:val="auto"/>
              </w:rPr>
              <w:t>​</w:t>
            </w:r>
          </w:p>
        </w:tc>
        <w:tc>
          <w:tcPr>
            <w:tcW w:w="2940" w:type="dxa"/>
            <w:vAlign w:val="bottom"/>
            <w:tcBorders>
              <w:right w:val="single" w:sz="8" w:color="53C072"/>
            </w:tcBorders>
          </w:tcPr>
          <w:p>
            <w:pPr>
              <w:jc w:val="center"/>
              <w:ind w:right="152"/>
              <w:spacing w:after="0" w:line="191" w:lineRule="exact"/>
              <w:rPr>
                <w:sz w:val="20"/>
                <w:szCs w:val="20"/>
                <w:color w:val="auto"/>
              </w:rPr>
            </w:pPr>
            <w:r>
              <w:rPr>
                <w:rFonts w:ascii="Arial" w:cs="Arial" w:eastAsia="Arial" w:hAnsi="Arial"/>
                <w:sz w:val="18"/>
                <w:szCs w:val="18"/>
                <w:color w:val="auto"/>
                <w:w w:val="98"/>
              </w:rPr>
              <w:t>3% decrease in payout per 1%</w:t>
            </w:r>
          </w:p>
        </w:tc>
      </w:tr>
      <w:tr>
        <w:trPr>
          <w:trHeight w:val="235"/>
        </w:trPr>
        <w:tc>
          <w:tcPr>
            <w:tcW w:w="40" w:type="dxa"/>
            <w:vAlign w:val="bottom"/>
            <w:tcBorders>
              <w:left w:val="single" w:sz="8" w:color="53C072"/>
            </w:tcBorders>
          </w:tcPr>
          <w:p>
            <w:pPr>
              <w:spacing w:after="0"/>
              <w:rPr>
                <w:sz w:val="20"/>
                <w:szCs w:val="20"/>
                <w:color w:val="auto"/>
              </w:rPr>
            </w:pPr>
          </w:p>
        </w:tc>
        <w:tc>
          <w:tcPr>
            <w:tcW w:w="200" w:type="dxa"/>
            <w:vAlign w:val="bottom"/>
            <w:tcBorders>
              <w:bottom w:val="single" w:sz="8" w:color="53C072"/>
            </w:tcBorders>
          </w:tcPr>
          <w:p>
            <w:pPr>
              <w:spacing w:after="0"/>
              <w:rPr>
                <w:sz w:val="20"/>
                <w:szCs w:val="20"/>
                <w:color w:val="auto"/>
              </w:rPr>
            </w:pPr>
          </w:p>
        </w:tc>
        <w:tc>
          <w:tcPr>
            <w:tcW w:w="1180" w:type="dxa"/>
            <w:vAlign w:val="bottom"/>
            <w:tcBorders>
              <w:bottom w:val="single" w:sz="8" w:color="53C072"/>
            </w:tcBorders>
          </w:tcPr>
          <w:p>
            <w:pPr>
              <w:spacing w:after="0"/>
              <w:rPr>
                <w:sz w:val="20"/>
                <w:szCs w:val="20"/>
                <w:color w:val="auto"/>
              </w:rPr>
            </w:pPr>
          </w:p>
        </w:tc>
        <w:tc>
          <w:tcPr>
            <w:tcW w:w="100" w:type="dxa"/>
            <w:vAlign w:val="bottom"/>
            <w:tcBorders>
              <w:bottom w:val="single" w:sz="8" w:color="53C072"/>
            </w:tcBorders>
          </w:tcPr>
          <w:p>
            <w:pPr>
              <w:spacing w:after="0"/>
              <w:rPr>
                <w:sz w:val="20"/>
                <w:szCs w:val="20"/>
                <w:color w:val="auto"/>
              </w:rPr>
            </w:pPr>
          </w:p>
        </w:tc>
        <w:tc>
          <w:tcPr>
            <w:tcW w:w="200" w:type="dxa"/>
            <w:vAlign w:val="bottom"/>
            <w:tcBorders>
              <w:bottom w:val="single" w:sz="8" w:color="53C072"/>
              <w:right w:val="single" w:sz="8" w:color="53C072"/>
            </w:tcBorders>
          </w:tcPr>
          <w:p>
            <w:pPr>
              <w:spacing w:after="0"/>
              <w:rPr>
                <w:sz w:val="20"/>
                <w:szCs w:val="20"/>
                <w:color w:val="auto"/>
              </w:rPr>
            </w:pPr>
          </w:p>
        </w:tc>
        <w:tc>
          <w:tcPr>
            <w:tcW w:w="140" w:type="dxa"/>
            <w:vAlign w:val="bottom"/>
            <w:tcBorders>
              <w:bottom w:val="single" w:sz="8" w:color="53C072"/>
            </w:tcBorders>
          </w:tcPr>
          <w:p>
            <w:pPr>
              <w:spacing w:after="0"/>
              <w:rPr>
                <w:sz w:val="20"/>
                <w:szCs w:val="20"/>
                <w:color w:val="auto"/>
              </w:rPr>
            </w:pPr>
          </w:p>
        </w:tc>
        <w:tc>
          <w:tcPr>
            <w:tcW w:w="1740" w:type="dxa"/>
            <w:vAlign w:val="bottom"/>
            <w:tcBorders>
              <w:bottom w:val="single" w:sz="8" w:color="53C072"/>
            </w:tcBorders>
          </w:tcPr>
          <w:p>
            <w:pPr>
              <w:jc w:val="center"/>
              <w:ind w:left="13"/>
              <w:spacing w:after="0"/>
              <w:rPr>
                <w:sz w:val="20"/>
                <w:szCs w:val="20"/>
                <w:color w:val="auto"/>
              </w:rPr>
            </w:pPr>
            <w:r>
              <w:rPr>
                <w:rFonts w:ascii="Arial" w:cs="Arial" w:eastAsia="Arial" w:hAnsi="Arial"/>
                <w:sz w:val="18"/>
                <w:szCs w:val="18"/>
                <w:color w:val="auto"/>
                <w:w w:val="98"/>
              </w:rPr>
              <w:t>change in attainment</w:t>
            </w:r>
          </w:p>
        </w:tc>
        <w:tc>
          <w:tcPr>
            <w:tcW w:w="80" w:type="dxa"/>
            <w:vAlign w:val="bottom"/>
            <w:tcBorders>
              <w:bottom w:val="single" w:sz="8" w:color="53C072"/>
            </w:tcBorders>
          </w:tcPr>
          <w:p>
            <w:pPr>
              <w:spacing w:after="0"/>
              <w:rPr>
                <w:sz w:val="20"/>
                <w:szCs w:val="20"/>
                <w:color w:val="auto"/>
              </w:rPr>
            </w:pPr>
          </w:p>
        </w:tc>
        <w:tc>
          <w:tcPr>
            <w:tcW w:w="180" w:type="dxa"/>
            <w:vAlign w:val="bottom"/>
            <w:tcBorders>
              <w:bottom w:val="single" w:sz="8" w:color="53C072"/>
              <w:right w:val="single" w:sz="8" w:color="53C072"/>
            </w:tcBorders>
          </w:tcPr>
          <w:p>
            <w:pPr>
              <w:spacing w:after="0"/>
              <w:rPr>
                <w:sz w:val="20"/>
                <w:szCs w:val="20"/>
                <w:color w:val="auto"/>
              </w:rPr>
            </w:pPr>
          </w:p>
        </w:tc>
        <w:tc>
          <w:tcPr>
            <w:tcW w:w="100" w:type="dxa"/>
            <w:vAlign w:val="bottom"/>
            <w:tcBorders>
              <w:bottom w:val="single" w:sz="8" w:color="53C072"/>
            </w:tcBorders>
          </w:tcPr>
          <w:p>
            <w:pPr>
              <w:spacing w:after="0"/>
              <w:rPr>
                <w:sz w:val="20"/>
                <w:szCs w:val="20"/>
                <w:color w:val="auto"/>
              </w:rPr>
            </w:pPr>
          </w:p>
        </w:tc>
        <w:tc>
          <w:tcPr>
            <w:tcW w:w="1460" w:type="dxa"/>
            <w:vAlign w:val="bottom"/>
            <w:tcBorders>
              <w:bottom w:val="single" w:sz="8" w:color="53C072"/>
            </w:tcBorders>
          </w:tcPr>
          <w:p>
            <w:pPr>
              <w:spacing w:after="0"/>
              <w:rPr>
                <w:sz w:val="20"/>
                <w:szCs w:val="20"/>
                <w:color w:val="auto"/>
              </w:rPr>
            </w:pPr>
          </w:p>
        </w:tc>
        <w:tc>
          <w:tcPr>
            <w:tcW w:w="140" w:type="dxa"/>
            <w:vAlign w:val="bottom"/>
            <w:tcBorders>
              <w:bottom w:val="single" w:sz="8" w:color="53C072"/>
              <w:right w:val="single" w:sz="8" w:color="53C072"/>
            </w:tcBorders>
          </w:tcPr>
          <w:p>
            <w:pPr>
              <w:spacing w:after="0"/>
              <w:rPr>
                <w:sz w:val="20"/>
                <w:szCs w:val="20"/>
                <w:color w:val="auto"/>
              </w:rPr>
            </w:pPr>
          </w:p>
        </w:tc>
        <w:tc>
          <w:tcPr>
            <w:tcW w:w="260" w:type="dxa"/>
            <w:vAlign w:val="bottom"/>
            <w:tcBorders>
              <w:bottom w:val="single" w:sz="8" w:color="53C072"/>
            </w:tcBorders>
          </w:tcPr>
          <w:p>
            <w:pPr>
              <w:spacing w:after="0"/>
              <w:rPr>
                <w:sz w:val="20"/>
                <w:szCs w:val="20"/>
                <w:color w:val="auto"/>
              </w:rPr>
            </w:pPr>
          </w:p>
        </w:tc>
        <w:tc>
          <w:tcPr>
            <w:tcW w:w="2940" w:type="dxa"/>
            <w:vAlign w:val="bottom"/>
            <w:tcBorders>
              <w:bottom w:val="single" w:sz="8" w:color="53C072"/>
              <w:right w:val="single" w:sz="8" w:color="53C072"/>
            </w:tcBorders>
          </w:tcPr>
          <w:p>
            <w:pPr>
              <w:jc w:val="center"/>
              <w:ind w:right="152"/>
              <w:spacing w:after="0"/>
              <w:rPr>
                <w:sz w:val="20"/>
                <w:szCs w:val="20"/>
                <w:color w:val="auto"/>
              </w:rPr>
            </w:pPr>
            <w:r>
              <w:rPr>
                <w:rFonts w:ascii="Arial" w:cs="Arial" w:eastAsia="Arial" w:hAnsi="Arial"/>
                <w:sz w:val="18"/>
                <w:szCs w:val="18"/>
                <w:color w:val="auto"/>
                <w:w w:val="97"/>
              </w:rPr>
              <w:t>decrease in attainment</w:t>
            </w:r>
          </w:p>
        </w:tc>
      </w:tr>
      <w:tr>
        <w:trPr>
          <w:trHeight w:val="223"/>
        </w:trPr>
        <w:tc>
          <w:tcPr>
            <w:tcW w:w="40" w:type="dxa"/>
            <w:vAlign w:val="bottom"/>
            <w:tcBorders>
              <w:left w:val="single" w:sz="8" w:color="53C072"/>
              <w:bottom w:val="single" w:sz="8" w:color="53C072"/>
            </w:tcBorders>
          </w:tcPr>
          <w:p>
            <w:pPr>
              <w:spacing w:after="0"/>
              <w:rPr>
                <w:sz w:val="19"/>
                <w:szCs w:val="19"/>
                <w:color w:val="auto"/>
              </w:rPr>
            </w:pPr>
          </w:p>
        </w:tc>
        <w:tc>
          <w:tcPr>
            <w:tcW w:w="200" w:type="dxa"/>
            <w:vAlign w:val="bottom"/>
            <w:tcBorders>
              <w:bottom w:val="single" w:sz="8" w:color="53C072"/>
            </w:tcBorders>
          </w:tcPr>
          <w:p>
            <w:pPr>
              <w:spacing w:after="0"/>
              <w:rPr>
                <w:sz w:val="19"/>
                <w:szCs w:val="19"/>
                <w:color w:val="auto"/>
              </w:rPr>
            </w:pPr>
          </w:p>
        </w:tc>
        <w:tc>
          <w:tcPr>
            <w:tcW w:w="1180" w:type="dxa"/>
            <w:vAlign w:val="bottom"/>
            <w:tcBorders>
              <w:bottom w:val="single" w:sz="8" w:color="53C072"/>
            </w:tcBorders>
          </w:tcPr>
          <w:p>
            <w:pPr>
              <w:ind w:left="20"/>
              <w:spacing w:after="0"/>
              <w:rPr>
                <w:sz w:val="20"/>
                <w:szCs w:val="20"/>
                <w:color w:val="auto"/>
              </w:rPr>
            </w:pPr>
            <w:r>
              <w:rPr>
                <w:rFonts w:ascii="Arial" w:cs="Arial" w:eastAsia="Arial" w:hAnsi="Arial"/>
                <w:sz w:val="18"/>
                <w:szCs w:val="18"/>
                <w:color w:val="auto"/>
              </w:rPr>
              <w:t>Threshold</w:t>
            </w:r>
          </w:p>
        </w:tc>
        <w:tc>
          <w:tcPr>
            <w:tcW w:w="100" w:type="dxa"/>
            <w:vAlign w:val="bottom"/>
            <w:tcBorders>
              <w:bottom w:val="single" w:sz="8" w:color="53C072"/>
            </w:tcBorders>
          </w:tcPr>
          <w:p>
            <w:pPr>
              <w:spacing w:after="0"/>
              <w:rPr>
                <w:sz w:val="19"/>
                <w:szCs w:val="19"/>
                <w:color w:val="auto"/>
              </w:rPr>
            </w:pPr>
          </w:p>
        </w:tc>
        <w:tc>
          <w:tcPr>
            <w:tcW w:w="200" w:type="dxa"/>
            <w:vAlign w:val="bottom"/>
            <w:tcBorders>
              <w:bottom w:val="single" w:sz="8" w:color="53C072"/>
              <w:right w:val="single" w:sz="8" w:color="53C072"/>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53C072"/>
            </w:tcBorders>
          </w:tcPr>
          <w:p>
            <w:pPr>
              <w:jc w:val="center"/>
              <w:ind w:left="13"/>
              <w:spacing w:after="0"/>
              <w:rPr>
                <w:sz w:val="20"/>
                <w:szCs w:val="20"/>
                <w:color w:val="auto"/>
              </w:rPr>
            </w:pPr>
            <w:r>
              <w:rPr>
                <w:rFonts w:ascii="Arial" w:cs="Arial" w:eastAsia="Arial" w:hAnsi="Arial"/>
                <w:sz w:val="18"/>
                <w:szCs w:val="18"/>
                <w:color w:val="auto"/>
              </w:rPr>
              <w:t>80.0%</w:t>
            </w:r>
          </w:p>
        </w:tc>
        <w:tc>
          <w:tcPr>
            <w:tcW w:w="80" w:type="dxa"/>
            <w:vAlign w:val="bottom"/>
            <w:tcBorders>
              <w:bottom w:val="single" w:sz="8" w:color="53C072"/>
            </w:tcBorders>
          </w:tcPr>
          <w:p>
            <w:pPr>
              <w:spacing w:after="0"/>
              <w:rPr>
                <w:sz w:val="19"/>
                <w:szCs w:val="19"/>
                <w:color w:val="auto"/>
              </w:rPr>
            </w:pPr>
          </w:p>
        </w:tc>
        <w:tc>
          <w:tcPr>
            <w:tcW w:w="180" w:type="dxa"/>
            <w:vAlign w:val="bottom"/>
            <w:tcBorders>
              <w:bottom w:val="single" w:sz="8" w:color="53C072"/>
              <w:right w:val="single" w:sz="8" w:color="53C072"/>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53C072"/>
            </w:tcBorders>
          </w:tcPr>
          <w:p>
            <w:pPr>
              <w:ind w:left="440"/>
              <w:spacing w:after="0"/>
              <w:rPr>
                <w:sz w:val="20"/>
                <w:szCs w:val="20"/>
                <w:color w:val="auto"/>
              </w:rPr>
            </w:pPr>
            <w:r>
              <w:rPr>
                <w:rFonts w:ascii="Arial" w:cs="Arial" w:eastAsia="Arial" w:hAnsi="Arial"/>
                <w:sz w:val="18"/>
                <w:szCs w:val="18"/>
                <w:color w:val="auto"/>
              </w:rPr>
              <w:t>10.78%</w:t>
            </w:r>
          </w:p>
        </w:tc>
        <w:tc>
          <w:tcPr>
            <w:tcW w:w="140" w:type="dxa"/>
            <w:vAlign w:val="bottom"/>
            <w:tcBorders>
              <w:bottom w:val="single" w:sz="8" w:color="53C072"/>
              <w:right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53C072"/>
            </w:tcBorders>
          </w:tcPr>
          <w:p>
            <w:pPr>
              <w:jc w:val="right"/>
              <w:ind w:right="7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53C072"/>
              <w:right w:val="single" w:sz="8" w:color="53C072"/>
            </w:tcBorders>
          </w:tcPr>
          <w:p>
            <w:pPr>
              <w:jc w:val="center"/>
              <w:ind w:right="132"/>
              <w:spacing w:after="0"/>
              <w:rPr>
                <w:sz w:val="20"/>
                <w:szCs w:val="20"/>
                <w:color w:val="auto"/>
              </w:rPr>
            </w:pPr>
            <w:r>
              <w:rPr>
                <w:rFonts w:ascii="Arial" w:cs="Arial" w:eastAsia="Arial" w:hAnsi="Arial"/>
                <w:sz w:val="18"/>
                <w:szCs w:val="18"/>
                <w:color w:val="auto"/>
                <w:w w:val="99"/>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-1087755</wp:posOffset>
            </wp:positionV>
            <wp:extent cx="44659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465955" cy="889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-1250950</wp:posOffset>
            </wp:positionV>
            <wp:extent cx="55289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28945" cy="8255"/>
                    </a:xfrm>
                    <a:prstGeom prst="rect">
                      <a:avLst/>
                    </a:prstGeom>
                    <a:noFill/>
                  </pic:spPr>
                </pic:pic>
              </a:graphicData>
            </a:graphic>
          </wp:anchor>
        </w:drawing>
      </w:r>
    </w:p>
    <w:p>
      <w:pPr>
        <w:spacing w:after="0" w:line="293"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1"/>
        </w:trPr>
        <w:tc>
          <w:tcPr>
            <w:tcW w:w="3820" w:type="dxa"/>
            <w:vAlign w:val="bottom"/>
            <w:gridSpan w:val="2"/>
          </w:tcPr>
          <w:p>
            <w:pPr>
              <w:spacing w:after="0"/>
              <w:rPr>
                <w:sz w:val="20"/>
                <w:szCs w:val="20"/>
                <w:color w:val="auto"/>
              </w:rPr>
            </w:pPr>
            <w:r>
              <w:rPr>
                <w:rFonts w:ascii="Calibri" w:cs="Calibri" w:eastAsia="Calibri" w:hAnsi="Calibri"/>
                <w:sz w:val="14"/>
                <w:szCs w:val="14"/>
                <w:color w:val="003366"/>
              </w:rPr>
              <w:t>TABLE OF CONTENTS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551"/>
        </w:trPr>
        <w:tc>
          <w:tcPr>
            <w:tcW w:w="100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ind w:left="220"/>
              <w:spacing w:after="0"/>
              <w:rPr>
                <w:sz w:val="20"/>
                <w:szCs w:val="20"/>
                <w:color w:val="auto"/>
              </w:rPr>
            </w:pPr>
            <w:r>
              <w:rPr>
                <w:rFonts w:ascii="Arial" w:cs="Arial" w:eastAsia="Arial" w:hAnsi="Arial"/>
                <w:sz w:val="14"/>
                <w:szCs w:val="14"/>
                <w:color w:val="auto"/>
                <w:w w:val="99"/>
              </w:rPr>
              <w:t>Compensation Discussion and Analysis</w:t>
            </w:r>
          </w:p>
        </w:tc>
      </w:tr>
      <w:tr>
        <w:trPr>
          <w:trHeight w:val="196"/>
        </w:trPr>
        <w:tc>
          <w:tcPr>
            <w:tcW w:w="100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4"/>
                <w:szCs w:val="14"/>
                <w:b w:val="1"/>
                <w:bCs w:val="1"/>
                <w:color w:val="auto"/>
              </w:rPr>
              <w:t>PROXY STATEMENT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488"/>
        </w:trPr>
        <w:tc>
          <w:tcPr>
            <w:tcW w:w="1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61"/>
        </w:trPr>
        <w:tc>
          <w:tcPr>
            <w:tcW w:w="1000" w:type="dxa"/>
            <w:vAlign w:val="bottom"/>
            <w:tcBorders>
              <w:right w:val="single" w:sz="8" w:color="53C072"/>
            </w:tcBorders>
          </w:tcPr>
          <w:p>
            <w:pPr>
              <w:spacing w:after="0"/>
              <w:rPr>
                <w:sz w:val="22"/>
                <w:szCs w:val="22"/>
                <w:color w:val="auto"/>
              </w:rPr>
            </w:pPr>
          </w:p>
        </w:tc>
        <w:tc>
          <w:tcPr>
            <w:tcW w:w="2820" w:type="dxa"/>
            <w:vAlign w:val="bottom"/>
            <w:shd w:val="clear" w:color="auto" w:fill="53C072"/>
          </w:tcPr>
          <w:p>
            <w:pPr>
              <w:spacing w:after="0"/>
              <w:rPr>
                <w:sz w:val="22"/>
                <w:szCs w:val="22"/>
                <w:color w:val="auto"/>
              </w:rPr>
            </w:pPr>
          </w:p>
        </w:tc>
        <w:tc>
          <w:tcPr>
            <w:tcW w:w="100" w:type="dxa"/>
            <w:vAlign w:val="bottom"/>
            <w:tcBorders>
              <w:right w:val="single" w:sz="8" w:color="53C072"/>
            </w:tcBorders>
            <w:shd w:val="clear" w:color="auto" w:fill="53C072"/>
          </w:tcPr>
          <w:p>
            <w:pPr>
              <w:spacing w:after="0"/>
              <w:rPr>
                <w:sz w:val="22"/>
                <w:szCs w:val="22"/>
                <w:color w:val="auto"/>
              </w:rPr>
            </w:pPr>
          </w:p>
        </w:tc>
        <w:tc>
          <w:tcPr>
            <w:tcW w:w="320" w:type="dxa"/>
            <w:vAlign w:val="bottom"/>
            <w:shd w:val="clear" w:color="auto" w:fill="53C072"/>
          </w:tcPr>
          <w:p>
            <w:pPr>
              <w:spacing w:after="0"/>
              <w:rPr>
                <w:sz w:val="22"/>
                <w:szCs w:val="22"/>
                <w:color w:val="auto"/>
              </w:rPr>
            </w:pPr>
          </w:p>
        </w:tc>
        <w:tc>
          <w:tcPr>
            <w:tcW w:w="234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Fiscal 2025</w:t>
            </w:r>
          </w:p>
        </w:tc>
        <w:tc>
          <w:tcPr>
            <w:tcW w:w="280" w:type="dxa"/>
            <w:vAlign w:val="bottom"/>
            <w:tcBorders>
              <w:right w:val="single" w:sz="8" w:color="53C072"/>
            </w:tcBorders>
            <w:shd w:val="clear" w:color="auto" w:fill="53C072"/>
          </w:tcPr>
          <w:p>
            <w:pPr>
              <w:spacing w:after="0"/>
              <w:rPr>
                <w:sz w:val="22"/>
                <w:szCs w:val="22"/>
                <w:color w:val="auto"/>
              </w:rPr>
            </w:pPr>
          </w:p>
        </w:tc>
        <w:tc>
          <w:tcPr>
            <w:tcW w:w="180" w:type="dxa"/>
            <w:vAlign w:val="bottom"/>
            <w:shd w:val="clear" w:color="auto" w:fill="53C072"/>
          </w:tcPr>
          <w:p>
            <w:pPr>
              <w:spacing w:after="0"/>
              <w:rPr>
                <w:sz w:val="22"/>
                <w:szCs w:val="22"/>
                <w:color w:val="auto"/>
              </w:rPr>
            </w:pPr>
          </w:p>
        </w:tc>
        <w:tc>
          <w:tcPr>
            <w:tcW w:w="2700" w:type="dxa"/>
            <w:vAlign w:val="bottom"/>
            <w:tcBorders>
              <w:right w:val="single" w:sz="8" w:color="53C072"/>
            </w:tcBorders>
            <w:shd w:val="clear" w:color="auto" w:fill="53C072"/>
          </w:tcPr>
          <w:p>
            <w:pPr>
              <w:spacing w:after="0"/>
              <w:rPr>
                <w:sz w:val="22"/>
                <w:szCs w:val="22"/>
                <w:color w:val="auto"/>
              </w:rPr>
            </w:pPr>
          </w:p>
        </w:tc>
      </w:tr>
      <w:tr>
        <w:trPr>
          <w:trHeight w:val="162"/>
        </w:trPr>
        <w:tc>
          <w:tcPr>
            <w:tcW w:w="1000" w:type="dxa"/>
            <w:vAlign w:val="bottom"/>
            <w:tcBorders>
              <w:right w:val="single" w:sz="8" w:color="53C072"/>
            </w:tcBorders>
          </w:tcPr>
          <w:p>
            <w:pPr>
              <w:spacing w:after="0"/>
              <w:rPr>
                <w:sz w:val="14"/>
                <w:szCs w:val="14"/>
                <w:color w:val="auto"/>
              </w:rPr>
            </w:pPr>
          </w:p>
        </w:tc>
        <w:tc>
          <w:tcPr>
            <w:tcW w:w="2820" w:type="dxa"/>
            <w:vAlign w:val="bottom"/>
            <w:shd w:val="clear" w:color="auto" w:fill="53C072"/>
          </w:tcPr>
          <w:p>
            <w:pPr>
              <w:spacing w:after="0"/>
              <w:rPr>
                <w:sz w:val="14"/>
                <w:szCs w:val="14"/>
                <w:color w:val="auto"/>
              </w:rPr>
            </w:pPr>
          </w:p>
        </w:tc>
        <w:tc>
          <w:tcPr>
            <w:tcW w:w="100" w:type="dxa"/>
            <w:vAlign w:val="bottom"/>
            <w:tcBorders>
              <w:right w:val="single" w:sz="8" w:color="53C072"/>
            </w:tcBorders>
            <w:shd w:val="clear" w:color="auto" w:fill="53C072"/>
          </w:tcPr>
          <w:p>
            <w:pPr>
              <w:spacing w:after="0"/>
              <w:rPr>
                <w:sz w:val="14"/>
                <w:szCs w:val="14"/>
                <w:color w:val="auto"/>
              </w:rPr>
            </w:pPr>
          </w:p>
        </w:tc>
        <w:tc>
          <w:tcPr>
            <w:tcW w:w="320" w:type="dxa"/>
            <w:vAlign w:val="bottom"/>
            <w:shd w:val="clear" w:color="auto" w:fill="53C072"/>
          </w:tcPr>
          <w:p>
            <w:pPr>
              <w:spacing w:after="0"/>
              <w:rPr>
                <w:sz w:val="14"/>
                <w:szCs w:val="14"/>
                <w:color w:val="auto"/>
              </w:rPr>
            </w:pPr>
          </w:p>
        </w:tc>
        <w:tc>
          <w:tcPr>
            <w:tcW w:w="234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Relative Market Share Goals</w:t>
            </w:r>
          </w:p>
        </w:tc>
        <w:tc>
          <w:tcPr>
            <w:tcW w:w="280" w:type="dxa"/>
            <w:vAlign w:val="bottom"/>
            <w:tcBorders>
              <w:right w:val="single" w:sz="8" w:color="53C072"/>
            </w:tcBorders>
            <w:shd w:val="clear" w:color="auto" w:fill="53C072"/>
          </w:tcPr>
          <w:p>
            <w:pPr>
              <w:spacing w:after="0"/>
              <w:rPr>
                <w:sz w:val="14"/>
                <w:szCs w:val="14"/>
                <w:color w:val="auto"/>
              </w:rPr>
            </w:pPr>
          </w:p>
        </w:tc>
        <w:tc>
          <w:tcPr>
            <w:tcW w:w="180" w:type="dxa"/>
            <w:vAlign w:val="bottom"/>
            <w:shd w:val="clear" w:color="auto" w:fill="53C072"/>
          </w:tcPr>
          <w:p>
            <w:pPr>
              <w:spacing w:after="0"/>
              <w:rPr>
                <w:sz w:val="14"/>
                <w:szCs w:val="14"/>
                <w:color w:val="auto"/>
              </w:rPr>
            </w:pPr>
          </w:p>
        </w:tc>
        <w:tc>
          <w:tcPr>
            <w:tcW w:w="2700" w:type="dxa"/>
            <w:vAlign w:val="bottom"/>
            <w:tcBorders>
              <w:right w:val="single" w:sz="8" w:color="53C072"/>
            </w:tcBorders>
            <w:shd w:val="clear" w:color="auto" w:fill="53C072"/>
          </w:tcPr>
          <w:p>
            <w:pPr>
              <w:spacing w:after="0"/>
              <w:rPr>
                <w:sz w:val="14"/>
                <w:szCs w:val="14"/>
                <w:color w:val="auto"/>
              </w:rPr>
            </w:pPr>
          </w:p>
        </w:tc>
      </w:tr>
      <w:tr>
        <w:trPr>
          <w:trHeight w:val="196"/>
        </w:trPr>
        <w:tc>
          <w:tcPr>
            <w:tcW w:w="1000" w:type="dxa"/>
            <w:vAlign w:val="bottom"/>
            <w:tcBorders>
              <w:right w:val="single" w:sz="8" w:color="53C072"/>
            </w:tcBorders>
          </w:tcPr>
          <w:p>
            <w:pPr>
              <w:spacing w:after="0"/>
              <w:rPr>
                <w:sz w:val="17"/>
                <w:szCs w:val="17"/>
                <w:color w:val="auto"/>
              </w:rPr>
            </w:pPr>
          </w:p>
        </w:tc>
        <w:tc>
          <w:tcPr>
            <w:tcW w:w="2820" w:type="dxa"/>
            <w:vAlign w:val="bottom"/>
            <w:shd w:val="clear" w:color="auto" w:fill="53C072"/>
          </w:tcPr>
          <w:p>
            <w:pPr>
              <w:spacing w:after="0"/>
              <w:rPr>
                <w:sz w:val="17"/>
                <w:szCs w:val="17"/>
                <w:color w:val="auto"/>
              </w:rPr>
            </w:pPr>
          </w:p>
        </w:tc>
        <w:tc>
          <w:tcPr>
            <w:tcW w:w="100" w:type="dxa"/>
            <w:vAlign w:val="bottom"/>
            <w:tcBorders>
              <w:right w:val="single" w:sz="8" w:color="53C072"/>
            </w:tcBorders>
            <w:shd w:val="clear" w:color="auto" w:fill="53C072"/>
          </w:tcPr>
          <w:p>
            <w:pPr>
              <w:spacing w:after="0"/>
              <w:rPr>
                <w:sz w:val="17"/>
                <w:szCs w:val="17"/>
                <w:color w:val="auto"/>
              </w:rPr>
            </w:pPr>
          </w:p>
        </w:tc>
        <w:tc>
          <w:tcPr>
            <w:tcW w:w="320" w:type="dxa"/>
            <w:vAlign w:val="bottom"/>
            <w:shd w:val="clear" w:color="auto" w:fill="53C072"/>
          </w:tcPr>
          <w:p>
            <w:pPr>
              <w:spacing w:after="0"/>
              <w:rPr>
                <w:sz w:val="17"/>
                <w:szCs w:val="17"/>
                <w:color w:val="auto"/>
              </w:rPr>
            </w:pPr>
          </w:p>
        </w:tc>
        <w:tc>
          <w:tcPr>
            <w:tcW w:w="234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20% Weighting</w:t>
            </w:r>
          </w:p>
        </w:tc>
        <w:tc>
          <w:tcPr>
            <w:tcW w:w="280" w:type="dxa"/>
            <w:vAlign w:val="bottom"/>
            <w:tcBorders>
              <w:right w:val="single" w:sz="8" w:color="53C072"/>
            </w:tcBorders>
            <w:shd w:val="clear" w:color="auto" w:fill="53C072"/>
          </w:tcPr>
          <w:p>
            <w:pPr>
              <w:spacing w:after="0"/>
              <w:rPr>
                <w:sz w:val="17"/>
                <w:szCs w:val="17"/>
                <w:color w:val="auto"/>
              </w:rPr>
            </w:pPr>
          </w:p>
        </w:tc>
        <w:tc>
          <w:tcPr>
            <w:tcW w:w="180" w:type="dxa"/>
            <w:vAlign w:val="bottom"/>
            <w:shd w:val="clear" w:color="auto" w:fill="53C072"/>
          </w:tcPr>
          <w:p>
            <w:pPr>
              <w:spacing w:after="0"/>
              <w:rPr>
                <w:sz w:val="17"/>
                <w:szCs w:val="17"/>
                <w:color w:val="auto"/>
              </w:rPr>
            </w:pPr>
          </w:p>
        </w:tc>
        <w:tc>
          <w:tcPr>
            <w:tcW w:w="2700" w:type="dxa"/>
            <w:vAlign w:val="bottom"/>
            <w:tcBorders>
              <w:right w:val="single" w:sz="8" w:color="53C072"/>
            </w:tcBorders>
            <w:shd w:val="clear" w:color="auto" w:fill="53C072"/>
          </w:tcPr>
          <w:p>
            <w:pPr>
              <w:spacing w:after="0"/>
              <w:rPr>
                <w:sz w:val="17"/>
                <w:szCs w:val="17"/>
                <w:color w:val="auto"/>
              </w:rPr>
            </w:pPr>
          </w:p>
        </w:tc>
      </w:tr>
      <w:tr>
        <w:trPr>
          <w:trHeight w:val="209"/>
        </w:trPr>
        <w:tc>
          <w:tcPr>
            <w:tcW w:w="1000" w:type="dxa"/>
            <w:vAlign w:val="bottom"/>
            <w:tcBorders>
              <w:right w:val="single" w:sz="8" w:color="53C072"/>
            </w:tcBorders>
          </w:tcPr>
          <w:p>
            <w:pPr>
              <w:spacing w:after="0"/>
              <w:rPr>
                <w:sz w:val="18"/>
                <w:szCs w:val="18"/>
                <w:color w:val="auto"/>
              </w:rPr>
            </w:pPr>
          </w:p>
        </w:tc>
        <w:tc>
          <w:tcPr>
            <w:tcW w:w="2820" w:type="dxa"/>
            <w:vAlign w:val="bottom"/>
            <w:shd w:val="clear" w:color="auto" w:fill="53C072"/>
          </w:tcPr>
          <w:p>
            <w:pPr>
              <w:spacing w:after="0"/>
              <w:rPr>
                <w:sz w:val="18"/>
                <w:szCs w:val="18"/>
                <w:color w:val="auto"/>
              </w:rPr>
            </w:pPr>
          </w:p>
        </w:tc>
        <w:tc>
          <w:tcPr>
            <w:tcW w:w="100" w:type="dxa"/>
            <w:vAlign w:val="bottom"/>
            <w:tcBorders>
              <w:right w:val="single" w:sz="8" w:color="53C072"/>
            </w:tcBorders>
            <w:shd w:val="clear" w:color="auto" w:fill="53C072"/>
          </w:tcPr>
          <w:p>
            <w:pPr>
              <w:spacing w:after="0"/>
              <w:rPr>
                <w:sz w:val="18"/>
                <w:szCs w:val="18"/>
                <w:color w:val="auto"/>
              </w:rPr>
            </w:pPr>
          </w:p>
        </w:tc>
        <w:tc>
          <w:tcPr>
            <w:tcW w:w="320" w:type="dxa"/>
            <w:vAlign w:val="bottom"/>
            <w:shd w:val="clear" w:color="auto" w:fill="53C072"/>
          </w:tcPr>
          <w:p>
            <w:pPr>
              <w:spacing w:after="0"/>
              <w:rPr>
                <w:sz w:val="18"/>
                <w:szCs w:val="18"/>
                <w:color w:val="auto"/>
              </w:rPr>
            </w:pPr>
          </w:p>
        </w:tc>
        <w:tc>
          <w:tcPr>
            <w:tcW w:w="2340" w:type="dxa"/>
            <w:vAlign w:val="bottom"/>
            <w:shd w:val="clear" w:color="auto" w:fill="53C072"/>
          </w:tcPr>
          <w:p>
            <w:pPr>
              <w:jc w:val="center"/>
              <w:ind w:right="40"/>
              <w:spacing w:after="0"/>
              <w:rPr>
                <w:sz w:val="20"/>
                <w:szCs w:val="20"/>
                <w:color w:val="auto"/>
              </w:rPr>
            </w:pPr>
            <w:r>
              <w:rPr>
                <w:rFonts w:ascii="Arial" w:cs="Arial" w:eastAsia="Arial" w:hAnsi="Arial"/>
                <w:sz w:val="14"/>
                <w:szCs w:val="14"/>
                <w:b w:val="1"/>
                <w:bCs w:val="1"/>
                <w:color w:val="FEFEFE"/>
              </w:rPr>
              <w:t>Market Share</w:t>
            </w:r>
          </w:p>
        </w:tc>
        <w:tc>
          <w:tcPr>
            <w:tcW w:w="280" w:type="dxa"/>
            <w:vAlign w:val="bottom"/>
            <w:tcBorders>
              <w:right w:val="single" w:sz="8" w:color="53C072"/>
            </w:tcBorders>
            <w:shd w:val="clear" w:color="auto" w:fill="53C072"/>
          </w:tcPr>
          <w:p>
            <w:pPr>
              <w:spacing w:after="0"/>
              <w:rPr>
                <w:sz w:val="18"/>
                <w:szCs w:val="18"/>
                <w:color w:val="auto"/>
              </w:rPr>
            </w:pPr>
          </w:p>
        </w:tc>
        <w:tc>
          <w:tcPr>
            <w:tcW w:w="180" w:type="dxa"/>
            <w:vAlign w:val="bottom"/>
            <w:shd w:val="clear" w:color="auto" w:fill="53C072"/>
          </w:tcPr>
          <w:p>
            <w:pPr>
              <w:spacing w:after="0"/>
              <w:rPr>
                <w:sz w:val="18"/>
                <w:szCs w:val="18"/>
                <w:color w:val="auto"/>
              </w:rPr>
            </w:pPr>
          </w:p>
        </w:tc>
        <w:tc>
          <w:tcPr>
            <w:tcW w:w="2700" w:type="dxa"/>
            <w:vAlign w:val="bottom"/>
            <w:tcBorders>
              <w:right w:val="single" w:sz="8" w:color="53C072"/>
            </w:tcBorders>
            <w:shd w:val="clear" w:color="auto" w:fill="53C072"/>
          </w:tcPr>
          <w:p>
            <w:pPr>
              <w:spacing w:after="0"/>
              <w:rPr>
                <w:sz w:val="18"/>
                <w:szCs w:val="18"/>
                <w:color w:val="auto"/>
              </w:rPr>
            </w:pPr>
          </w:p>
        </w:tc>
      </w:tr>
      <w:tr>
        <w:trPr>
          <w:trHeight w:val="162"/>
        </w:trPr>
        <w:tc>
          <w:tcPr>
            <w:tcW w:w="1000" w:type="dxa"/>
            <w:vAlign w:val="bottom"/>
            <w:tcBorders>
              <w:right w:val="single" w:sz="8" w:color="53C072"/>
            </w:tcBorders>
          </w:tcPr>
          <w:p>
            <w:pPr>
              <w:spacing w:after="0"/>
              <w:rPr>
                <w:sz w:val="14"/>
                <w:szCs w:val="14"/>
                <w:color w:val="auto"/>
              </w:rPr>
            </w:pPr>
          </w:p>
        </w:tc>
        <w:tc>
          <w:tcPr>
            <w:tcW w:w="2820" w:type="dxa"/>
            <w:vAlign w:val="bottom"/>
            <w:shd w:val="clear" w:color="auto" w:fill="53C072"/>
          </w:tcPr>
          <w:p>
            <w:pPr>
              <w:spacing w:after="0"/>
              <w:rPr>
                <w:sz w:val="14"/>
                <w:szCs w:val="14"/>
                <w:color w:val="auto"/>
              </w:rPr>
            </w:pPr>
          </w:p>
        </w:tc>
        <w:tc>
          <w:tcPr>
            <w:tcW w:w="100" w:type="dxa"/>
            <w:vAlign w:val="bottom"/>
            <w:tcBorders>
              <w:right w:val="single" w:sz="8" w:color="53C072"/>
            </w:tcBorders>
            <w:shd w:val="clear" w:color="auto" w:fill="53C072"/>
          </w:tcPr>
          <w:p>
            <w:pPr>
              <w:spacing w:after="0"/>
              <w:rPr>
                <w:sz w:val="14"/>
                <w:szCs w:val="14"/>
                <w:color w:val="auto"/>
              </w:rPr>
            </w:pPr>
          </w:p>
        </w:tc>
        <w:tc>
          <w:tcPr>
            <w:tcW w:w="320" w:type="dxa"/>
            <w:vAlign w:val="bottom"/>
            <w:shd w:val="clear" w:color="auto" w:fill="53C072"/>
          </w:tcPr>
          <w:p>
            <w:pPr>
              <w:spacing w:after="0"/>
              <w:rPr>
                <w:sz w:val="14"/>
                <w:szCs w:val="14"/>
                <w:color w:val="auto"/>
              </w:rPr>
            </w:pPr>
          </w:p>
        </w:tc>
        <w:tc>
          <w:tcPr>
            <w:tcW w:w="2340" w:type="dxa"/>
            <w:vAlign w:val="bottom"/>
            <w:shd w:val="clear" w:color="auto" w:fill="53C072"/>
          </w:tcPr>
          <w:p>
            <w:pPr>
              <w:ind w:left="660"/>
              <w:spacing w:after="0"/>
              <w:rPr>
                <w:sz w:val="20"/>
                <w:szCs w:val="20"/>
                <w:color w:val="auto"/>
              </w:rPr>
            </w:pPr>
            <w:r>
              <w:rPr>
                <w:rFonts w:ascii="Arial" w:cs="Arial" w:eastAsia="Arial" w:hAnsi="Arial"/>
                <w:sz w:val="14"/>
                <w:szCs w:val="14"/>
                <w:b w:val="1"/>
                <w:bCs w:val="1"/>
                <w:color w:val="FEFEFE"/>
              </w:rPr>
              <w:t>Improvement/​</w:t>
            </w:r>
          </w:p>
        </w:tc>
        <w:tc>
          <w:tcPr>
            <w:tcW w:w="280" w:type="dxa"/>
            <w:vAlign w:val="bottom"/>
            <w:tcBorders>
              <w:right w:val="single" w:sz="8" w:color="53C072"/>
            </w:tcBorders>
            <w:shd w:val="clear" w:color="auto" w:fill="53C072"/>
          </w:tcPr>
          <w:p>
            <w:pPr>
              <w:spacing w:after="0"/>
              <w:rPr>
                <w:sz w:val="14"/>
                <w:szCs w:val="14"/>
                <w:color w:val="auto"/>
              </w:rPr>
            </w:pPr>
          </w:p>
        </w:tc>
        <w:tc>
          <w:tcPr>
            <w:tcW w:w="180" w:type="dxa"/>
            <w:vAlign w:val="bottom"/>
            <w:shd w:val="clear" w:color="auto" w:fill="53C072"/>
          </w:tcPr>
          <w:p>
            <w:pPr>
              <w:spacing w:after="0"/>
              <w:rPr>
                <w:sz w:val="14"/>
                <w:szCs w:val="14"/>
                <w:color w:val="auto"/>
              </w:rPr>
            </w:pPr>
          </w:p>
        </w:tc>
        <w:tc>
          <w:tcPr>
            <w:tcW w:w="2700" w:type="dxa"/>
            <w:vAlign w:val="bottom"/>
            <w:tcBorders>
              <w:right w:val="single" w:sz="8" w:color="53C072"/>
            </w:tcBorders>
            <w:shd w:val="clear" w:color="auto" w:fill="53C072"/>
          </w:tcPr>
          <w:p>
            <w:pPr>
              <w:spacing w:after="0"/>
              <w:rPr>
                <w:sz w:val="14"/>
                <w:szCs w:val="14"/>
                <w:color w:val="auto"/>
              </w:rPr>
            </w:pPr>
          </w:p>
        </w:tc>
      </w:tr>
      <w:tr>
        <w:trPr>
          <w:trHeight w:val="198"/>
        </w:trPr>
        <w:tc>
          <w:tcPr>
            <w:tcW w:w="1000" w:type="dxa"/>
            <w:vAlign w:val="bottom"/>
            <w:tcBorders>
              <w:right w:val="single" w:sz="8" w:color="53C072"/>
            </w:tcBorders>
          </w:tcPr>
          <w:p>
            <w:pPr>
              <w:spacing w:after="0"/>
              <w:rPr>
                <w:sz w:val="17"/>
                <w:szCs w:val="17"/>
                <w:color w:val="auto"/>
              </w:rPr>
            </w:pPr>
          </w:p>
        </w:tc>
        <w:tc>
          <w:tcPr>
            <w:tcW w:w="2820" w:type="dxa"/>
            <w:vAlign w:val="bottom"/>
            <w:shd w:val="clear" w:color="auto" w:fill="53C072"/>
          </w:tcPr>
          <w:p>
            <w:pPr>
              <w:spacing w:after="0"/>
              <w:rPr>
                <w:sz w:val="17"/>
                <w:szCs w:val="17"/>
                <w:color w:val="auto"/>
              </w:rPr>
            </w:pPr>
          </w:p>
        </w:tc>
        <w:tc>
          <w:tcPr>
            <w:tcW w:w="420" w:type="dxa"/>
            <w:vAlign w:val="bottom"/>
            <w:gridSpan w:val="2"/>
            <w:shd w:val="clear" w:color="auto" w:fill="53C072"/>
          </w:tcPr>
          <w:p>
            <w:pPr>
              <w:ind w:left="40"/>
              <w:spacing w:after="0"/>
              <w:rPr>
                <w:sz w:val="20"/>
                <w:szCs w:val="20"/>
                <w:color w:val="auto"/>
              </w:rPr>
            </w:pPr>
            <w:r>
              <w:rPr>
                <w:rFonts w:ascii="Arial" w:cs="Arial" w:eastAsia="Arial" w:hAnsi="Arial"/>
                <w:sz w:val="14"/>
                <w:szCs w:val="14"/>
                <w:b w:val="1"/>
                <w:bCs w:val="1"/>
                <w:color w:val="FEFEFE"/>
              </w:rPr>
              <w:t>​ ​</w:t>
            </w:r>
          </w:p>
        </w:tc>
        <w:tc>
          <w:tcPr>
            <w:tcW w:w="234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(Decline)</w:t>
            </w:r>
          </w:p>
        </w:tc>
        <w:tc>
          <w:tcPr>
            <w:tcW w:w="460" w:type="dxa"/>
            <w:vAlign w:val="bottom"/>
            <w:gridSpan w:val="2"/>
            <w:shd w:val="clear" w:color="auto" w:fill="53C072"/>
          </w:tcPr>
          <w:p>
            <w:pPr>
              <w:ind w:left="200"/>
              <w:spacing w:after="0"/>
              <w:rPr>
                <w:sz w:val="20"/>
                <w:szCs w:val="20"/>
                <w:color w:val="auto"/>
              </w:rPr>
            </w:pPr>
            <w:r>
              <w:rPr>
                <w:rFonts w:ascii="Arial" w:cs="Arial" w:eastAsia="Arial" w:hAnsi="Arial"/>
                <w:sz w:val="14"/>
                <w:szCs w:val="14"/>
                <w:b w:val="1"/>
                <w:bCs w:val="1"/>
                <w:color w:val="FEFEFE"/>
              </w:rPr>
              <w:t>​ ​</w:t>
            </w:r>
          </w:p>
        </w:tc>
        <w:tc>
          <w:tcPr>
            <w:tcW w:w="2700" w:type="dxa"/>
            <w:vAlign w:val="bottom"/>
            <w:tcBorders>
              <w:right w:val="single" w:sz="8" w:color="53C072"/>
            </w:tcBorders>
            <w:shd w:val="clear" w:color="auto" w:fill="53C072"/>
          </w:tcPr>
          <w:p>
            <w:pPr>
              <w:jc w:val="center"/>
              <w:ind w:right="94"/>
              <w:spacing w:after="0"/>
              <w:rPr>
                <w:sz w:val="20"/>
                <w:szCs w:val="20"/>
                <w:color w:val="auto"/>
              </w:rPr>
            </w:pPr>
            <w:r>
              <w:rPr>
                <w:rFonts w:ascii="Arial" w:cs="Arial" w:eastAsia="Arial" w:hAnsi="Arial"/>
                <w:sz w:val="14"/>
                <w:szCs w:val="14"/>
                <w:b w:val="1"/>
                <w:bCs w:val="1"/>
                <w:color w:val="FEFEFE"/>
              </w:rPr>
              <w:t>% Payout</w:t>
            </w:r>
          </w:p>
        </w:tc>
      </w:tr>
      <w:tr>
        <w:trPr>
          <w:trHeight w:val="259"/>
        </w:trPr>
        <w:tc>
          <w:tcPr>
            <w:tcW w:w="1000" w:type="dxa"/>
            <w:vAlign w:val="bottom"/>
            <w:tcBorders>
              <w:right w:val="single" w:sz="8" w:color="53C072"/>
            </w:tcBorders>
          </w:tcPr>
          <w:p>
            <w:pPr>
              <w:spacing w:after="0"/>
              <w:rPr>
                <w:sz w:val="22"/>
                <w:szCs w:val="22"/>
                <w:color w:val="auto"/>
              </w:rPr>
            </w:pPr>
          </w:p>
        </w:tc>
        <w:tc>
          <w:tcPr>
            <w:tcW w:w="2820" w:type="dxa"/>
            <w:vAlign w:val="bottom"/>
            <w:tcBorders>
              <w:top w:val="single" w:sz="8" w:color="53C072"/>
              <w:bottom w:val="single" w:sz="8" w:color="53C072"/>
            </w:tcBorders>
          </w:tcPr>
          <w:p>
            <w:pPr>
              <w:ind w:left="220"/>
              <w:spacing w:after="0"/>
              <w:rPr>
                <w:sz w:val="20"/>
                <w:szCs w:val="20"/>
                <w:color w:val="auto"/>
              </w:rPr>
            </w:pPr>
            <w:r>
              <w:rPr>
                <w:rFonts w:ascii="Arial" w:cs="Arial" w:eastAsia="Arial" w:hAnsi="Arial"/>
                <w:sz w:val="18"/>
                <w:szCs w:val="18"/>
                <w:color w:val="auto"/>
              </w:rPr>
              <w:t>Maximum</w:t>
            </w:r>
          </w:p>
        </w:tc>
        <w:tc>
          <w:tcPr>
            <w:tcW w:w="100" w:type="dxa"/>
            <w:vAlign w:val="bottom"/>
            <w:tcBorders>
              <w:top w:val="single" w:sz="8" w:color="53C072"/>
              <w:bottom w:val="single" w:sz="8" w:color="53C072"/>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53C072"/>
            </w:tcBorders>
          </w:tcPr>
          <w:p>
            <w:pPr>
              <w:jc w:val="center"/>
              <w:spacing w:after="0"/>
              <w:rPr>
                <w:sz w:val="20"/>
                <w:szCs w:val="20"/>
                <w:color w:val="auto"/>
              </w:rPr>
            </w:pPr>
            <w:r>
              <w:rPr>
                <w:rFonts w:ascii="Arial" w:cs="Arial" w:eastAsia="Arial" w:hAnsi="Arial"/>
                <w:sz w:val="18"/>
                <w:szCs w:val="18"/>
                <w:color w:val="auto"/>
                <w:w w:val="99"/>
              </w:rPr>
              <w:t>300 bps</w:t>
            </w:r>
          </w:p>
        </w:tc>
        <w:tc>
          <w:tcPr>
            <w:tcW w:w="280" w:type="dxa"/>
            <w:vAlign w:val="bottom"/>
            <w:tcBorders>
              <w:bottom w:val="single" w:sz="8" w:color="53C072"/>
              <w:right w:val="single" w:sz="8" w:color="53C072"/>
            </w:tcBorders>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700" w:type="dxa"/>
            <w:vAlign w:val="bottom"/>
            <w:tcBorders>
              <w:bottom w:val="single" w:sz="8" w:color="53C072"/>
              <w:right w:val="single" w:sz="8" w:color="53C072"/>
            </w:tcBorders>
          </w:tcPr>
          <w:p>
            <w:pPr>
              <w:jc w:val="center"/>
              <w:ind w:right="74"/>
              <w:spacing w:after="0"/>
              <w:rPr>
                <w:sz w:val="20"/>
                <w:szCs w:val="20"/>
                <w:color w:val="auto"/>
              </w:rPr>
            </w:pPr>
            <w:r>
              <w:rPr>
                <w:rFonts w:ascii="Arial" w:cs="Arial" w:eastAsia="Arial" w:hAnsi="Arial"/>
                <w:sz w:val="18"/>
                <w:szCs w:val="18"/>
                <w:color w:val="auto"/>
                <w:w w:val="99"/>
              </w:rPr>
              <w:t>200%</w:t>
            </w:r>
          </w:p>
        </w:tc>
      </w:tr>
      <w:tr>
        <w:trPr>
          <w:trHeight w:val="222"/>
        </w:trPr>
        <w:tc>
          <w:tcPr>
            <w:tcW w:w="1000" w:type="dxa"/>
            <w:vAlign w:val="bottom"/>
            <w:tcBorders>
              <w:right w:val="single" w:sz="8" w:color="53C072"/>
            </w:tcBorders>
          </w:tcPr>
          <w:p>
            <w:pPr>
              <w:spacing w:after="0"/>
              <w:rPr>
                <w:sz w:val="19"/>
                <w:szCs w:val="19"/>
                <w:color w:val="auto"/>
              </w:rPr>
            </w:pPr>
          </w:p>
        </w:tc>
        <w:tc>
          <w:tcPr>
            <w:tcW w:w="2820" w:type="dxa"/>
            <w:vAlign w:val="bottom"/>
          </w:tcPr>
          <w:p>
            <w:pPr>
              <w:ind w:left="220"/>
              <w:spacing w:after="0"/>
              <w:rPr>
                <w:sz w:val="20"/>
                <w:szCs w:val="20"/>
                <w:color w:val="auto"/>
              </w:rPr>
            </w:pPr>
            <w:r>
              <w:rPr>
                <w:rFonts w:ascii="Arial" w:cs="Arial" w:eastAsia="Arial" w:hAnsi="Arial"/>
                <w:sz w:val="18"/>
                <w:szCs w:val="18"/>
                <w:color w:val="auto"/>
              </w:rPr>
              <w:t>&gt; Target</w:t>
            </w:r>
          </w:p>
        </w:tc>
        <w:tc>
          <w:tcPr>
            <w:tcW w:w="100" w:type="dxa"/>
            <w:vAlign w:val="bottom"/>
            <w:tcBorders>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340" w:type="dxa"/>
            <w:vAlign w:val="bottom"/>
          </w:tcPr>
          <w:p>
            <w:pPr>
              <w:jc w:val="center"/>
              <w:spacing w:after="0"/>
              <w:rPr>
                <w:sz w:val="20"/>
                <w:szCs w:val="20"/>
                <w:color w:val="auto"/>
              </w:rPr>
            </w:pPr>
            <w:r>
              <w:rPr>
                <w:rFonts w:ascii="Arial" w:cs="Arial" w:eastAsia="Arial" w:hAnsi="Arial"/>
                <w:sz w:val="18"/>
                <w:szCs w:val="18"/>
                <w:color w:val="auto"/>
                <w:w w:val="97"/>
              </w:rPr>
              <w:t>51-299 bps</w:t>
            </w:r>
          </w:p>
        </w:tc>
        <w:tc>
          <w:tcPr>
            <w:tcW w:w="280" w:type="dxa"/>
            <w:vAlign w:val="bottom"/>
            <w:tcBorders>
              <w:right w:val="single" w:sz="8" w:color="53C072"/>
            </w:tcBorders>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53C072"/>
            </w:tcBorders>
          </w:tcPr>
          <w:p>
            <w:pPr>
              <w:jc w:val="center"/>
              <w:ind w:right="74"/>
              <w:spacing w:after="0"/>
              <w:rPr>
                <w:sz w:val="20"/>
                <w:szCs w:val="20"/>
                <w:color w:val="auto"/>
              </w:rPr>
            </w:pPr>
            <w:r>
              <w:rPr>
                <w:rFonts w:ascii="Arial" w:cs="Arial" w:eastAsia="Arial" w:hAnsi="Arial"/>
                <w:sz w:val="18"/>
                <w:szCs w:val="18"/>
                <w:color w:val="auto"/>
                <w:w w:val="98"/>
              </w:rPr>
              <w:t>0.40% increase in payout per</w:t>
            </w:r>
          </w:p>
        </w:tc>
      </w:tr>
      <w:tr>
        <w:trPr>
          <w:trHeight w:val="239"/>
        </w:trPr>
        <w:tc>
          <w:tcPr>
            <w:tcW w:w="1000" w:type="dxa"/>
            <w:vAlign w:val="bottom"/>
            <w:tcBorders>
              <w:right w:val="single" w:sz="8" w:color="53C072"/>
            </w:tcBorders>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Borders>
              <w:right w:val="single" w:sz="8" w:color="53C072"/>
            </w:tcBorders>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0" w:type="dxa"/>
            <w:vAlign w:val="bottom"/>
            <w:tcBorders>
              <w:right w:val="single" w:sz="8" w:color="53C072"/>
            </w:tcBorders>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tcBorders>
              <w:right w:val="single" w:sz="8" w:color="53C072"/>
            </w:tcBorders>
          </w:tcPr>
          <w:p>
            <w:pPr>
              <w:jc w:val="center"/>
              <w:ind w:right="74"/>
              <w:spacing w:after="0"/>
              <w:rPr>
                <w:sz w:val="20"/>
                <w:szCs w:val="20"/>
                <w:color w:val="auto"/>
              </w:rPr>
            </w:pPr>
            <w:r>
              <w:rPr>
                <w:rFonts w:ascii="Arial" w:cs="Arial" w:eastAsia="Arial" w:hAnsi="Arial"/>
                <w:sz w:val="18"/>
                <w:szCs w:val="18"/>
                <w:color w:val="auto"/>
                <w:w w:val="98"/>
              </w:rPr>
              <w:t>increase in bps from target</w:t>
            </w:r>
          </w:p>
        </w:tc>
      </w:tr>
      <w:tr>
        <w:trPr>
          <w:trHeight w:val="23"/>
        </w:trPr>
        <w:tc>
          <w:tcPr>
            <w:tcW w:w="1000" w:type="dxa"/>
            <w:vAlign w:val="bottom"/>
            <w:tcBorders>
              <w:right w:val="single" w:sz="8" w:color="53C072"/>
            </w:tcBorders>
          </w:tcPr>
          <w:p>
            <w:pPr>
              <w:spacing w:after="0"/>
              <w:rPr>
                <w:sz w:val="2"/>
                <w:szCs w:val="2"/>
                <w:color w:val="auto"/>
              </w:rPr>
            </w:pPr>
          </w:p>
        </w:tc>
        <w:tc>
          <w:tcPr>
            <w:tcW w:w="2820" w:type="dxa"/>
            <w:vAlign w:val="bottom"/>
            <w:tcBorders>
              <w:bottom w:val="single" w:sz="8" w:color="53C072"/>
            </w:tcBorders>
          </w:tcPr>
          <w:p>
            <w:pPr>
              <w:spacing w:after="0"/>
              <w:rPr>
                <w:sz w:val="2"/>
                <w:szCs w:val="2"/>
                <w:color w:val="auto"/>
              </w:rPr>
            </w:pPr>
          </w:p>
        </w:tc>
        <w:tc>
          <w:tcPr>
            <w:tcW w:w="100" w:type="dxa"/>
            <w:vAlign w:val="bottom"/>
            <w:tcBorders>
              <w:bottom w:val="single" w:sz="8" w:color="53C072"/>
              <w:right w:val="single" w:sz="8" w:color="53C072"/>
            </w:tcBorders>
          </w:tcPr>
          <w:p>
            <w:pPr>
              <w:spacing w:after="0"/>
              <w:rPr>
                <w:sz w:val="2"/>
                <w:szCs w:val="2"/>
                <w:color w:val="auto"/>
              </w:rPr>
            </w:pPr>
          </w:p>
        </w:tc>
        <w:tc>
          <w:tcPr>
            <w:tcW w:w="320" w:type="dxa"/>
            <w:vAlign w:val="bottom"/>
            <w:tcBorders>
              <w:bottom w:val="single" w:sz="8" w:color="53C072"/>
            </w:tcBorders>
          </w:tcPr>
          <w:p>
            <w:pPr>
              <w:spacing w:after="0"/>
              <w:rPr>
                <w:sz w:val="2"/>
                <w:szCs w:val="2"/>
                <w:color w:val="auto"/>
              </w:rPr>
            </w:pPr>
          </w:p>
        </w:tc>
        <w:tc>
          <w:tcPr>
            <w:tcW w:w="2340" w:type="dxa"/>
            <w:vAlign w:val="bottom"/>
            <w:tcBorders>
              <w:bottom w:val="single" w:sz="8" w:color="53C072"/>
            </w:tcBorders>
          </w:tcPr>
          <w:p>
            <w:pPr>
              <w:spacing w:after="0"/>
              <w:rPr>
                <w:sz w:val="2"/>
                <w:szCs w:val="2"/>
                <w:color w:val="auto"/>
              </w:rPr>
            </w:pPr>
          </w:p>
        </w:tc>
        <w:tc>
          <w:tcPr>
            <w:tcW w:w="280" w:type="dxa"/>
            <w:vAlign w:val="bottom"/>
            <w:tcBorders>
              <w:bottom w:val="single" w:sz="8" w:color="53C072"/>
              <w:right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2700" w:type="dxa"/>
            <w:vAlign w:val="bottom"/>
            <w:tcBorders>
              <w:bottom w:val="single" w:sz="8" w:color="53C072"/>
              <w:right w:val="single" w:sz="8" w:color="53C072"/>
            </w:tcBorders>
          </w:tcPr>
          <w:p>
            <w:pPr>
              <w:spacing w:after="0"/>
              <w:rPr>
                <w:sz w:val="2"/>
                <w:szCs w:val="2"/>
                <w:color w:val="auto"/>
              </w:rPr>
            </w:pPr>
          </w:p>
        </w:tc>
      </w:tr>
      <w:tr>
        <w:trPr>
          <w:trHeight w:val="263"/>
        </w:trPr>
        <w:tc>
          <w:tcPr>
            <w:tcW w:w="1000" w:type="dxa"/>
            <w:vAlign w:val="bottom"/>
            <w:tcBorders>
              <w:right w:val="single" w:sz="8" w:color="53C072"/>
            </w:tcBorders>
          </w:tcPr>
          <w:p>
            <w:pPr>
              <w:spacing w:after="0"/>
              <w:rPr>
                <w:sz w:val="22"/>
                <w:szCs w:val="22"/>
                <w:color w:val="auto"/>
              </w:rPr>
            </w:pPr>
          </w:p>
        </w:tc>
        <w:tc>
          <w:tcPr>
            <w:tcW w:w="2820" w:type="dxa"/>
            <w:vAlign w:val="bottom"/>
            <w:tcBorders>
              <w:bottom w:val="single" w:sz="8" w:color="53C072"/>
            </w:tcBorders>
            <w:shd w:val="clear" w:color="auto" w:fill="CBECD5"/>
          </w:tcPr>
          <w:p>
            <w:pPr>
              <w:ind w:left="220"/>
              <w:spacing w:after="0"/>
              <w:rPr>
                <w:sz w:val="20"/>
                <w:szCs w:val="20"/>
                <w:color w:val="auto"/>
              </w:rPr>
            </w:pPr>
            <w:r>
              <w:rPr>
                <w:rFonts w:ascii="Arial" w:cs="Arial" w:eastAsia="Arial" w:hAnsi="Arial"/>
                <w:sz w:val="18"/>
                <w:szCs w:val="18"/>
                <w:b w:val="1"/>
                <w:bCs w:val="1"/>
                <w:color w:val="auto"/>
              </w:rPr>
              <w:t>Target</w:t>
            </w:r>
          </w:p>
        </w:tc>
        <w:tc>
          <w:tcPr>
            <w:tcW w:w="100" w:type="dxa"/>
            <w:vAlign w:val="bottom"/>
            <w:tcBorders>
              <w:bottom w:val="single" w:sz="8" w:color="53C072"/>
              <w:right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2340" w:type="dxa"/>
            <w:vAlign w:val="bottom"/>
            <w:tcBorders>
              <w:bottom w:val="single" w:sz="8" w:color="53C072"/>
            </w:tcBorders>
            <w:shd w:val="clear" w:color="auto" w:fill="CBECD5"/>
          </w:tcPr>
          <w:p>
            <w:pPr>
              <w:jc w:val="center"/>
              <w:spacing w:after="0"/>
              <w:rPr>
                <w:sz w:val="20"/>
                <w:szCs w:val="20"/>
                <w:color w:val="auto"/>
              </w:rPr>
            </w:pPr>
            <w:r>
              <w:rPr>
                <w:rFonts w:ascii="Arial" w:cs="Arial" w:eastAsia="Arial" w:hAnsi="Arial"/>
                <w:sz w:val="18"/>
                <w:szCs w:val="18"/>
                <w:b w:val="1"/>
                <w:bCs w:val="1"/>
                <w:color w:val="auto"/>
                <w:w w:val="98"/>
              </w:rPr>
              <w:t>50 basis points</w:t>
            </w:r>
          </w:p>
        </w:tc>
        <w:tc>
          <w:tcPr>
            <w:tcW w:w="280" w:type="dxa"/>
            <w:vAlign w:val="bottom"/>
            <w:tcBorders>
              <w:bottom w:val="single" w:sz="8" w:color="53C072"/>
              <w:right w:val="single" w:sz="8" w:color="53C072"/>
            </w:tcBorders>
            <w:shd w:val="clear" w:color="auto" w:fill="CBECD5"/>
          </w:tcPr>
          <w:p>
            <w:pPr>
              <w:ind w:lef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2700" w:type="dxa"/>
            <w:vAlign w:val="bottom"/>
            <w:tcBorders>
              <w:bottom w:val="single" w:sz="8" w:color="53C072"/>
              <w:right w:val="single" w:sz="8" w:color="53C072"/>
            </w:tcBorders>
            <w:shd w:val="clear" w:color="auto" w:fill="CBECD5"/>
          </w:tcPr>
          <w:p>
            <w:pPr>
              <w:jc w:val="center"/>
              <w:ind w:right="94"/>
              <w:spacing w:after="0"/>
              <w:rPr>
                <w:sz w:val="20"/>
                <w:szCs w:val="20"/>
                <w:color w:val="auto"/>
              </w:rPr>
            </w:pPr>
            <w:r>
              <w:rPr>
                <w:rFonts w:ascii="Arial" w:cs="Arial" w:eastAsia="Arial" w:hAnsi="Arial"/>
                <w:sz w:val="18"/>
                <w:szCs w:val="18"/>
                <w:b w:val="1"/>
                <w:bCs w:val="1"/>
                <w:color w:val="auto"/>
                <w:w w:val="98"/>
              </w:rPr>
              <w:t>100.0%</w:t>
            </w:r>
          </w:p>
        </w:tc>
      </w:tr>
      <w:tr>
        <w:trPr>
          <w:trHeight w:val="218"/>
        </w:trPr>
        <w:tc>
          <w:tcPr>
            <w:tcW w:w="1000" w:type="dxa"/>
            <w:vAlign w:val="bottom"/>
            <w:tcBorders>
              <w:right w:val="single" w:sz="8" w:color="53C072"/>
            </w:tcBorders>
          </w:tcPr>
          <w:p>
            <w:pPr>
              <w:spacing w:after="0"/>
              <w:rPr>
                <w:sz w:val="18"/>
                <w:szCs w:val="18"/>
                <w:color w:val="auto"/>
              </w:rPr>
            </w:pPr>
          </w:p>
        </w:tc>
        <w:tc>
          <w:tcPr>
            <w:tcW w:w="2820" w:type="dxa"/>
            <w:vAlign w:val="bottom"/>
          </w:tcPr>
          <w:p>
            <w:pPr>
              <w:ind w:left="220"/>
              <w:spacing w:after="0"/>
              <w:rPr>
                <w:sz w:val="20"/>
                <w:szCs w:val="20"/>
                <w:color w:val="auto"/>
              </w:rPr>
            </w:pPr>
            <w:r>
              <w:rPr>
                <w:rFonts w:ascii="Arial" w:cs="Arial" w:eastAsia="Arial" w:hAnsi="Arial"/>
                <w:sz w:val="18"/>
                <w:szCs w:val="18"/>
                <w:color w:val="auto"/>
              </w:rPr>
              <w:t>&lt; Target</w:t>
            </w:r>
          </w:p>
        </w:tc>
        <w:tc>
          <w:tcPr>
            <w:tcW w:w="100" w:type="dxa"/>
            <w:vAlign w:val="bottom"/>
            <w:tcBorders>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340" w:type="dxa"/>
            <w:vAlign w:val="bottom"/>
          </w:tcPr>
          <w:p>
            <w:pPr>
              <w:jc w:val="center"/>
              <w:spacing w:after="0"/>
              <w:rPr>
                <w:sz w:val="20"/>
                <w:szCs w:val="20"/>
                <w:color w:val="auto"/>
              </w:rPr>
            </w:pPr>
            <w:r>
              <w:rPr>
                <w:rFonts w:ascii="Arial" w:cs="Arial" w:eastAsia="Arial" w:hAnsi="Arial"/>
                <w:sz w:val="18"/>
                <w:szCs w:val="18"/>
                <w:color w:val="auto"/>
                <w:w w:val="97"/>
              </w:rPr>
              <w:t>(269)-49 bps</w:t>
            </w:r>
          </w:p>
        </w:tc>
        <w:tc>
          <w:tcPr>
            <w:tcW w:w="280" w:type="dxa"/>
            <w:vAlign w:val="bottom"/>
            <w:tcBorders>
              <w:right w:val="single" w:sz="8" w:color="53C072"/>
            </w:tcBorders>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53C072"/>
            </w:tcBorders>
          </w:tcPr>
          <w:p>
            <w:pPr>
              <w:jc w:val="center"/>
              <w:ind w:right="74"/>
              <w:spacing w:after="0"/>
              <w:rPr>
                <w:sz w:val="20"/>
                <w:szCs w:val="20"/>
                <w:color w:val="auto"/>
              </w:rPr>
            </w:pPr>
            <w:r>
              <w:rPr>
                <w:rFonts w:ascii="Arial" w:cs="Arial" w:eastAsia="Arial" w:hAnsi="Arial"/>
                <w:sz w:val="18"/>
                <w:szCs w:val="18"/>
                <w:color w:val="auto"/>
                <w:w w:val="97"/>
              </w:rPr>
              <w:t>0.19% decrease in payout per</w:t>
            </w:r>
          </w:p>
        </w:tc>
      </w:tr>
      <w:tr>
        <w:trPr>
          <w:trHeight w:val="239"/>
        </w:trPr>
        <w:tc>
          <w:tcPr>
            <w:tcW w:w="1000" w:type="dxa"/>
            <w:vAlign w:val="bottom"/>
            <w:tcBorders>
              <w:right w:val="single" w:sz="8" w:color="53C072"/>
            </w:tcBorders>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Borders>
              <w:right w:val="single" w:sz="8" w:color="53C072"/>
            </w:tcBorders>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0" w:type="dxa"/>
            <w:vAlign w:val="bottom"/>
            <w:tcBorders>
              <w:right w:val="single" w:sz="8" w:color="53C072"/>
            </w:tcBorders>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tcBorders>
              <w:right w:val="single" w:sz="8" w:color="53C072"/>
            </w:tcBorders>
          </w:tcPr>
          <w:p>
            <w:pPr>
              <w:jc w:val="center"/>
              <w:ind w:right="74"/>
              <w:spacing w:after="0"/>
              <w:rPr>
                <w:sz w:val="20"/>
                <w:szCs w:val="20"/>
                <w:color w:val="auto"/>
              </w:rPr>
            </w:pPr>
            <w:r>
              <w:rPr>
                <w:rFonts w:ascii="Arial" w:cs="Arial" w:eastAsia="Arial" w:hAnsi="Arial"/>
                <w:sz w:val="18"/>
                <w:szCs w:val="18"/>
                <w:color w:val="auto"/>
                <w:w w:val="97"/>
              </w:rPr>
              <w:t>decrease in bps from target</w:t>
            </w:r>
          </w:p>
        </w:tc>
      </w:tr>
      <w:tr>
        <w:trPr>
          <w:trHeight w:val="23"/>
        </w:trPr>
        <w:tc>
          <w:tcPr>
            <w:tcW w:w="1000" w:type="dxa"/>
            <w:vAlign w:val="bottom"/>
            <w:tcBorders>
              <w:right w:val="single" w:sz="8" w:color="53C072"/>
            </w:tcBorders>
          </w:tcPr>
          <w:p>
            <w:pPr>
              <w:spacing w:after="0"/>
              <w:rPr>
                <w:sz w:val="2"/>
                <w:szCs w:val="2"/>
                <w:color w:val="auto"/>
              </w:rPr>
            </w:pPr>
          </w:p>
        </w:tc>
        <w:tc>
          <w:tcPr>
            <w:tcW w:w="2820" w:type="dxa"/>
            <w:vAlign w:val="bottom"/>
            <w:tcBorders>
              <w:bottom w:val="single" w:sz="8" w:color="53C072"/>
            </w:tcBorders>
          </w:tcPr>
          <w:p>
            <w:pPr>
              <w:spacing w:after="0"/>
              <w:rPr>
                <w:sz w:val="2"/>
                <w:szCs w:val="2"/>
                <w:color w:val="auto"/>
              </w:rPr>
            </w:pPr>
          </w:p>
        </w:tc>
        <w:tc>
          <w:tcPr>
            <w:tcW w:w="100" w:type="dxa"/>
            <w:vAlign w:val="bottom"/>
            <w:tcBorders>
              <w:bottom w:val="single" w:sz="8" w:color="53C072"/>
              <w:right w:val="single" w:sz="8" w:color="53C072"/>
            </w:tcBorders>
          </w:tcPr>
          <w:p>
            <w:pPr>
              <w:spacing w:after="0"/>
              <w:rPr>
                <w:sz w:val="2"/>
                <w:szCs w:val="2"/>
                <w:color w:val="auto"/>
              </w:rPr>
            </w:pPr>
          </w:p>
        </w:tc>
        <w:tc>
          <w:tcPr>
            <w:tcW w:w="320" w:type="dxa"/>
            <w:vAlign w:val="bottom"/>
            <w:tcBorders>
              <w:bottom w:val="single" w:sz="8" w:color="53C072"/>
            </w:tcBorders>
          </w:tcPr>
          <w:p>
            <w:pPr>
              <w:spacing w:after="0"/>
              <w:rPr>
                <w:sz w:val="2"/>
                <w:szCs w:val="2"/>
                <w:color w:val="auto"/>
              </w:rPr>
            </w:pPr>
          </w:p>
        </w:tc>
        <w:tc>
          <w:tcPr>
            <w:tcW w:w="2340" w:type="dxa"/>
            <w:vAlign w:val="bottom"/>
            <w:tcBorders>
              <w:bottom w:val="single" w:sz="8" w:color="53C072"/>
            </w:tcBorders>
          </w:tcPr>
          <w:p>
            <w:pPr>
              <w:spacing w:after="0"/>
              <w:rPr>
                <w:sz w:val="2"/>
                <w:szCs w:val="2"/>
                <w:color w:val="auto"/>
              </w:rPr>
            </w:pPr>
          </w:p>
        </w:tc>
        <w:tc>
          <w:tcPr>
            <w:tcW w:w="280" w:type="dxa"/>
            <w:vAlign w:val="bottom"/>
            <w:tcBorders>
              <w:bottom w:val="single" w:sz="8" w:color="53C072"/>
              <w:right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2700" w:type="dxa"/>
            <w:vAlign w:val="bottom"/>
            <w:tcBorders>
              <w:bottom w:val="single" w:sz="8" w:color="53C072"/>
              <w:right w:val="single" w:sz="8" w:color="53C072"/>
            </w:tcBorders>
          </w:tcPr>
          <w:p>
            <w:pPr>
              <w:spacing w:after="0"/>
              <w:rPr>
                <w:sz w:val="2"/>
                <w:szCs w:val="2"/>
                <w:color w:val="auto"/>
              </w:rPr>
            </w:pPr>
          </w:p>
        </w:tc>
      </w:tr>
      <w:tr>
        <w:trPr>
          <w:trHeight w:val="250"/>
        </w:trPr>
        <w:tc>
          <w:tcPr>
            <w:tcW w:w="1000" w:type="dxa"/>
            <w:vAlign w:val="bottom"/>
            <w:tcBorders>
              <w:right w:val="single" w:sz="8" w:color="53C072"/>
            </w:tcBorders>
          </w:tcPr>
          <w:p>
            <w:pPr>
              <w:spacing w:after="0"/>
              <w:rPr>
                <w:sz w:val="21"/>
                <w:szCs w:val="21"/>
                <w:color w:val="auto"/>
              </w:rPr>
            </w:pPr>
          </w:p>
        </w:tc>
        <w:tc>
          <w:tcPr>
            <w:tcW w:w="2820" w:type="dxa"/>
            <w:vAlign w:val="bottom"/>
            <w:tcBorders>
              <w:bottom w:val="single" w:sz="8" w:color="53C072"/>
            </w:tcBorders>
          </w:tcPr>
          <w:p>
            <w:pPr>
              <w:ind w:left="220"/>
              <w:spacing w:after="0"/>
              <w:rPr>
                <w:sz w:val="20"/>
                <w:szCs w:val="20"/>
                <w:color w:val="auto"/>
              </w:rPr>
            </w:pPr>
            <w:r>
              <w:rPr>
                <w:rFonts w:ascii="Arial" w:cs="Arial" w:eastAsia="Arial" w:hAnsi="Arial"/>
                <w:sz w:val="18"/>
                <w:szCs w:val="18"/>
                <w:color w:val="auto"/>
              </w:rPr>
              <w:t>Threshold</w:t>
            </w:r>
          </w:p>
        </w:tc>
        <w:tc>
          <w:tcPr>
            <w:tcW w:w="100" w:type="dxa"/>
            <w:vAlign w:val="bottom"/>
            <w:tcBorders>
              <w:bottom w:val="single" w:sz="8" w:color="53C072"/>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53C072"/>
            </w:tcBorders>
          </w:tcPr>
          <w:p>
            <w:pPr>
              <w:jc w:val="center"/>
              <w:spacing w:after="0"/>
              <w:rPr>
                <w:sz w:val="20"/>
                <w:szCs w:val="20"/>
                <w:color w:val="auto"/>
              </w:rPr>
            </w:pPr>
            <w:r>
              <w:rPr>
                <w:rFonts w:ascii="Arial" w:cs="Arial" w:eastAsia="Arial" w:hAnsi="Arial"/>
                <w:sz w:val="18"/>
                <w:szCs w:val="18"/>
                <w:color w:val="auto"/>
                <w:w w:val="99"/>
              </w:rPr>
              <w:t>(270) bps</w:t>
            </w:r>
          </w:p>
        </w:tc>
        <w:tc>
          <w:tcPr>
            <w:tcW w:w="280" w:type="dxa"/>
            <w:vAlign w:val="bottom"/>
            <w:tcBorders>
              <w:bottom w:val="single" w:sz="8" w:color="53C072"/>
              <w:right w:val="single" w:sz="8" w:color="53C072"/>
            </w:tcBorders>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700" w:type="dxa"/>
            <w:vAlign w:val="bottom"/>
            <w:tcBorders>
              <w:bottom w:val="single" w:sz="8" w:color="53C072"/>
              <w:right w:val="single" w:sz="8" w:color="53C072"/>
            </w:tcBorders>
          </w:tcPr>
          <w:p>
            <w:pPr>
              <w:jc w:val="center"/>
              <w:ind w:right="94"/>
              <w:spacing w:after="0"/>
              <w:rPr>
                <w:sz w:val="20"/>
                <w:szCs w:val="20"/>
                <w:color w:val="auto"/>
              </w:rPr>
            </w:pPr>
            <w:r>
              <w:rPr>
                <w:rFonts w:ascii="Arial" w:cs="Arial" w:eastAsia="Arial" w:hAnsi="Arial"/>
                <w:sz w:val="18"/>
                <w:szCs w:val="18"/>
                <w:color w:val="auto"/>
                <w:w w:val="99"/>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-1173480</wp:posOffset>
            </wp:positionV>
            <wp:extent cx="36861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68617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-1533525</wp:posOffset>
            </wp:positionV>
            <wp:extent cx="5537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96" w:lineRule="exact"/>
        <w:rPr>
          <w:sz w:val="20"/>
          <w:szCs w:val="20"/>
          <w:color w:val="auto"/>
        </w:rPr>
      </w:pPr>
    </w:p>
    <w:p>
      <w:pPr>
        <w:ind w:left="1000" w:right="199"/>
        <w:spacing w:after="0" w:line="287" w:lineRule="auto"/>
        <w:rPr>
          <w:sz w:val="20"/>
          <w:szCs w:val="20"/>
          <w:color w:val="auto"/>
        </w:rPr>
      </w:pPr>
      <w:r>
        <w:rPr>
          <w:rFonts w:ascii="Arial" w:cs="Arial" w:eastAsia="Arial" w:hAnsi="Arial"/>
          <w:sz w:val="18"/>
          <w:szCs w:val="18"/>
          <w:b w:val="1"/>
          <w:bCs w:val="1"/>
          <w:color w:val="53C072"/>
        </w:rPr>
        <w:t xml:space="preserve">Results and Payout. </w:t>
      </w:r>
      <w:r>
        <w:rPr>
          <w:rFonts w:ascii="Arial" w:cs="Arial" w:eastAsia="Arial" w:hAnsi="Arial"/>
          <w:sz w:val="18"/>
          <w:szCs w:val="18"/>
          <w:color w:val="000000"/>
        </w:rPr>
        <w:t>For fiscal 2025, achievement of the financial performance goals and the percentages of</w:t>
      </w:r>
      <w:r>
        <w:rPr>
          <w:rFonts w:ascii="Arial" w:cs="Arial" w:eastAsia="Arial" w:hAnsi="Arial"/>
          <w:sz w:val="18"/>
          <w:szCs w:val="18"/>
          <w:b w:val="1"/>
          <w:bCs w:val="1"/>
          <w:color w:val="53C072"/>
        </w:rPr>
        <w:t xml:space="preserve"> </w:t>
      </w:r>
      <w:r>
        <w:rPr>
          <w:rFonts w:ascii="Arial" w:cs="Arial" w:eastAsia="Arial" w:hAnsi="Arial"/>
          <w:sz w:val="18"/>
          <w:szCs w:val="18"/>
          <w:color w:val="000000"/>
        </w:rPr>
        <w:t>target annual cash incentive earned with respect to the financial performance goals were as follows*:</w:t>
      </w:r>
    </w:p>
    <w:p>
      <w:pPr>
        <w:spacing w:after="0" w:line="13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38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Goal</w:t>
            </w:r>
          </w:p>
        </w:tc>
        <w:tc>
          <w:tcPr>
            <w:tcW w:w="1200" w:type="dxa"/>
            <w:vAlign w:val="bottom"/>
            <w:shd w:val="clear" w:color="auto" w:fill="53C072"/>
          </w:tcPr>
          <w:p>
            <w:pPr>
              <w:ind w:left="500"/>
              <w:spacing w:after="0"/>
              <w:rPr>
                <w:sz w:val="20"/>
                <w:szCs w:val="20"/>
                <w:color w:val="auto"/>
              </w:rPr>
            </w:pPr>
            <w:r>
              <w:rPr>
                <w:rFonts w:ascii="Arial" w:cs="Arial" w:eastAsia="Arial" w:hAnsi="Arial"/>
                <w:sz w:val="14"/>
                <w:szCs w:val="14"/>
                <w:b w:val="1"/>
                <w:bCs w:val="1"/>
                <w:color w:val="FEFEFE"/>
              </w:rPr>
              <w:t>Weighting</w:t>
            </w:r>
          </w:p>
        </w:tc>
        <w:tc>
          <w:tcPr>
            <w:tcW w:w="140" w:type="dxa"/>
            <w:vAlign w:val="bottom"/>
            <w:shd w:val="clear" w:color="auto" w:fill="53C072"/>
          </w:tcPr>
          <w:p>
            <w:pPr>
              <w:spacing w:after="0"/>
              <w:rPr>
                <w:sz w:val="19"/>
                <w:szCs w:val="19"/>
                <w:color w:val="auto"/>
              </w:rPr>
            </w:pPr>
          </w:p>
        </w:tc>
        <w:tc>
          <w:tcPr>
            <w:tcW w:w="900" w:type="dxa"/>
            <w:vAlign w:val="bottom"/>
            <w:shd w:val="clear" w:color="auto" w:fill="53C072"/>
          </w:tcPr>
          <w:p>
            <w:pPr>
              <w:ind w:left="340"/>
              <w:spacing w:after="0"/>
              <w:rPr>
                <w:sz w:val="20"/>
                <w:szCs w:val="20"/>
                <w:color w:val="auto"/>
              </w:rPr>
            </w:pPr>
            <w:r>
              <w:rPr>
                <w:rFonts w:ascii="Arial" w:cs="Arial" w:eastAsia="Arial" w:hAnsi="Arial"/>
                <w:sz w:val="14"/>
                <w:szCs w:val="14"/>
                <w:b w:val="1"/>
                <w:bCs w:val="1"/>
                <w:color w:val="FEFEFE"/>
              </w:rPr>
              <w:t>Target</w:t>
            </w:r>
          </w:p>
        </w:tc>
        <w:tc>
          <w:tcPr>
            <w:tcW w:w="920" w:type="dxa"/>
            <w:vAlign w:val="bottom"/>
            <w:shd w:val="clear" w:color="auto" w:fill="53C072"/>
          </w:tcPr>
          <w:p>
            <w:pPr>
              <w:ind w:left="360"/>
              <w:spacing w:after="0"/>
              <w:rPr>
                <w:sz w:val="20"/>
                <w:szCs w:val="20"/>
                <w:color w:val="auto"/>
              </w:rPr>
            </w:pPr>
            <w:r>
              <w:rPr>
                <w:rFonts w:ascii="Arial" w:cs="Arial" w:eastAsia="Arial" w:hAnsi="Arial"/>
                <w:sz w:val="14"/>
                <w:szCs w:val="14"/>
                <w:b w:val="1"/>
                <w:bCs w:val="1"/>
                <w:color w:val="FEFEFE"/>
              </w:rPr>
              <w:t>Actual</w:t>
            </w:r>
          </w:p>
        </w:tc>
        <w:tc>
          <w:tcPr>
            <w:tcW w:w="1580" w:type="dxa"/>
            <w:vAlign w:val="bottom"/>
            <w:shd w:val="clear" w:color="auto" w:fill="53C072"/>
          </w:tcPr>
          <w:p>
            <w:pPr>
              <w:ind w:left="140"/>
              <w:spacing w:after="0"/>
              <w:rPr>
                <w:sz w:val="20"/>
                <w:szCs w:val="20"/>
                <w:color w:val="auto"/>
              </w:rPr>
            </w:pPr>
            <w:r>
              <w:rPr>
                <w:rFonts w:ascii="Arial" w:cs="Arial" w:eastAsia="Arial" w:hAnsi="Arial"/>
                <w:sz w:val="14"/>
                <w:szCs w:val="14"/>
                <w:b w:val="1"/>
                <w:bCs w:val="1"/>
                <w:color w:val="FEFEFE"/>
                <w:w w:val="99"/>
              </w:rPr>
              <w:t>% of Target Achieved</w:t>
            </w:r>
          </w:p>
        </w:tc>
        <w:tc>
          <w:tcPr>
            <w:tcW w:w="140" w:type="dxa"/>
            <w:vAlign w:val="bottom"/>
            <w:shd w:val="clear" w:color="auto" w:fill="53C072"/>
          </w:tcPr>
          <w:p>
            <w:pPr>
              <w:spacing w:after="0"/>
              <w:rPr>
                <w:sz w:val="19"/>
                <w:szCs w:val="19"/>
                <w:color w:val="auto"/>
              </w:rPr>
            </w:pPr>
          </w:p>
        </w:tc>
        <w:tc>
          <w:tcPr>
            <w:tcW w:w="138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Payout % of Target</w:t>
            </w:r>
          </w:p>
        </w:tc>
        <w:tc>
          <w:tcPr>
            <w:tcW w:w="120" w:type="dxa"/>
            <w:vAlign w:val="bottom"/>
            <w:shd w:val="clear" w:color="auto" w:fill="53C072"/>
          </w:tcPr>
          <w:p>
            <w:pPr>
              <w:spacing w:after="0"/>
              <w:rPr>
                <w:sz w:val="19"/>
                <w:szCs w:val="19"/>
                <w:color w:val="auto"/>
              </w:rPr>
            </w:pPr>
          </w:p>
        </w:tc>
      </w:tr>
      <w:tr>
        <w:trPr>
          <w:trHeight w:val="283"/>
        </w:trPr>
        <w:tc>
          <w:tcPr>
            <w:tcW w:w="2380" w:type="dxa"/>
            <w:vAlign w:val="bottom"/>
          </w:tcPr>
          <w:p>
            <w:pPr>
              <w:ind w:left="120"/>
              <w:spacing w:after="0"/>
              <w:rPr>
                <w:sz w:val="20"/>
                <w:szCs w:val="20"/>
                <w:color w:val="auto"/>
              </w:rPr>
            </w:pPr>
            <w:r>
              <w:rPr>
                <w:rFonts w:ascii="Arial" w:cs="Arial" w:eastAsia="Arial" w:hAnsi="Arial"/>
                <w:sz w:val="18"/>
                <w:szCs w:val="18"/>
                <w:color w:val="auto"/>
              </w:rPr>
              <w:t>Adjusted OI$</w:t>
            </w:r>
            <w:r>
              <w:rPr>
                <w:rFonts w:ascii="Arial" w:cs="Arial" w:eastAsia="Arial" w:hAnsi="Arial"/>
                <w:sz w:val="23"/>
                <w:szCs w:val="23"/>
                <w:color w:val="auto"/>
                <w:vertAlign w:val="superscript"/>
              </w:rPr>
              <w:t>(1)</w:t>
            </w:r>
          </w:p>
        </w:tc>
        <w:tc>
          <w:tcPr>
            <w:tcW w:w="1200" w:type="dxa"/>
            <w:vAlign w:val="bottom"/>
          </w:tcPr>
          <w:p>
            <w:pPr>
              <w:ind w:left="74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$871.4M</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$626.9M</w:t>
            </w:r>
          </w:p>
        </w:tc>
        <w:tc>
          <w:tcPr>
            <w:tcW w:w="1580" w:type="dxa"/>
            <w:vAlign w:val="bottom"/>
          </w:tcPr>
          <w:p>
            <w:pPr>
              <w:ind w:left="600"/>
              <w:spacing w:after="0"/>
              <w:rPr>
                <w:sz w:val="20"/>
                <w:szCs w:val="20"/>
                <w:color w:val="auto"/>
              </w:rPr>
            </w:pPr>
            <w:r>
              <w:rPr>
                <w:rFonts w:ascii="Arial" w:cs="Arial" w:eastAsia="Arial" w:hAnsi="Arial"/>
                <w:sz w:val="18"/>
                <w:szCs w:val="18"/>
                <w:color w:val="auto"/>
              </w:rPr>
              <w:t>​71.94%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ind w:left="5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r>
              <w:rPr>
                <w:rFonts w:ascii="Arial" w:cs="Arial" w:eastAsia="Arial" w:hAnsi="Arial"/>
                <w:sz w:val="18"/>
                <w:szCs w:val="18"/>
                <w:color w:val="auto"/>
              </w:rPr>
              <w:t>​</w:t>
            </w:r>
          </w:p>
        </w:tc>
      </w:tr>
      <w:tr>
        <w:trPr>
          <w:trHeight w:val="283"/>
        </w:trPr>
        <w:tc>
          <w:tcPr>
            <w:tcW w:w="2380" w:type="dxa"/>
            <w:vAlign w:val="bottom"/>
            <w:shd w:val="clear" w:color="auto" w:fill="CBECD5"/>
          </w:tcPr>
          <w:p>
            <w:pPr>
              <w:ind w:left="120"/>
              <w:spacing w:after="0"/>
              <w:rPr>
                <w:sz w:val="20"/>
                <w:szCs w:val="20"/>
                <w:color w:val="auto"/>
              </w:rPr>
            </w:pPr>
            <w:r>
              <w:rPr>
                <w:rFonts w:ascii="Arial" w:cs="Arial" w:eastAsia="Arial" w:hAnsi="Arial"/>
                <w:sz w:val="18"/>
                <w:szCs w:val="18"/>
                <w:color w:val="auto"/>
              </w:rPr>
              <w:t>ROWC</w:t>
            </w:r>
            <w:r>
              <w:rPr>
                <w:rFonts w:ascii="Arial" w:cs="Arial" w:eastAsia="Arial" w:hAnsi="Arial"/>
                <w:sz w:val="23"/>
                <w:szCs w:val="23"/>
                <w:color w:val="auto"/>
                <w:vertAlign w:val="superscript"/>
              </w:rPr>
              <w:t>(1)</w:t>
            </w:r>
          </w:p>
        </w:tc>
        <w:tc>
          <w:tcPr>
            <w:tcW w:w="1200" w:type="dxa"/>
            <w:vAlign w:val="bottom"/>
            <w:shd w:val="clear" w:color="auto" w:fill="CBECD5"/>
          </w:tcPr>
          <w:p>
            <w:pPr>
              <w:ind w:left="74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BECD5"/>
          </w:tcPr>
          <w:p>
            <w:pPr>
              <w:jc w:val="right"/>
              <w:ind w:right="75"/>
              <w:spacing w:after="0"/>
              <w:rPr>
                <w:sz w:val="20"/>
                <w:szCs w:val="20"/>
                <w:color w:val="auto"/>
              </w:rPr>
            </w:pPr>
            <w:r>
              <w:rPr>
                <w:rFonts w:ascii="Arial" w:cs="Arial" w:eastAsia="Arial" w:hAnsi="Arial"/>
                <w:sz w:val="18"/>
                <w:szCs w:val="18"/>
                <w:color w:val="auto"/>
              </w:rPr>
              <w:t>13.47%</w:t>
            </w:r>
          </w:p>
        </w:tc>
        <w:tc>
          <w:tcPr>
            <w:tcW w:w="920" w:type="dxa"/>
            <w:vAlign w:val="bottom"/>
            <w:shd w:val="clear" w:color="auto" w:fill="CBECD5"/>
          </w:tcPr>
          <w:p>
            <w:pPr>
              <w:jc w:val="right"/>
              <w:ind w:right="75"/>
              <w:spacing w:after="0"/>
              <w:rPr>
                <w:sz w:val="20"/>
                <w:szCs w:val="20"/>
                <w:color w:val="auto"/>
              </w:rPr>
            </w:pPr>
            <w:r>
              <w:rPr>
                <w:rFonts w:ascii="Arial" w:cs="Arial" w:eastAsia="Arial" w:hAnsi="Arial"/>
                <w:sz w:val="18"/>
                <w:szCs w:val="18"/>
                <w:color w:val="auto"/>
              </w:rPr>
              <w:t>10.04%</w:t>
            </w:r>
          </w:p>
        </w:tc>
        <w:tc>
          <w:tcPr>
            <w:tcW w:w="1580" w:type="dxa"/>
            <w:vAlign w:val="bottom"/>
            <w:shd w:val="clear" w:color="auto" w:fill="CBECD5"/>
          </w:tcPr>
          <w:p>
            <w:pPr>
              <w:ind w:left="600"/>
              <w:spacing w:after="0"/>
              <w:rPr>
                <w:sz w:val="20"/>
                <w:szCs w:val="20"/>
                <w:color w:val="auto"/>
              </w:rPr>
            </w:pPr>
            <w:r>
              <w:rPr>
                <w:rFonts w:ascii="Arial" w:cs="Arial" w:eastAsia="Arial" w:hAnsi="Arial"/>
                <w:sz w:val="18"/>
                <w:szCs w:val="18"/>
                <w:color w:val="auto"/>
              </w:rPr>
              <w:t>​74.56%</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BECD5"/>
          </w:tcPr>
          <w:p>
            <w:pPr>
              <w:ind w:left="5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ind w:right="23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r>
      <w:tr>
        <w:trPr>
          <w:trHeight w:val="291"/>
        </w:trPr>
        <w:tc>
          <w:tcPr>
            <w:tcW w:w="2380" w:type="dxa"/>
            <w:vAlign w:val="bottom"/>
            <w:tcBorders>
              <w:bottom w:val="single" w:sz="8" w:color="53C072"/>
            </w:tcBorders>
          </w:tcPr>
          <w:p>
            <w:pPr>
              <w:ind w:left="120"/>
              <w:spacing w:after="0"/>
              <w:rPr>
                <w:sz w:val="20"/>
                <w:szCs w:val="20"/>
                <w:color w:val="auto"/>
              </w:rPr>
            </w:pPr>
            <w:r>
              <w:rPr>
                <w:rFonts w:ascii="Arial" w:cs="Arial" w:eastAsia="Arial" w:hAnsi="Arial"/>
                <w:sz w:val="18"/>
                <w:szCs w:val="18"/>
                <w:color w:val="auto"/>
              </w:rPr>
              <w:t>Relative Market Share</w:t>
            </w:r>
          </w:p>
        </w:tc>
        <w:tc>
          <w:tcPr>
            <w:tcW w:w="1200" w:type="dxa"/>
            <w:vAlign w:val="bottom"/>
            <w:tcBorders>
              <w:bottom w:val="single" w:sz="8" w:color="53C072"/>
            </w:tcBorders>
          </w:tcPr>
          <w:p>
            <w:pPr>
              <w:ind w:left="7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20%</w:t>
            </w:r>
          </w:p>
        </w:tc>
        <w:tc>
          <w:tcPr>
            <w:tcW w:w="14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53C072"/>
            </w:tcBorders>
          </w:tcPr>
          <w:p>
            <w:pPr>
              <w:ind w:left="160"/>
              <w:spacing w:after="0"/>
              <w:rPr>
                <w:sz w:val="20"/>
                <w:szCs w:val="20"/>
                <w:color w:val="auto"/>
              </w:rPr>
            </w:pPr>
            <w:r>
              <w:rPr>
                <w:rFonts w:ascii="Arial" w:cs="Arial" w:eastAsia="Arial" w:hAnsi="Arial"/>
                <w:sz w:val="18"/>
                <w:szCs w:val="18"/>
                <w:color w:val="auto"/>
              </w:rPr>
              <w:t>50 bps</w:t>
            </w:r>
          </w:p>
        </w:tc>
        <w:tc>
          <w:tcPr>
            <w:tcW w:w="920" w:type="dxa"/>
            <w:vAlign w:val="bottom"/>
            <w:tcBorders>
              <w:bottom w:val="single" w:sz="8" w:color="53C072"/>
            </w:tcBorders>
          </w:tcPr>
          <w:p>
            <w:pPr>
              <w:ind w:left="140"/>
              <w:spacing w:after="0"/>
              <w:rPr>
                <w:sz w:val="20"/>
                <w:szCs w:val="20"/>
                <w:color w:val="auto"/>
              </w:rPr>
            </w:pPr>
            <w:r>
              <w:rPr>
                <w:rFonts w:ascii="Arial" w:cs="Arial" w:eastAsia="Arial" w:hAnsi="Arial"/>
                <w:sz w:val="18"/>
                <w:szCs w:val="18"/>
                <w:color w:val="auto"/>
              </w:rPr>
              <w:t>376 bps</w:t>
            </w:r>
          </w:p>
        </w:tc>
        <w:tc>
          <w:tcPr>
            <w:tcW w:w="1580" w:type="dxa"/>
            <w:vAlign w:val="bottom"/>
            <w:tcBorders>
              <w:bottom w:val="single" w:sz="8" w:color="53C072"/>
            </w:tcBorders>
          </w:tcPr>
          <w:p>
            <w:pPr>
              <w:ind w:left="60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NA</w:t>
            </w:r>
          </w:p>
        </w:tc>
        <w:tc>
          <w:tcPr>
            <w:tcW w:w="14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53C072"/>
            </w:tcBorders>
            <w:gridSpan w:val="2"/>
          </w:tcPr>
          <w:p>
            <w:pPr>
              <w:jc w:val="right"/>
              <w:ind w:right="23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200%</w:t>
            </w:r>
          </w:p>
        </w:tc>
        <w:tc>
          <w:tcPr>
            <w:tcW w:w="12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r>
    </w:tbl>
    <w:p>
      <w:pPr>
        <w:spacing w:after="0" w:line="49" w:lineRule="exact"/>
        <w:rPr>
          <w:sz w:val="20"/>
          <w:szCs w:val="20"/>
          <w:color w:val="auto"/>
        </w:rPr>
      </w:pPr>
    </w:p>
    <w:p>
      <w:pPr>
        <w:ind w:left="1460" w:right="199" w:hanging="362"/>
        <w:spacing w:after="0" w:line="291" w:lineRule="auto"/>
        <w:tabs>
          <w:tab w:leader="none" w:pos="1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for a reconciliation of non-GAAP measures to the most directly comparable GAAP measures. For additional information regarding the fiscal 2025 performance of the Company, please refer to the Company’s Annual Report on Form 10-K for the year ended June 28, 2025.</w:t>
      </w:r>
    </w:p>
    <w:p>
      <w:pPr>
        <w:spacing w:after="0" w:line="85" w:lineRule="exact"/>
        <w:rPr>
          <w:sz w:val="20"/>
          <w:szCs w:val="20"/>
          <w:color w:val="auto"/>
        </w:rPr>
      </w:pPr>
    </w:p>
    <w:p>
      <w:pPr>
        <w:jc w:val="both"/>
        <w:ind w:left="1460" w:right="499" w:hanging="362"/>
        <w:spacing w:after="0" w:line="268" w:lineRule="auto"/>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eliminate variances due to changes in foreign currency exchange rates, the actual results for fiscal 2025 have been restated to be consistent with the budgeted foreign currency exchange rates used in developing the performance goals.</w:t>
      </w:r>
    </w:p>
    <w:p>
      <w:pPr>
        <w:spacing w:after="0" w:line="103" w:lineRule="exact"/>
        <w:rPr>
          <w:sz w:val="20"/>
          <w:szCs w:val="20"/>
          <w:color w:val="auto"/>
        </w:rPr>
      </w:pPr>
    </w:p>
    <w:p>
      <w:pPr>
        <w:ind w:left="1000" w:right="199"/>
        <w:spacing w:after="0" w:line="262" w:lineRule="auto"/>
        <w:rPr>
          <w:sz w:val="20"/>
          <w:szCs w:val="20"/>
          <w:color w:val="auto"/>
        </w:rPr>
      </w:pPr>
      <w:r>
        <w:rPr>
          <w:rFonts w:ascii="Arial" w:cs="Arial" w:eastAsia="Arial" w:hAnsi="Arial"/>
          <w:sz w:val="18"/>
          <w:szCs w:val="18"/>
          <w:color w:val="auto"/>
        </w:rPr>
        <w:t>The combination of the Adjusted OI$, ROWC, and Relative Market Share performance resulted in a total financial performance of 40% of target. The financial incentive payout delivered to participants was 32% of their total short-term incentive target, after applying the 80% weighting referenced above. The Audit Committee reviewed the FY25 short-term incentive calculations at their August 21, 2025 meeting.</w:t>
      </w:r>
    </w:p>
    <w:p>
      <w:pPr>
        <w:spacing w:after="0" w:line="95" w:lineRule="exact"/>
        <w:rPr>
          <w:sz w:val="20"/>
          <w:szCs w:val="20"/>
          <w:color w:val="auto"/>
        </w:rPr>
      </w:pPr>
    </w:p>
    <w:p>
      <w:pPr>
        <w:jc w:val="both"/>
        <w:ind w:left="1000" w:right="399"/>
        <w:spacing w:after="0" w:line="268" w:lineRule="auto"/>
        <w:rPr>
          <w:sz w:val="20"/>
          <w:szCs w:val="20"/>
          <w:color w:val="auto"/>
        </w:rPr>
      </w:pPr>
      <w:r>
        <w:rPr>
          <w:rFonts w:ascii="Arial" w:cs="Arial" w:eastAsia="Arial" w:hAnsi="Arial"/>
          <w:sz w:val="18"/>
          <w:szCs w:val="18"/>
          <w:color w:val="auto"/>
        </w:rPr>
        <w:t>For fiscal 2025, achievement of the non-financial performance goals (weighted 20%) and the percentages of target annual cash incentive earned and approved by the Committee, or Board with respect to the CEO, with respect to the non-financial goals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102870</wp:posOffset>
            </wp:positionV>
            <wp:extent cx="5554980" cy="3600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54980" cy="360045"/>
                    </a:xfrm>
                    <a:prstGeom prst="rect">
                      <a:avLst/>
                    </a:prstGeom>
                    <a:noFill/>
                  </pic:spPr>
                </pic:pic>
              </a:graphicData>
            </a:graphic>
          </wp:anchor>
        </w:drawing>
      </w:r>
    </w:p>
    <w:p>
      <w:pPr>
        <w:spacing w:after="0" w:line="228"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FEFEFE"/>
        </w:rPr>
        <w:t>Non-Financial Goals</w:t>
      </w:r>
    </w:p>
    <w:tbl>
      <w:tblPr>
        <w:tblLayout w:type="fixed"/>
        <w:tblInd w:w="990" w:type="dxa"/>
        <w:tblCellMar>
          <w:top w:w="0" w:type="dxa"/>
          <w:left w:w="0" w:type="dxa"/>
          <w:bottom w:w="0" w:type="dxa"/>
          <w:right w:w="0" w:type="dxa"/>
        </w:tblCellMar>
      </w:tblPr>
      <w:tr>
        <w:trPr>
          <w:trHeight w:val="321"/>
        </w:trPr>
        <w:tc>
          <w:tcPr>
            <w:tcW w:w="240" w:type="dxa"/>
            <w:vAlign w:val="bottom"/>
            <w:tcBorders>
              <w:left w:val="single" w:sz="8" w:color="53C072"/>
            </w:tcBorders>
          </w:tcPr>
          <w:p>
            <w:pPr>
              <w:spacing w:after="0"/>
              <w:rPr>
                <w:sz w:val="24"/>
                <w:szCs w:val="24"/>
                <w:color w:val="auto"/>
              </w:rPr>
            </w:pPr>
          </w:p>
        </w:tc>
        <w:tc>
          <w:tcPr>
            <w:tcW w:w="3320" w:type="dxa"/>
            <w:vAlign w:val="bottom"/>
            <w:shd w:val="clear" w:color="auto" w:fill="53C072"/>
          </w:tcPr>
          <w:p>
            <w:pPr>
              <w:spacing w:after="0"/>
              <w:rPr>
                <w:sz w:val="20"/>
                <w:szCs w:val="20"/>
                <w:color w:val="auto"/>
              </w:rPr>
            </w:pPr>
            <w:r>
              <w:rPr>
                <w:rFonts w:ascii="Arial" w:cs="Arial" w:eastAsia="Arial" w:hAnsi="Arial"/>
                <w:sz w:val="14"/>
                <w:szCs w:val="14"/>
                <w:b w:val="1"/>
                <w:bCs w:val="1"/>
                <w:color w:val="FEFEFE"/>
              </w:rPr>
              <w:t>NEO</w:t>
            </w:r>
          </w:p>
        </w:tc>
        <w:tc>
          <w:tcPr>
            <w:tcW w:w="5120" w:type="dxa"/>
            <w:vAlign w:val="bottom"/>
            <w:gridSpan w:val="6"/>
            <w:shd w:val="clear" w:color="auto" w:fill="53C072"/>
          </w:tcPr>
          <w:p>
            <w:pPr>
              <w:ind w:left="2560"/>
              <w:spacing w:after="0" w:line="321" w:lineRule="exact"/>
              <w:rPr>
                <w:sz w:val="20"/>
                <w:szCs w:val="20"/>
                <w:color w:val="auto"/>
              </w:rPr>
            </w:pP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Achievement </w:t>
            </w: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Payout % of Target</w:t>
            </w:r>
          </w:p>
        </w:tc>
        <w:tc>
          <w:tcPr>
            <w:tcW w:w="80" w:type="dxa"/>
            <w:vAlign w:val="bottom"/>
            <w:tcBorders>
              <w:right w:val="single" w:sz="8" w:color="53C072"/>
            </w:tcBorders>
            <w:shd w:val="clear" w:color="auto" w:fill="53C072"/>
          </w:tcPr>
          <w:p>
            <w:pPr>
              <w:spacing w:after="0"/>
              <w:rPr>
                <w:sz w:val="24"/>
                <w:szCs w:val="24"/>
                <w:color w:val="auto"/>
              </w:rPr>
            </w:pPr>
          </w:p>
        </w:tc>
      </w:tr>
      <w:tr>
        <w:trPr>
          <w:trHeight w:val="283"/>
        </w:trPr>
        <w:tc>
          <w:tcPr>
            <w:tcW w:w="3560" w:type="dxa"/>
            <w:vAlign w:val="bottom"/>
            <w:tcBorders>
              <w:left w:val="single" w:sz="8" w:color="53C072"/>
              <w:bottom w:val="single" w:sz="8" w:color="53C072"/>
            </w:tcBorders>
            <w:gridSpan w:val="2"/>
          </w:tcPr>
          <w:p>
            <w:pPr>
              <w:ind w:left="240"/>
              <w:spacing w:after="0"/>
              <w:rPr>
                <w:sz w:val="20"/>
                <w:szCs w:val="20"/>
                <w:color w:val="auto"/>
              </w:rPr>
            </w:pPr>
            <w:r>
              <w:rPr>
                <w:rFonts w:ascii="Arial" w:cs="Arial" w:eastAsia="Arial" w:hAnsi="Arial"/>
                <w:sz w:val="18"/>
                <w:szCs w:val="18"/>
                <w:color w:val="auto"/>
              </w:rPr>
              <w:t>Gallagher</w:t>
            </w:r>
          </w:p>
        </w:tc>
        <w:tc>
          <w:tcPr>
            <w:tcW w:w="2620" w:type="dxa"/>
            <w:vAlign w:val="bottom"/>
            <w:tcBorders>
              <w:bottom w:val="single" w:sz="8" w:color="53C072"/>
              <w:right w:val="single" w:sz="8" w:color="53C072"/>
            </w:tcBorders>
          </w:tcPr>
          <w:p>
            <w:pPr>
              <w:ind w:left="2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53C072"/>
            </w:tcBorders>
          </w:tcPr>
          <w:p>
            <w:pPr>
              <w:ind w:left="1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200%</w:t>
            </w:r>
          </w:p>
        </w:tc>
        <w:tc>
          <w:tcPr>
            <w:tcW w:w="200" w:type="dxa"/>
            <w:vAlign w:val="bottom"/>
            <w:tcBorders>
              <w:bottom w:val="single" w:sz="8" w:color="53C072"/>
              <w:right w:val="single" w:sz="8" w:color="53C072"/>
            </w:tcBorders>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53C072"/>
            </w:tcBorders>
          </w:tcPr>
          <w:p>
            <w:pPr>
              <w:ind w:left="28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40%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r>
      <w:tr>
        <w:trPr>
          <w:trHeight w:val="264"/>
        </w:trPr>
        <w:tc>
          <w:tcPr>
            <w:tcW w:w="3560" w:type="dxa"/>
            <w:vAlign w:val="bottom"/>
            <w:tcBorders>
              <w:left w:val="single" w:sz="8" w:color="53C072"/>
              <w:bottom w:val="single" w:sz="8" w:color="53C072"/>
            </w:tcBorders>
            <w:gridSpan w:val="2"/>
          </w:tcPr>
          <w:p>
            <w:pPr>
              <w:ind w:left="240"/>
              <w:spacing w:after="0"/>
              <w:rPr>
                <w:sz w:val="20"/>
                <w:szCs w:val="20"/>
                <w:color w:val="auto"/>
              </w:rPr>
            </w:pPr>
            <w:r>
              <w:rPr>
                <w:rFonts w:ascii="Arial" w:cs="Arial" w:eastAsia="Arial" w:hAnsi="Arial"/>
                <w:sz w:val="18"/>
                <w:szCs w:val="18"/>
                <w:color w:val="auto"/>
              </w:rPr>
              <w:t>Jacobson</w:t>
            </w:r>
          </w:p>
        </w:tc>
        <w:tc>
          <w:tcPr>
            <w:tcW w:w="2620" w:type="dxa"/>
            <w:vAlign w:val="bottom"/>
            <w:tcBorders>
              <w:bottom w:val="single" w:sz="8" w:color="53C072"/>
              <w:right w:val="single" w:sz="8" w:color="53C072"/>
            </w:tcBorders>
          </w:tcPr>
          <w:p>
            <w:pPr>
              <w:ind w:left="2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53C072"/>
            </w:tcBorders>
          </w:tcPr>
          <w:p>
            <w:pPr>
              <w:ind w:left="1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200%</w:t>
            </w:r>
          </w:p>
        </w:tc>
        <w:tc>
          <w:tcPr>
            <w:tcW w:w="200" w:type="dxa"/>
            <w:vAlign w:val="bottom"/>
            <w:tcBorders>
              <w:bottom w:val="single" w:sz="8" w:color="53C072"/>
              <w:right w:val="single" w:sz="8" w:color="53C072"/>
            </w:tcBorders>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53C072"/>
            </w:tcBorders>
          </w:tcPr>
          <w:p>
            <w:pPr>
              <w:ind w:lef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40%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r>
      <w:tr>
        <w:trPr>
          <w:trHeight w:val="263"/>
        </w:trPr>
        <w:tc>
          <w:tcPr>
            <w:tcW w:w="3560" w:type="dxa"/>
            <w:vAlign w:val="bottom"/>
            <w:tcBorders>
              <w:left w:val="single" w:sz="8" w:color="53C072"/>
              <w:bottom w:val="single" w:sz="8" w:color="53C072"/>
            </w:tcBorders>
            <w:gridSpan w:val="2"/>
          </w:tcPr>
          <w:p>
            <w:pPr>
              <w:ind w:left="240"/>
              <w:spacing w:after="0"/>
              <w:rPr>
                <w:sz w:val="20"/>
                <w:szCs w:val="20"/>
                <w:color w:val="auto"/>
              </w:rPr>
            </w:pPr>
            <w:r>
              <w:rPr>
                <w:rFonts w:ascii="Arial" w:cs="Arial" w:eastAsia="Arial" w:hAnsi="Arial"/>
                <w:sz w:val="18"/>
                <w:szCs w:val="18"/>
                <w:color w:val="auto"/>
              </w:rPr>
              <w:t>Arnold</w:t>
            </w:r>
          </w:p>
        </w:tc>
        <w:tc>
          <w:tcPr>
            <w:tcW w:w="2620" w:type="dxa"/>
            <w:vAlign w:val="bottom"/>
            <w:tcBorders>
              <w:bottom w:val="single" w:sz="8" w:color="53C072"/>
              <w:right w:val="single" w:sz="8" w:color="53C072"/>
            </w:tcBorders>
          </w:tcPr>
          <w:p>
            <w:pPr>
              <w:ind w:left="2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53C072"/>
            </w:tcBorders>
          </w:tcPr>
          <w:p>
            <w:pPr>
              <w:ind w:left="1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200%</w:t>
            </w:r>
          </w:p>
        </w:tc>
        <w:tc>
          <w:tcPr>
            <w:tcW w:w="200" w:type="dxa"/>
            <w:vAlign w:val="bottom"/>
            <w:tcBorders>
              <w:bottom w:val="single" w:sz="8" w:color="53C072"/>
              <w:right w:val="single" w:sz="8" w:color="53C072"/>
            </w:tcBorders>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53C072"/>
            </w:tcBorders>
          </w:tcPr>
          <w:p>
            <w:pPr>
              <w:ind w:lef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40%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r>
      <w:tr>
        <w:trPr>
          <w:trHeight w:val="263"/>
        </w:trPr>
        <w:tc>
          <w:tcPr>
            <w:tcW w:w="3560" w:type="dxa"/>
            <w:vAlign w:val="bottom"/>
            <w:tcBorders>
              <w:left w:val="single" w:sz="8" w:color="53C072"/>
              <w:bottom w:val="single" w:sz="8" w:color="53C072"/>
            </w:tcBorders>
            <w:gridSpan w:val="2"/>
          </w:tcPr>
          <w:p>
            <w:pPr>
              <w:ind w:left="240"/>
              <w:spacing w:after="0"/>
              <w:rPr>
                <w:sz w:val="20"/>
                <w:szCs w:val="20"/>
                <w:color w:val="auto"/>
              </w:rPr>
            </w:pPr>
            <w:r>
              <w:rPr>
                <w:rFonts w:ascii="Arial" w:cs="Arial" w:eastAsia="Arial" w:hAnsi="Arial"/>
                <w:sz w:val="18"/>
                <w:szCs w:val="18"/>
                <w:color w:val="auto"/>
              </w:rPr>
              <w:t>Chan</w:t>
            </w:r>
          </w:p>
        </w:tc>
        <w:tc>
          <w:tcPr>
            <w:tcW w:w="2620" w:type="dxa"/>
            <w:vAlign w:val="bottom"/>
            <w:tcBorders>
              <w:bottom w:val="single" w:sz="8" w:color="53C072"/>
              <w:right w:val="single" w:sz="8" w:color="53C072"/>
            </w:tcBorders>
          </w:tcPr>
          <w:p>
            <w:pPr>
              <w:ind w:left="2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53C072"/>
            </w:tcBorders>
          </w:tcPr>
          <w:p>
            <w:pPr>
              <w:ind w:left="1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200%</w:t>
            </w:r>
          </w:p>
        </w:tc>
        <w:tc>
          <w:tcPr>
            <w:tcW w:w="200" w:type="dxa"/>
            <w:vAlign w:val="bottom"/>
            <w:tcBorders>
              <w:bottom w:val="single" w:sz="8" w:color="53C072"/>
              <w:right w:val="single" w:sz="8" w:color="53C072"/>
            </w:tcBorders>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53C072"/>
            </w:tcBorders>
          </w:tcPr>
          <w:p>
            <w:pPr>
              <w:ind w:lef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40%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r>
      <w:tr>
        <w:trPr>
          <w:trHeight w:val="264"/>
        </w:trPr>
        <w:tc>
          <w:tcPr>
            <w:tcW w:w="3560" w:type="dxa"/>
            <w:vAlign w:val="bottom"/>
            <w:tcBorders>
              <w:left w:val="single" w:sz="8" w:color="53C072"/>
              <w:bottom w:val="single" w:sz="8" w:color="53C072"/>
            </w:tcBorders>
            <w:gridSpan w:val="2"/>
          </w:tcPr>
          <w:p>
            <w:pPr>
              <w:ind w:left="240"/>
              <w:spacing w:after="0"/>
              <w:rPr>
                <w:sz w:val="20"/>
                <w:szCs w:val="20"/>
                <w:color w:val="auto"/>
              </w:rPr>
            </w:pPr>
            <w:r>
              <w:rPr>
                <w:rFonts w:ascii="Arial" w:cs="Arial" w:eastAsia="Arial" w:hAnsi="Arial"/>
                <w:sz w:val="18"/>
                <w:szCs w:val="18"/>
                <w:color w:val="auto"/>
              </w:rPr>
              <w:t>McCoy</w:t>
            </w:r>
          </w:p>
        </w:tc>
        <w:tc>
          <w:tcPr>
            <w:tcW w:w="2620" w:type="dxa"/>
            <w:vAlign w:val="bottom"/>
            <w:tcBorders>
              <w:bottom w:val="single" w:sz="8" w:color="53C072"/>
              <w:right w:val="single" w:sz="8" w:color="53C072"/>
            </w:tcBorders>
          </w:tcPr>
          <w:p>
            <w:pPr>
              <w:ind w:left="2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53C072"/>
            </w:tcBorders>
          </w:tcPr>
          <w:p>
            <w:pPr>
              <w:ind w:left="1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200%</w:t>
            </w:r>
          </w:p>
        </w:tc>
        <w:tc>
          <w:tcPr>
            <w:tcW w:w="200" w:type="dxa"/>
            <w:vAlign w:val="bottom"/>
            <w:tcBorders>
              <w:bottom w:val="single" w:sz="8" w:color="53C072"/>
              <w:right w:val="single" w:sz="8" w:color="53C072"/>
            </w:tcBorders>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53C072"/>
            </w:tcBorders>
          </w:tcPr>
          <w:p>
            <w:pPr>
              <w:ind w:lef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40%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-908050</wp:posOffset>
            </wp:positionV>
            <wp:extent cx="5537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96" w:lineRule="exact"/>
        <w:rPr>
          <w:sz w:val="20"/>
          <w:szCs w:val="20"/>
          <w:color w:val="auto"/>
        </w:rPr>
      </w:pPr>
    </w:p>
    <w:p>
      <w:pPr>
        <w:ind w:left="1000" w:right="139"/>
        <w:spacing w:after="0" w:line="257" w:lineRule="auto"/>
        <w:rPr>
          <w:sz w:val="20"/>
          <w:szCs w:val="20"/>
          <w:color w:val="auto"/>
        </w:rPr>
      </w:pPr>
      <w:r>
        <w:rPr>
          <w:rFonts w:ascii="Arial" w:cs="Arial" w:eastAsia="Arial" w:hAnsi="Arial"/>
          <w:sz w:val="18"/>
          <w:szCs w:val="18"/>
          <w:color w:val="auto"/>
        </w:rPr>
        <w:t>In approving the foregoing non-financial goals achievement, the Committee and the Board recognized that, despite a challenging operating environment, employee engagement, morale, and talent retention exceeded internal expectations and external benchmarks, reflecting a strong workplace culture and a sustained focus on employee experience. The Committee and Board further concluded that the Company's senior leadership played a material role in achieving these outcomes through consistent, open, and constructive engagement with employees at all levels of the organization.</w:t>
      </w:r>
    </w:p>
    <w:p>
      <w:pPr>
        <w:spacing w:after="0" w:line="1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50     </w:t>
      </w:r>
      <w:r>
        <w:rPr>
          <w:sz w:val="1"/>
          <w:szCs w:val="1"/>
          <w:color w:val="auto"/>
        </w:rPr>
        <w:drawing>
          <wp:inline distT="0" distB="0" distL="0" distR="0">
            <wp:extent cx="1242695" cy="24003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43" w:lineRule="exact"/>
        <w:rPr>
          <w:sz w:val="20"/>
          <w:szCs w:val="20"/>
          <w:color w:val="auto"/>
        </w:rPr>
      </w:pPr>
    </w:p>
    <w:p>
      <w:pPr>
        <w:jc w:val="right"/>
        <w:ind w:right="139"/>
        <w:spacing w:after="0"/>
        <w:tabs>
          <w:tab w:leader="none" w:pos="2460" w:val="left"/>
        </w:tabs>
        <w:rPr>
          <w:sz w:val="20"/>
          <w:szCs w:val="20"/>
          <w:color w:val="auto"/>
        </w:rPr>
      </w:pPr>
      <w:r>
        <w:rPr>
          <w:rFonts w:ascii="Arial" w:cs="Arial" w:eastAsia="Arial" w:hAnsi="Arial"/>
          <w:sz w:val="28"/>
          <w:szCs w:val="28"/>
          <w:b w:val="1"/>
          <w:bCs w:val="1"/>
          <w:color w:val="53C072"/>
          <w:vertAlign w:val="superscript"/>
        </w:rPr>
        <w:t>2025 ANNUAL</w:t>
      </w:r>
      <w:r>
        <w:rPr>
          <w:rFonts w:ascii="Arial" w:cs="Arial" w:eastAsia="Arial" w:hAnsi="Arial"/>
          <w:sz w:val="28"/>
          <w:szCs w:val="28"/>
          <w:b w:val="1"/>
          <w:bCs w:val="1"/>
          <w:color w:val="auto"/>
          <w:vertAlign w:val="superscript"/>
        </w:rPr>
        <w:t xml:space="preserve"> </w:t>
      </w:r>
      <w:r>
        <w:rPr>
          <w:sz w:val="20"/>
          <w:szCs w:val="20"/>
          <w:color w:val="auto"/>
        </w:rPr>
        <w:tab/>
      </w:r>
      <w:r>
        <w:rPr>
          <w:rFonts w:ascii="Arial" w:cs="Arial" w:eastAsia="Arial" w:hAnsi="Arial"/>
          <w:sz w:val="14"/>
          <w:szCs w:val="14"/>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000" w:right="239"/>
        <w:spacing w:after="0" w:line="253" w:lineRule="auto"/>
        <w:rPr>
          <w:sz w:val="20"/>
          <w:szCs w:val="20"/>
          <w:color w:val="auto"/>
        </w:rPr>
      </w:pPr>
      <w:r>
        <w:rPr>
          <w:rFonts w:ascii="Arial" w:cs="Arial" w:eastAsia="Arial" w:hAnsi="Arial"/>
          <w:sz w:val="18"/>
          <w:szCs w:val="18"/>
          <w:color w:val="auto"/>
        </w:rPr>
        <w:t>Based on achieving both the financial and the non-financial performance goals, the total incentive payout was 72% of target for all the NEOs. The below table reflects the achievement of the goals and the total annual cash incentive payout for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102235</wp:posOffset>
            </wp:positionV>
            <wp:extent cx="5554980" cy="5746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54980" cy="574675"/>
                    </a:xfrm>
                    <a:prstGeom prst="rect">
                      <a:avLst/>
                    </a:prstGeom>
                    <a:noFill/>
                  </pic:spPr>
                </pic:pic>
              </a:graphicData>
            </a:graphic>
          </wp:anchor>
        </w:drawing>
      </w:r>
    </w:p>
    <w:p>
      <w:pPr>
        <w:spacing w:after="0" w:line="162"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FEFEFE"/>
        </w:rPr>
        <w:t>FY25 Annual Cash Incentives Payouts</w:t>
      </w:r>
      <w:r>
        <w:rPr>
          <w:rFonts w:ascii="Arial" w:cs="Arial" w:eastAsia="Arial" w:hAnsi="Arial"/>
          <w:sz w:val="14"/>
          <w:szCs w:val="14"/>
          <w:b w:val="1"/>
          <w:bCs w:val="1"/>
          <w:color w:val="FEFEFE"/>
        </w:rPr>
        <w:t>​</w:t>
      </w:r>
    </w:p>
    <w:p>
      <w:pPr>
        <w:spacing w:after="0" w:line="60" w:lineRule="exact"/>
        <w:rPr>
          <w:sz w:val="20"/>
          <w:szCs w:val="20"/>
          <w:color w:val="auto"/>
        </w:rPr>
      </w:pPr>
    </w:p>
    <w:tbl>
      <w:tblPr>
        <w:tblLayout w:type="fixed"/>
        <w:tblInd w:w="980" w:type="dxa"/>
        <w:tblCellMar>
          <w:top w:w="0" w:type="dxa"/>
          <w:left w:w="0" w:type="dxa"/>
          <w:bottom w:w="0" w:type="dxa"/>
          <w:right w:w="0" w:type="dxa"/>
        </w:tblCellMar>
      </w:tblPr>
      <w:tr>
        <w:trPr>
          <w:trHeight w:val="220"/>
        </w:trPr>
        <w:tc>
          <w:tcPr>
            <w:tcW w:w="120" w:type="dxa"/>
            <w:vAlign w:val="bottom"/>
          </w:tcPr>
          <w:p>
            <w:pPr>
              <w:spacing w:after="0"/>
              <w:rPr>
                <w:sz w:val="19"/>
                <w:szCs w:val="19"/>
                <w:color w:val="auto"/>
              </w:rPr>
            </w:pPr>
          </w:p>
        </w:tc>
        <w:tc>
          <w:tcPr>
            <w:tcW w:w="1640" w:type="dxa"/>
            <w:vAlign w:val="bottom"/>
            <w:shd w:val="clear" w:color="auto" w:fill="53C072"/>
          </w:tcPr>
          <w:p>
            <w:pPr>
              <w:spacing w:after="0"/>
              <w:rPr>
                <w:sz w:val="19"/>
                <w:szCs w:val="19"/>
                <w:color w:val="auto"/>
              </w:rPr>
            </w:pPr>
          </w:p>
        </w:tc>
        <w:tc>
          <w:tcPr>
            <w:tcW w:w="300" w:type="dxa"/>
            <w:vAlign w:val="bottom"/>
            <w:shd w:val="clear" w:color="auto" w:fill="53C072"/>
          </w:tcPr>
          <w:p>
            <w:pPr>
              <w:spacing w:after="0"/>
              <w:rPr>
                <w:sz w:val="19"/>
                <w:szCs w:val="19"/>
                <w:color w:val="auto"/>
              </w:rPr>
            </w:pPr>
          </w:p>
        </w:tc>
        <w:tc>
          <w:tcPr>
            <w:tcW w:w="820" w:type="dxa"/>
            <w:vAlign w:val="bottom"/>
            <w:shd w:val="clear" w:color="auto" w:fill="53C072"/>
          </w:tcPr>
          <w:p>
            <w:pPr>
              <w:spacing w:after="0"/>
              <w:rPr>
                <w:sz w:val="19"/>
                <w:szCs w:val="19"/>
                <w:color w:val="auto"/>
              </w:rPr>
            </w:pPr>
          </w:p>
        </w:tc>
        <w:tc>
          <w:tcPr>
            <w:tcW w:w="1800" w:type="dxa"/>
            <w:vAlign w:val="bottom"/>
            <w:tcBorders>
              <w:right w:val="single" w:sz="8" w:color="53C072"/>
            </w:tcBorders>
            <w:gridSpan w:val="4"/>
            <w:shd w:val="clear" w:color="auto" w:fill="53C072"/>
          </w:tcPr>
          <w:p>
            <w:pPr>
              <w:jc w:val="right"/>
              <w:ind w:right="120"/>
              <w:spacing w:after="0"/>
              <w:rPr>
                <w:sz w:val="20"/>
                <w:szCs w:val="20"/>
                <w:color w:val="auto"/>
              </w:rPr>
            </w:pPr>
            <w:r>
              <w:rPr>
                <w:rFonts w:ascii="Arial" w:cs="Arial" w:eastAsia="Arial" w:hAnsi="Arial"/>
                <w:sz w:val="14"/>
                <w:szCs w:val="14"/>
                <w:b w:val="1"/>
                <w:bCs w:val="1"/>
                <w:color w:val="FEFEFE"/>
              </w:rPr>
              <w:t>Financial (80% Weight)</w:t>
            </w:r>
          </w:p>
        </w:tc>
        <w:tc>
          <w:tcPr>
            <w:tcW w:w="60" w:type="dxa"/>
            <w:vAlign w:val="bottom"/>
            <w:shd w:val="clear" w:color="auto" w:fill="53C072"/>
          </w:tcPr>
          <w:p>
            <w:pPr>
              <w:spacing w:after="0"/>
              <w:rPr>
                <w:sz w:val="19"/>
                <w:szCs w:val="19"/>
                <w:color w:val="auto"/>
              </w:rPr>
            </w:pPr>
          </w:p>
        </w:tc>
        <w:tc>
          <w:tcPr>
            <w:tcW w:w="2020" w:type="dxa"/>
            <w:vAlign w:val="bottom"/>
            <w:tcBorders>
              <w:right w:val="single" w:sz="8" w:color="53C072"/>
            </w:tcBorders>
            <w:gridSpan w:val="5"/>
            <w:shd w:val="clear" w:color="auto" w:fill="53C072"/>
          </w:tcPr>
          <w:p>
            <w:pPr>
              <w:jc w:val="center"/>
              <w:ind w:right="60"/>
              <w:spacing w:after="0"/>
              <w:rPr>
                <w:sz w:val="20"/>
                <w:szCs w:val="20"/>
                <w:color w:val="auto"/>
              </w:rPr>
            </w:pPr>
            <w:r>
              <w:rPr>
                <w:rFonts w:ascii="Arial" w:cs="Arial" w:eastAsia="Arial" w:hAnsi="Arial"/>
                <w:sz w:val="14"/>
                <w:szCs w:val="14"/>
                <w:b w:val="1"/>
                <w:bCs w:val="1"/>
                <w:color w:val="FEFEFE"/>
              </w:rPr>
              <w:t>Non-Financial (20% Weight)</w:t>
            </w:r>
          </w:p>
        </w:tc>
        <w:tc>
          <w:tcPr>
            <w:tcW w:w="80" w:type="dxa"/>
            <w:vAlign w:val="bottom"/>
            <w:shd w:val="clear" w:color="auto" w:fill="53C072"/>
          </w:tcPr>
          <w:p>
            <w:pPr>
              <w:spacing w:after="0"/>
              <w:rPr>
                <w:sz w:val="19"/>
                <w:szCs w:val="19"/>
                <w:color w:val="auto"/>
              </w:rPr>
            </w:pPr>
          </w:p>
        </w:tc>
        <w:tc>
          <w:tcPr>
            <w:tcW w:w="1920" w:type="dxa"/>
            <w:vAlign w:val="bottom"/>
            <w:gridSpan w:val="5"/>
            <w:shd w:val="clear" w:color="auto" w:fill="53C072"/>
          </w:tcPr>
          <w:p>
            <w:pPr>
              <w:ind w:left="300"/>
              <w:spacing w:after="0"/>
              <w:rPr>
                <w:sz w:val="20"/>
                <w:szCs w:val="20"/>
                <w:color w:val="auto"/>
              </w:rPr>
            </w:pPr>
            <w:r>
              <w:rPr>
                <w:rFonts w:ascii="Arial" w:cs="Arial" w:eastAsia="Arial" w:hAnsi="Arial"/>
                <w:sz w:val="14"/>
                <w:szCs w:val="14"/>
                <w:b w:val="1"/>
                <w:bCs w:val="1"/>
                <w:color w:val="FEFEFE"/>
              </w:rPr>
              <w:t>Total Incentive Payout</w:t>
            </w:r>
          </w:p>
        </w:tc>
      </w:tr>
      <w:tr>
        <w:trPr>
          <w:trHeight w:val="191"/>
        </w:trPr>
        <w:tc>
          <w:tcPr>
            <w:tcW w:w="120" w:type="dxa"/>
            <w:vAlign w:val="bottom"/>
          </w:tcPr>
          <w:p>
            <w:pPr>
              <w:spacing w:after="0"/>
              <w:rPr>
                <w:sz w:val="16"/>
                <w:szCs w:val="16"/>
                <w:color w:val="auto"/>
              </w:rPr>
            </w:pPr>
          </w:p>
        </w:tc>
        <w:tc>
          <w:tcPr>
            <w:tcW w:w="1640" w:type="dxa"/>
            <w:vAlign w:val="bottom"/>
            <w:tcBorders>
              <w:top w:val="single" w:sz="8" w:color="53C072"/>
            </w:tcBorders>
            <w:shd w:val="clear" w:color="auto" w:fill="53C072"/>
          </w:tcPr>
          <w:p>
            <w:pPr>
              <w:spacing w:after="0"/>
              <w:rPr>
                <w:sz w:val="16"/>
                <w:szCs w:val="16"/>
                <w:color w:val="auto"/>
              </w:rPr>
            </w:pPr>
          </w:p>
        </w:tc>
        <w:tc>
          <w:tcPr>
            <w:tcW w:w="300" w:type="dxa"/>
            <w:vAlign w:val="bottom"/>
            <w:tcBorders>
              <w:top w:val="single" w:sz="8" w:color="53C072"/>
            </w:tcBorders>
            <w:shd w:val="clear" w:color="auto" w:fill="53C072"/>
          </w:tcPr>
          <w:p>
            <w:pPr>
              <w:spacing w:after="0"/>
              <w:rPr>
                <w:sz w:val="16"/>
                <w:szCs w:val="16"/>
                <w:color w:val="auto"/>
              </w:rPr>
            </w:pPr>
          </w:p>
        </w:tc>
        <w:tc>
          <w:tcPr>
            <w:tcW w:w="820" w:type="dxa"/>
            <w:vAlign w:val="bottom"/>
            <w:tcBorders>
              <w:top w:val="single" w:sz="8" w:color="53C072"/>
            </w:tcBorders>
            <w:shd w:val="clear" w:color="auto" w:fill="53C072"/>
          </w:tcPr>
          <w:p>
            <w:pPr>
              <w:spacing w:after="0"/>
              <w:rPr>
                <w:sz w:val="16"/>
                <w:szCs w:val="16"/>
                <w:color w:val="auto"/>
              </w:rPr>
            </w:pPr>
          </w:p>
        </w:tc>
        <w:tc>
          <w:tcPr>
            <w:tcW w:w="800" w:type="dxa"/>
            <w:vAlign w:val="bottom"/>
            <w:tcBorders>
              <w:top w:val="single" w:sz="8" w:color="auto"/>
            </w:tcBorders>
            <w:shd w:val="clear" w:color="auto" w:fill="53C072"/>
          </w:tcPr>
          <w:p>
            <w:pPr>
              <w:ind w:left="20"/>
              <w:spacing w:after="0"/>
              <w:rPr>
                <w:sz w:val="20"/>
                <w:szCs w:val="20"/>
                <w:color w:val="auto"/>
              </w:rPr>
            </w:pPr>
            <w:r>
              <w:rPr>
                <w:rFonts w:ascii="Arial" w:cs="Arial" w:eastAsia="Arial" w:hAnsi="Arial"/>
                <w:sz w:val="14"/>
                <w:szCs w:val="14"/>
                <w:b w:val="1"/>
                <w:bCs w:val="1"/>
                <w:color w:val="FEFEFE"/>
                <w:w w:val="99"/>
              </w:rPr>
              <w:t>% of Target</w:t>
            </w:r>
          </w:p>
        </w:tc>
        <w:tc>
          <w:tcPr>
            <w:tcW w:w="140" w:type="dxa"/>
            <w:vAlign w:val="bottom"/>
            <w:tcBorders>
              <w:top w:val="single" w:sz="8" w:color="auto"/>
            </w:tcBorders>
            <w:shd w:val="clear" w:color="auto" w:fill="53C072"/>
          </w:tcPr>
          <w:p>
            <w:pPr>
              <w:spacing w:after="0"/>
              <w:rPr>
                <w:sz w:val="16"/>
                <w:szCs w:val="16"/>
                <w:color w:val="auto"/>
              </w:rPr>
            </w:pPr>
          </w:p>
        </w:tc>
        <w:tc>
          <w:tcPr>
            <w:tcW w:w="760" w:type="dxa"/>
            <w:vAlign w:val="bottom"/>
            <w:tcBorders>
              <w:top w:val="single" w:sz="8" w:color="auto"/>
            </w:tcBorders>
            <w:shd w:val="clear" w:color="auto" w:fill="53C072"/>
          </w:tcPr>
          <w:p>
            <w:pPr>
              <w:spacing w:after="0"/>
              <w:rPr>
                <w:sz w:val="16"/>
                <w:szCs w:val="16"/>
                <w:color w:val="auto"/>
              </w:rPr>
            </w:pPr>
          </w:p>
        </w:tc>
        <w:tc>
          <w:tcPr>
            <w:tcW w:w="100" w:type="dxa"/>
            <w:vAlign w:val="bottom"/>
            <w:tcBorders>
              <w:top w:val="single" w:sz="8" w:color="53C072"/>
              <w:right w:val="single" w:sz="8" w:color="53C072"/>
            </w:tcBorders>
            <w:shd w:val="clear" w:color="auto" w:fill="53C072"/>
          </w:tcPr>
          <w:p>
            <w:pPr>
              <w:spacing w:after="0"/>
              <w:rPr>
                <w:sz w:val="16"/>
                <w:szCs w:val="16"/>
                <w:color w:val="auto"/>
              </w:rPr>
            </w:pPr>
          </w:p>
        </w:tc>
        <w:tc>
          <w:tcPr>
            <w:tcW w:w="60" w:type="dxa"/>
            <w:vAlign w:val="bottom"/>
            <w:tcBorders>
              <w:top w:val="single" w:sz="8" w:color="53C072"/>
            </w:tcBorders>
            <w:shd w:val="clear" w:color="auto" w:fill="53C072"/>
          </w:tcPr>
          <w:p>
            <w:pPr>
              <w:spacing w:after="0"/>
              <w:rPr>
                <w:sz w:val="16"/>
                <w:szCs w:val="16"/>
                <w:color w:val="auto"/>
              </w:rPr>
            </w:pPr>
          </w:p>
        </w:tc>
        <w:tc>
          <w:tcPr>
            <w:tcW w:w="940" w:type="dxa"/>
            <w:vAlign w:val="bottom"/>
            <w:tcBorders>
              <w:top w:val="single" w:sz="8" w:color="auto"/>
            </w:tcBorders>
            <w:shd w:val="clear" w:color="auto" w:fill="53C072"/>
          </w:tcPr>
          <w:p>
            <w:pPr>
              <w:ind w:left="120"/>
              <w:spacing w:after="0"/>
              <w:rPr>
                <w:sz w:val="20"/>
                <w:szCs w:val="20"/>
                <w:color w:val="auto"/>
              </w:rPr>
            </w:pPr>
            <w:r>
              <w:rPr>
                <w:rFonts w:ascii="Arial" w:cs="Arial" w:eastAsia="Arial" w:hAnsi="Arial"/>
                <w:sz w:val="14"/>
                <w:szCs w:val="14"/>
                <w:b w:val="1"/>
                <w:bCs w:val="1"/>
                <w:color w:val="FEFEFE"/>
              </w:rPr>
              <w:t>% of Target</w:t>
            </w:r>
          </w:p>
        </w:tc>
        <w:tc>
          <w:tcPr>
            <w:tcW w:w="140" w:type="dxa"/>
            <w:vAlign w:val="bottom"/>
            <w:tcBorders>
              <w:top w:val="single" w:sz="8" w:color="auto"/>
            </w:tcBorders>
            <w:shd w:val="clear" w:color="auto" w:fill="53C072"/>
          </w:tcPr>
          <w:p>
            <w:pPr>
              <w:spacing w:after="0"/>
              <w:rPr>
                <w:sz w:val="16"/>
                <w:szCs w:val="16"/>
                <w:color w:val="auto"/>
              </w:rPr>
            </w:pPr>
          </w:p>
        </w:tc>
        <w:tc>
          <w:tcPr>
            <w:tcW w:w="820" w:type="dxa"/>
            <w:vAlign w:val="bottom"/>
            <w:tcBorders>
              <w:top w:val="single" w:sz="8" w:color="auto"/>
            </w:tcBorders>
            <w:shd w:val="clear" w:color="auto" w:fill="53C072"/>
          </w:tcPr>
          <w:p>
            <w:pPr>
              <w:spacing w:after="0"/>
              <w:rPr>
                <w:sz w:val="16"/>
                <w:szCs w:val="16"/>
                <w:color w:val="auto"/>
              </w:rPr>
            </w:pPr>
          </w:p>
        </w:tc>
        <w:tc>
          <w:tcPr>
            <w:tcW w:w="20" w:type="dxa"/>
            <w:vAlign w:val="bottom"/>
            <w:tcBorders>
              <w:top w:val="single" w:sz="8" w:color="auto"/>
            </w:tcBorders>
            <w:shd w:val="clear" w:color="auto" w:fill="53C072"/>
          </w:tcPr>
          <w:p>
            <w:pPr>
              <w:spacing w:after="0"/>
              <w:rPr>
                <w:sz w:val="16"/>
                <w:szCs w:val="16"/>
                <w:color w:val="auto"/>
              </w:rPr>
            </w:pPr>
          </w:p>
        </w:tc>
        <w:tc>
          <w:tcPr>
            <w:tcW w:w="100" w:type="dxa"/>
            <w:vAlign w:val="bottom"/>
            <w:tcBorders>
              <w:top w:val="single" w:sz="8" w:color="53C072"/>
              <w:right w:val="single" w:sz="8" w:color="53C072"/>
            </w:tcBorders>
            <w:shd w:val="clear" w:color="auto" w:fill="53C072"/>
          </w:tcPr>
          <w:p>
            <w:pPr>
              <w:spacing w:after="0"/>
              <w:rPr>
                <w:sz w:val="16"/>
                <w:szCs w:val="16"/>
                <w:color w:val="auto"/>
              </w:rPr>
            </w:pPr>
          </w:p>
        </w:tc>
        <w:tc>
          <w:tcPr>
            <w:tcW w:w="80" w:type="dxa"/>
            <w:vAlign w:val="bottom"/>
            <w:tcBorders>
              <w:top w:val="single" w:sz="8" w:color="53C072"/>
            </w:tcBorders>
            <w:shd w:val="clear" w:color="auto" w:fill="53C072"/>
          </w:tcPr>
          <w:p>
            <w:pPr>
              <w:spacing w:after="0"/>
              <w:rPr>
                <w:sz w:val="16"/>
                <w:szCs w:val="16"/>
                <w:color w:val="auto"/>
              </w:rPr>
            </w:pPr>
          </w:p>
        </w:tc>
        <w:tc>
          <w:tcPr>
            <w:tcW w:w="800" w:type="dxa"/>
            <w:vAlign w:val="bottom"/>
            <w:tcBorders>
              <w:top w:val="single" w:sz="8" w:color="auto"/>
            </w:tcBorders>
            <w:shd w:val="clear" w:color="auto" w:fill="53C072"/>
          </w:tcPr>
          <w:p>
            <w:pPr>
              <w:spacing w:after="0"/>
              <w:rPr>
                <w:sz w:val="16"/>
                <w:szCs w:val="16"/>
                <w:color w:val="auto"/>
              </w:rPr>
            </w:pPr>
          </w:p>
        </w:tc>
        <w:tc>
          <w:tcPr>
            <w:tcW w:w="120" w:type="dxa"/>
            <w:vAlign w:val="bottom"/>
            <w:tcBorders>
              <w:top w:val="single" w:sz="8" w:color="auto"/>
            </w:tcBorders>
            <w:shd w:val="clear" w:color="auto" w:fill="53C072"/>
          </w:tcPr>
          <w:p>
            <w:pPr>
              <w:spacing w:after="0"/>
              <w:rPr>
                <w:sz w:val="16"/>
                <w:szCs w:val="16"/>
                <w:color w:val="auto"/>
              </w:rPr>
            </w:pPr>
          </w:p>
        </w:tc>
        <w:tc>
          <w:tcPr>
            <w:tcW w:w="240" w:type="dxa"/>
            <w:vAlign w:val="bottom"/>
            <w:tcBorders>
              <w:top w:val="single" w:sz="8" w:color="auto"/>
            </w:tcBorders>
            <w:shd w:val="clear" w:color="auto" w:fill="53C072"/>
          </w:tcPr>
          <w:p>
            <w:pPr>
              <w:spacing w:after="0"/>
              <w:rPr>
                <w:sz w:val="16"/>
                <w:szCs w:val="16"/>
                <w:color w:val="auto"/>
              </w:rPr>
            </w:pPr>
          </w:p>
        </w:tc>
        <w:tc>
          <w:tcPr>
            <w:tcW w:w="640" w:type="dxa"/>
            <w:vAlign w:val="bottom"/>
            <w:tcBorders>
              <w:top w:val="single" w:sz="8" w:color="auto"/>
            </w:tcBorders>
            <w:shd w:val="clear" w:color="auto" w:fill="53C072"/>
          </w:tcPr>
          <w:p>
            <w:pPr>
              <w:spacing w:after="0"/>
              <w:rPr>
                <w:sz w:val="16"/>
                <w:szCs w:val="16"/>
                <w:color w:val="auto"/>
              </w:rPr>
            </w:pPr>
          </w:p>
        </w:tc>
        <w:tc>
          <w:tcPr>
            <w:tcW w:w="120" w:type="dxa"/>
            <w:vAlign w:val="bottom"/>
            <w:tcBorders>
              <w:top w:val="single" w:sz="8" w:color="53C072"/>
            </w:tcBorders>
            <w:shd w:val="clear" w:color="auto" w:fill="53C072"/>
          </w:tcPr>
          <w:p>
            <w:pPr>
              <w:spacing w:after="0"/>
              <w:rPr>
                <w:sz w:val="16"/>
                <w:szCs w:val="16"/>
                <w:color w:val="auto"/>
              </w:rPr>
            </w:pPr>
          </w:p>
        </w:tc>
      </w:tr>
      <w:tr>
        <w:trPr>
          <w:trHeight w:val="185"/>
        </w:trPr>
        <w:tc>
          <w:tcPr>
            <w:tcW w:w="120" w:type="dxa"/>
            <w:vAlign w:val="bottom"/>
          </w:tcPr>
          <w:p>
            <w:pPr>
              <w:spacing w:after="0"/>
              <w:rPr>
                <w:sz w:val="16"/>
                <w:szCs w:val="16"/>
                <w:color w:val="auto"/>
              </w:rPr>
            </w:pPr>
          </w:p>
        </w:tc>
        <w:tc>
          <w:tcPr>
            <w:tcW w:w="1640" w:type="dxa"/>
            <w:vAlign w:val="bottom"/>
            <w:shd w:val="clear" w:color="auto" w:fill="53C072"/>
          </w:tcPr>
          <w:p>
            <w:pPr>
              <w:spacing w:after="0"/>
              <w:rPr>
                <w:sz w:val="20"/>
                <w:szCs w:val="20"/>
                <w:color w:val="auto"/>
              </w:rPr>
            </w:pPr>
            <w:r>
              <w:rPr>
                <w:rFonts w:ascii="Arial" w:cs="Arial" w:eastAsia="Arial" w:hAnsi="Arial"/>
                <w:sz w:val="14"/>
                <w:szCs w:val="14"/>
                <w:b w:val="1"/>
                <w:bCs w:val="1"/>
                <w:color w:val="FEFEFE"/>
              </w:rPr>
              <w:t>NEO</w:t>
            </w:r>
          </w:p>
        </w:tc>
        <w:tc>
          <w:tcPr>
            <w:tcW w:w="300" w:type="dxa"/>
            <w:vAlign w:val="bottom"/>
            <w:shd w:val="clear" w:color="auto" w:fill="53C072"/>
          </w:tcPr>
          <w:p>
            <w:pPr>
              <w:spacing w:after="0"/>
              <w:rPr>
                <w:sz w:val="16"/>
                <w:szCs w:val="16"/>
                <w:color w:val="auto"/>
              </w:rPr>
            </w:pPr>
          </w:p>
        </w:tc>
        <w:tc>
          <w:tcPr>
            <w:tcW w:w="820" w:type="dxa"/>
            <w:vAlign w:val="bottom"/>
            <w:shd w:val="clear" w:color="auto" w:fill="53C072"/>
          </w:tcPr>
          <w:p>
            <w:pPr>
              <w:jc w:val="right"/>
              <w:ind w:right="81"/>
              <w:spacing w:after="0"/>
              <w:rPr>
                <w:sz w:val="20"/>
                <w:szCs w:val="20"/>
                <w:color w:val="auto"/>
              </w:rPr>
            </w:pPr>
            <w:r>
              <w:rPr>
                <w:rFonts w:ascii="Arial" w:cs="Arial" w:eastAsia="Arial" w:hAnsi="Arial"/>
                <w:sz w:val="14"/>
                <w:szCs w:val="14"/>
                <w:b w:val="1"/>
                <w:bCs w:val="1"/>
                <w:color w:val="FEFEFE"/>
              </w:rPr>
              <w:t>Target $</w:t>
            </w:r>
          </w:p>
        </w:tc>
        <w:tc>
          <w:tcPr>
            <w:tcW w:w="940" w:type="dxa"/>
            <w:vAlign w:val="bottom"/>
            <w:gridSpan w:val="2"/>
            <w:shd w:val="clear" w:color="auto" w:fill="53C072"/>
          </w:tcPr>
          <w:p>
            <w:pPr>
              <w:ind w:left="340"/>
              <w:spacing w:after="0"/>
              <w:rPr>
                <w:sz w:val="20"/>
                <w:szCs w:val="20"/>
                <w:color w:val="auto"/>
              </w:rPr>
            </w:pPr>
            <w:r>
              <w:rPr>
                <w:rFonts w:ascii="Arial" w:cs="Arial" w:eastAsia="Arial" w:hAnsi="Arial"/>
                <w:sz w:val="14"/>
                <w:szCs w:val="14"/>
                <w:b w:val="1"/>
                <w:bCs w:val="1"/>
                <w:color w:val="FEFEFE"/>
              </w:rPr>
              <w:t>Earned</w:t>
            </w:r>
          </w:p>
        </w:tc>
        <w:tc>
          <w:tcPr>
            <w:tcW w:w="860" w:type="dxa"/>
            <w:vAlign w:val="bottom"/>
            <w:tcBorders>
              <w:right w:val="single" w:sz="8" w:color="53C072"/>
            </w:tcBorders>
            <w:gridSpan w:val="2"/>
            <w:shd w:val="clear" w:color="auto" w:fill="53C072"/>
          </w:tcPr>
          <w:p>
            <w:pPr>
              <w:jc w:val="right"/>
              <w:ind w:right="120"/>
              <w:spacing w:after="0"/>
              <w:rPr>
                <w:sz w:val="20"/>
                <w:szCs w:val="20"/>
                <w:color w:val="auto"/>
              </w:rPr>
            </w:pPr>
            <w:r>
              <w:rPr>
                <w:rFonts w:ascii="Arial" w:cs="Arial" w:eastAsia="Arial" w:hAnsi="Arial"/>
                <w:sz w:val="14"/>
                <w:szCs w:val="14"/>
                <w:b w:val="1"/>
                <w:bCs w:val="1"/>
                <w:color w:val="FEFEFE"/>
              </w:rPr>
              <w:t>$ Actual</w:t>
            </w:r>
          </w:p>
        </w:tc>
        <w:tc>
          <w:tcPr>
            <w:tcW w:w="60" w:type="dxa"/>
            <w:vAlign w:val="bottom"/>
            <w:shd w:val="clear" w:color="auto" w:fill="53C072"/>
          </w:tcPr>
          <w:p>
            <w:pPr>
              <w:spacing w:after="0"/>
              <w:rPr>
                <w:sz w:val="16"/>
                <w:szCs w:val="16"/>
                <w:color w:val="auto"/>
              </w:rPr>
            </w:pPr>
          </w:p>
        </w:tc>
        <w:tc>
          <w:tcPr>
            <w:tcW w:w="940" w:type="dxa"/>
            <w:vAlign w:val="bottom"/>
            <w:shd w:val="clear" w:color="auto" w:fill="53C072"/>
          </w:tcPr>
          <w:p>
            <w:pPr>
              <w:ind w:left="300"/>
              <w:spacing w:after="0"/>
              <w:rPr>
                <w:sz w:val="20"/>
                <w:szCs w:val="20"/>
                <w:color w:val="auto"/>
              </w:rPr>
            </w:pPr>
            <w:r>
              <w:rPr>
                <w:rFonts w:ascii="Arial" w:cs="Arial" w:eastAsia="Arial" w:hAnsi="Arial"/>
                <w:sz w:val="14"/>
                <w:szCs w:val="14"/>
                <w:b w:val="1"/>
                <w:bCs w:val="1"/>
                <w:color w:val="FEFEFE"/>
                <w:w w:val="99"/>
              </w:rPr>
              <w:t>Achieved</w:t>
            </w:r>
          </w:p>
        </w:tc>
        <w:tc>
          <w:tcPr>
            <w:tcW w:w="140" w:type="dxa"/>
            <w:vAlign w:val="bottom"/>
            <w:shd w:val="clear" w:color="auto" w:fill="53C072"/>
          </w:tcPr>
          <w:p>
            <w:pPr>
              <w:spacing w:after="0"/>
              <w:rPr>
                <w:sz w:val="16"/>
                <w:szCs w:val="16"/>
                <w:color w:val="auto"/>
              </w:rPr>
            </w:pPr>
          </w:p>
        </w:tc>
        <w:tc>
          <w:tcPr>
            <w:tcW w:w="940" w:type="dxa"/>
            <w:vAlign w:val="bottom"/>
            <w:tcBorders>
              <w:right w:val="single" w:sz="8" w:color="53C072"/>
            </w:tcBorders>
            <w:gridSpan w:val="3"/>
            <w:shd w:val="clear" w:color="auto" w:fill="53C072"/>
          </w:tcPr>
          <w:p>
            <w:pPr>
              <w:jc w:val="right"/>
              <w:ind w:right="100"/>
              <w:spacing w:after="0"/>
              <w:rPr>
                <w:sz w:val="20"/>
                <w:szCs w:val="20"/>
                <w:color w:val="auto"/>
              </w:rPr>
            </w:pPr>
            <w:r>
              <w:rPr>
                <w:rFonts w:ascii="Arial" w:cs="Arial" w:eastAsia="Arial" w:hAnsi="Arial"/>
                <w:sz w:val="14"/>
                <w:szCs w:val="14"/>
                <w:b w:val="1"/>
                <w:bCs w:val="1"/>
                <w:color w:val="FEFEFE"/>
              </w:rPr>
              <w:t>$ Actual</w:t>
            </w:r>
          </w:p>
        </w:tc>
        <w:tc>
          <w:tcPr>
            <w:tcW w:w="80" w:type="dxa"/>
            <w:vAlign w:val="bottom"/>
            <w:shd w:val="clear" w:color="auto" w:fill="53C072"/>
          </w:tcPr>
          <w:p>
            <w:pPr>
              <w:spacing w:after="0"/>
              <w:rPr>
                <w:sz w:val="16"/>
                <w:szCs w:val="16"/>
                <w:color w:val="auto"/>
              </w:rPr>
            </w:pPr>
          </w:p>
        </w:tc>
        <w:tc>
          <w:tcPr>
            <w:tcW w:w="800" w:type="dxa"/>
            <w:vAlign w:val="bottom"/>
            <w:shd w:val="clear" w:color="auto" w:fill="53C072"/>
          </w:tcPr>
          <w:p>
            <w:pPr>
              <w:ind w:left="40"/>
              <w:spacing w:after="0"/>
              <w:rPr>
                <w:sz w:val="20"/>
                <w:szCs w:val="20"/>
                <w:color w:val="auto"/>
              </w:rPr>
            </w:pPr>
            <w:r>
              <w:rPr>
                <w:rFonts w:ascii="Arial" w:cs="Arial" w:eastAsia="Arial" w:hAnsi="Arial"/>
                <w:sz w:val="14"/>
                <w:szCs w:val="14"/>
                <w:b w:val="1"/>
                <w:bCs w:val="1"/>
                <w:color w:val="FEFEFE"/>
                <w:w w:val="97"/>
              </w:rPr>
              <w:t>% of Target</w:t>
            </w:r>
          </w:p>
        </w:tc>
        <w:tc>
          <w:tcPr>
            <w:tcW w:w="120" w:type="dxa"/>
            <w:vAlign w:val="bottom"/>
            <w:shd w:val="clear" w:color="auto" w:fill="53C072"/>
          </w:tcPr>
          <w:p>
            <w:pPr>
              <w:spacing w:after="0"/>
              <w:rPr>
                <w:sz w:val="16"/>
                <w:szCs w:val="16"/>
                <w:color w:val="auto"/>
              </w:rPr>
            </w:pPr>
          </w:p>
        </w:tc>
        <w:tc>
          <w:tcPr>
            <w:tcW w:w="240" w:type="dxa"/>
            <w:vAlign w:val="bottom"/>
            <w:shd w:val="clear" w:color="auto" w:fill="53C072"/>
          </w:tcPr>
          <w:p>
            <w:pPr>
              <w:spacing w:after="0"/>
              <w:rPr>
                <w:sz w:val="16"/>
                <w:szCs w:val="16"/>
                <w:color w:val="auto"/>
              </w:rPr>
            </w:pPr>
          </w:p>
        </w:tc>
        <w:tc>
          <w:tcPr>
            <w:tcW w:w="760" w:type="dxa"/>
            <w:vAlign w:val="bottom"/>
            <w:gridSpan w:val="2"/>
            <w:shd w:val="clear" w:color="auto" w:fill="53C072"/>
          </w:tcPr>
          <w:p>
            <w:pPr>
              <w:jc w:val="right"/>
              <w:ind w:right="120"/>
              <w:spacing w:after="0"/>
              <w:rPr>
                <w:sz w:val="20"/>
                <w:szCs w:val="20"/>
                <w:color w:val="auto"/>
              </w:rPr>
            </w:pPr>
            <w:r>
              <w:rPr>
                <w:rFonts w:ascii="Arial" w:cs="Arial" w:eastAsia="Arial" w:hAnsi="Arial"/>
                <w:sz w:val="14"/>
                <w:szCs w:val="14"/>
                <w:b w:val="1"/>
                <w:bCs w:val="1"/>
                <w:color w:val="FEFEFE"/>
              </w:rPr>
              <w:t>$ Actual</w:t>
            </w:r>
          </w:p>
        </w:tc>
      </w:tr>
      <w:tr>
        <w:trPr>
          <w:trHeight w:val="243"/>
        </w:trPr>
        <w:tc>
          <w:tcPr>
            <w:tcW w:w="120" w:type="dxa"/>
            <w:vAlign w:val="bottom"/>
          </w:tcPr>
          <w:p>
            <w:pPr>
              <w:spacing w:after="0"/>
              <w:rPr>
                <w:sz w:val="21"/>
                <w:szCs w:val="21"/>
                <w:color w:val="auto"/>
              </w:rPr>
            </w:pPr>
          </w:p>
        </w:tc>
        <w:tc>
          <w:tcPr>
            <w:tcW w:w="1640" w:type="dxa"/>
            <w:vAlign w:val="bottom"/>
          </w:tcPr>
          <w:p>
            <w:pPr>
              <w:spacing w:after="0"/>
              <w:rPr>
                <w:sz w:val="20"/>
                <w:szCs w:val="20"/>
                <w:color w:val="auto"/>
              </w:rPr>
            </w:pPr>
            <w:r>
              <w:rPr>
                <w:rFonts w:ascii="Arial" w:cs="Arial" w:eastAsia="Arial" w:hAnsi="Arial"/>
                <w:sz w:val="16"/>
                <w:szCs w:val="16"/>
                <w:color w:val="auto"/>
              </w:rPr>
              <w:t>Gallagher</w:t>
            </w: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​$1,800,000</w:t>
            </w:r>
          </w:p>
        </w:tc>
        <w:tc>
          <w:tcPr>
            <w:tcW w:w="800" w:type="dxa"/>
            <w:vAlign w:val="bottom"/>
          </w:tcPr>
          <w:p>
            <w:pPr>
              <w:ind w:left="320"/>
              <w:spacing w:after="0"/>
              <w:rPr>
                <w:sz w:val="20"/>
                <w:szCs w:val="20"/>
                <w:color w:val="auto"/>
              </w:rPr>
            </w:pPr>
            <w:r>
              <w:rPr>
                <w:rFonts w:ascii="Arial" w:cs="Arial" w:eastAsia="Arial" w:hAnsi="Arial"/>
                <w:sz w:val="16"/>
                <w:szCs w:val="16"/>
                <w:color w:val="auto"/>
              </w:rPr>
              <w:t>​32%</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53C072"/>
            </w:tcBorders>
            <w:gridSpan w:val="2"/>
          </w:tcPr>
          <w:p>
            <w:pPr>
              <w:ind w:left="60"/>
              <w:spacing w:after="0"/>
              <w:rPr>
                <w:sz w:val="20"/>
                <w:szCs w:val="20"/>
                <w:color w:val="auto"/>
              </w:rPr>
            </w:pPr>
            <w:r>
              <w:rPr>
                <w:rFonts w:ascii="Arial" w:cs="Arial" w:eastAsia="Arial" w:hAnsi="Arial"/>
                <w:sz w:val="16"/>
                <w:szCs w:val="16"/>
                <w:color w:val="auto"/>
              </w:rPr>
              <w:t>​$576,000</w:t>
            </w:r>
          </w:p>
        </w:tc>
        <w:tc>
          <w:tcPr>
            <w:tcW w:w="60" w:type="dxa"/>
            <w:vAlign w:val="bottom"/>
          </w:tcPr>
          <w:p>
            <w:pPr>
              <w:spacing w:after="0"/>
              <w:rPr>
                <w:sz w:val="21"/>
                <w:szCs w:val="21"/>
                <w:color w:val="auto"/>
              </w:rPr>
            </w:pPr>
          </w:p>
        </w:tc>
        <w:tc>
          <w:tcPr>
            <w:tcW w:w="940" w:type="dxa"/>
            <w:vAlign w:val="bottom"/>
          </w:tcPr>
          <w:p>
            <w:pPr>
              <w:ind w:left="340"/>
              <w:spacing w:after="0"/>
              <w:rPr>
                <w:sz w:val="20"/>
                <w:szCs w:val="20"/>
                <w:color w:val="auto"/>
              </w:rPr>
            </w:pPr>
            <w:r>
              <w:rPr>
                <w:rFonts w:ascii="Arial" w:cs="Arial" w:eastAsia="Arial" w:hAnsi="Arial"/>
                <w:sz w:val="16"/>
                <w:szCs w:val="16"/>
                <w:color w:val="auto"/>
              </w:rPr>
              <w:t>​200%</w:t>
            </w:r>
          </w:p>
        </w:tc>
        <w:tc>
          <w:tcPr>
            <w:tcW w:w="14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53C072"/>
            </w:tcBorders>
            <w:gridSpan w:val="3"/>
          </w:tcPr>
          <w:p>
            <w:pPr>
              <w:jc w:val="right"/>
              <w:ind w:right="60"/>
              <w:spacing w:after="0"/>
              <w:rPr>
                <w:sz w:val="20"/>
                <w:szCs w:val="20"/>
                <w:color w:val="auto"/>
              </w:rPr>
            </w:pPr>
            <w:r>
              <w:rPr>
                <w:rFonts w:ascii="Arial" w:cs="Arial" w:eastAsia="Arial" w:hAnsi="Arial"/>
                <w:sz w:val="16"/>
                <w:szCs w:val="16"/>
                <w:color w:val="auto"/>
              </w:rPr>
              <w:t>​$720,000 ​</w:t>
            </w:r>
          </w:p>
        </w:tc>
        <w:tc>
          <w:tcPr>
            <w:tcW w:w="8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​$1,296,000</w:t>
            </w:r>
          </w:p>
        </w:tc>
      </w:tr>
      <w:tr>
        <w:trPr>
          <w:trHeight w:val="243"/>
        </w:trPr>
        <w:tc>
          <w:tcPr>
            <w:tcW w:w="120" w:type="dxa"/>
            <w:vAlign w:val="bottom"/>
            <w:shd w:val="clear" w:color="auto" w:fill="CBECD5"/>
          </w:tcPr>
          <w:p>
            <w:pPr>
              <w:spacing w:after="0"/>
              <w:rPr>
                <w:sz w:val="21"/>
                <w:szCs w:val="21"/>
                <w:color w:val="auto"/>
              </w:rPr>
            </w:pPr>
          </w:p>
        </w:tc>
        <w:tc>
          <w:tcPr>
            <w:tcW w:w="1640" w:type="dxa"/>
            <w:vAlign w:val="bottom"/>
            <w:shd w:val="clear" w:color="auto" w:fill="CBECD5"/>
          </w:tcPr>
          <w:p>
            <w:pPr>
              <w:spacing w:after="0"/>
              <w:rPr>
                <w:sz w:val="20"/>
                <w:szCs w:val="20"/>
                <w:color w:val="auto"/>
              </w:rPr>
            </w:pPr>
            <w:r>
              <w:rPr>
                <w:rFonts w:ascii="Arial" w:cs="Arial" w:eastAsia="Arial" w:hAnsi="Arial"/>
                <w:sz w:val="16"/>
                <w:szCs w:val="16"/>
                <w:color w:val="auto"/>
              </w:rPr>
              <w:t>Jacobson</w:t>
            </w:r>
          </w:p>
        </w:tc>
        <w:tc>
          <w:tcPr>
            <w:tcW w:w="300" w:type="dxa"/>
            <w:vAlign w:val="bottom"/>
            <w:shd w:val="clear" w:color="auto" w:fill="CBECD5"/>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BECD5"/>
          </w:tcPr>
          <w:p>
            <w:pPr>
              <w:jc w:val="right"/>
              <w:ind w:right="81"/>
              <w:spacing w:after="0"/>
              <w:rPr>
                <w:sz w:val="20"/>
                <w:szCs w:val="20"/>
                <w:color w:val="auto"/>
              </w:rPr>
            </w:pPr>
            <w:r>
              <w:rPr>
                <w:rFonts w:ascii="Arial" w:cs="Arial" w:eastAsia="Arial" w:hAnsi="Arial"/>
                <w:sz w:val="16"/>
                <w:szCs w:val="16"/>
                <w:color w:val="auto"/>
              </w:rPr>
              <w:t>675,000</w:t>
            </w:r>
          </w:p>
        </w:tc>
        <w:tc>
          <w:tcPr>
            <w:tcW w:w="800" w:type="dxa"/>
            <w:vAlign w:val="bottom"/>
            <w:shd w:val="clear" w:color="auto" w:fill="CBECD5"/>
          </w:tcPr>
          <w:p>
            <w:pPr>
              <w:ind w:left="320"/>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BECD5"/>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53C072"/>
            </w:tcBorders>
            <w:gridSpan w:val="2"/>
            <w:shd w:val="clear" w:color="auto" w:fill="CBECD5"/>
          </w:tcPr>
          <w:p>
            <w:pPr>
              <w:ind w:left="60"/>
              <w:spacing w:after="0"/>
              <w:rPr>
                <w:sz w:val="20"/>
                <w:szCs w:val="20"/>
                <w:color w:val="auto"/>
              </w:rPr>
            </w:pPr>
            <w:r>
              <w:rPr>
                <w:rFonts w:ascii="Arial" w:cs="Arial" w:eastAsia="Arial" w:hAnsi="Arial"/>
                <w:sz w:val="16"/>
                <w:szCs w:val="16"/>
                <w:color w:val="auto"/>
              </w:rPr>
              <w:t>​$216,000</w:t>
            </w:r>
          </w:p>
        </w:tc>
        <w:tc>
          <w:tcPr>
            <w:tcW w:w="60" w:type="dxa"/>
            <w:vAlign w:val="bottom"/>
            <w:shd w:val="clear" w:color="auto" w:fill="CBECD5"/>
          </w:tcPr>
          <w:p>
            <w:pPr>
              <w:spacing w:after="0"/>
              <w:rPr>
                <w:sz w:val="21"/>
                <w:szCs w:val="21"/>
                <w:color w:val="auto"/>
              </w:rPr>
            </w:pPr>
          </w:p>
        </w:tc>
        <w:tc>
          <w:tcPr>
            <w:tcW w:w="940" w:type="dxa"/>
            <w:vAlign w:val="bottom"/>
            <w:shd w:val="clear" w:color="auto" w:fill="CBECD5"/>
          </w:tcPr>
          <w:p>
            <w:pPr>
              <w:ind w:left="340"/>
              <w:spacing w:after="0"/>
              <w:rPr>
                <w:sz w:val="20"/>
                <w:szCs w:val="20"/>
                <w:color w:val="auto"/>
              </w:rPr>
            </w:pPr>
            <w:r>
              <w:rPr>
                <w:rFonts w:ascii="Arial" w:cs="Arial" w:eastAsia="Arial" w:hAnsi="Arial"/>
                <w:sz w:val="16"/>
                <w:szCs w:val="16"/>
                <w:color w:val="auto"/>
              </w:rPr>
              <w:t>​200%</w:t>
            </w:r>
          </w:p>
        </w:tc>
        <w:tc>
          <w:tcPr>
            <w:tcW w:w="140" w:type="dxa"/>
            <w:vAlign w:val="bottom"/>
            <w:shd w:val="clear" w:color="auto" w:fill="CBECD5"/>
          </w:tcPr>
          <w:p>
            <w:pPr>
              <w:jc w:val="center"/>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BECD5"/>
          </w:tcPr>
          <w:p>
            <w:pPr>
              <w:ind w:left="80"/>
              <w:spacing w:after="0"/>
              <w:rPr>
                <w:sz w:val="20"/>
                <w:szCs w:val="20"/>
                <w:color w:val="auto"/>
              </w:rPr>
            </w:pPr>
            <w:r>
              <w:rPr>
                <w:rFonts w:ascii="Arial" w:cs="Arial" w:eastAsia="Arial" w:hAnsi="Arial"/>
                <w:sz w:val="16"/>
                <w:szCs w:val="16"/>
                <w:color w:val="auto"/>
              </w:rPr>
              <w:t>​$270,000</w:t>
            </w:r>
          </w:p>
        </w:tc>
        <w:tc>
          <w:tcPr>
            <w:tcW w:w="120" w:type="dxa"/>
            <w:vAlign w:val="bottom"/>
            <w:tcBorders>
              <w:right w:val="single" w:sz="8" w:color="53C072"/>
            </w:tcBorders>
            <w:gridSpan w:val="2"/>
            <w:shd w:val="clear" w:color="auto" w:fill="CBECD5"/>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BECD5"/>
          </w:tcPr>
          <w:p>
            <w:pPr>
              <w:spacing w:after="0"/>
              <w:rPr>
                <w:sz w:val="21"/>
                <w:szCs w:val="21"/>
                <w:color w:val="auto"/>
              </w:rPr>
            </w:pPr>
          </w:p>
        </w:tc>
        <w:tc>
          <w:tcPr>
            <w:tcW w:w="800" w:type="dxa"/>
            <w:vAlign w:val="bottom"/>
            <w:shd w:val="clear" w:color="auto" w:fill="CBECD5"/>
          </w:tcPr>
          <w:p>
            <w:pPr>
              <w:ind w:left="300"/>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BECD5"/>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BECD5"/>
          </w:tcPr>
          <w:p>
            <w:pPr>
              <w:ind w:left="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BECD5"/>
          </w:tcPr>
          <w:p>
            <w:pPr>
              <w:jc w:val="right"/>
              <w:ind w:right="100"/>
              <w:spacing w:after="0"/>
              <w:rPr>
                <w:sz w:val="20"/>
                <w:szCs w:val="20"/>
                <w:color w:val="auto"/>
              </w:rPr>
            </w:pPr>
            <w:r>
              <w:rPr>
                <w:rFonts w:ascii="Arial" w:cs="Arial" w:eastAsia="Arial" w:hAnsi="Arial"/>
                <w:sz w:val="16"/>
                <w:szCs w:val="16"/>
                <w:color w:val="auto"/>
              </w:rPr>
              <w:t>486,000</w:t>
            </w:r>
          </w:p>
        </w:tc>
      </w:tr>
      <w:tr>
        <w:trPr>
          <w:trHeight w:val="243"/>
        </w:trPr>
        <w:tc>
          <w:tcPr>
            <w:tcW w:w="120" w:type="dxa"/>
            <w:vAlign w:val="bottom"/>
          </w:tcPr>
          <w:p>
            <w:pPr>
              <w:spacing w:after="0"/>
              <w:rPr>
                <w:sz w:val="21"/>
                <w:szCs w:val="21"/>
                <w:color w:val="auto"/>
              </w:rPr>
            </w:pPr>
          </w:p>
        </w:tc>
        <w:tc>
          <w:tcPr>
            <w:tcW w:w="1640" w:type="dxa"/>
            <w:vAlign w:val="bottom"/>
          </w:tcPr>
          <w:p>
            <w:pPr>
              <w:spacing w:after="0"/>
              <w:rPr>
                <w:sz w:val="20"/>
                <w:szCs w:val="20"/>
                <w:color w:val="auto"/>
              </w:rPr>
            </w:pPr>
            <w:r>
              <w:rPr>
                <w:rFonts w:ascii="Arial" w:cs="Arial" w:eastAsia="Arial" w:hAnsi="Arial"/>
                <w:sz w:val="16"/>
                <w:szCs w:val="16"/>
                <w:color w:val="auto"/>
              </w:rPr>
              <w:t>Arnold</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420,000</w:t>
            </w:r>
          </w:p>
        </w:tc>
        <w:tc>
          <w:tcPr>
            <w:tcW w:w="800" w:type="dxa"/>
            <w:vAlign w:val="bottom"/>
          </w:tcPr>
          <w:p>
            <w:pPr>
              <w:ind w:left="320"/>
              <w:spacing w:after="0"/>
              <w:rPr>
                <w:sz w:val="20"/>
                <w:szCs w:val="20"/>
                <w:color w:val="auto"/>
              </w:rPr>
            </w:pPr>
            <w:r>
              <w:rPr>
                <w:rFonts w:ascii="Arial" w:cs="Arial" w:eastAsia="Arial" w:hAnsi="Arial"/>
                <w:sz w:val="16"/>
                <w:szCs w:val="16"/>
                <w:color w:val="auto"/>
              </w:rPr>
              <w:t>​32%</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53C072"/>
            </w:tcBorders>
            <w:gridSpan w:val="2"/>
          </w:tcPr>
          <w:p>
            <w:pPr>
              <w:ind w:left="60"/>
              <w:spacing w:after="0"/>
              <w:rPr>
                <w:sz w:val="20"/>
                <w:szCs w:val="20"/>
                <w:color w:val="auto"/>
              </w:rPr>
            </w:pPr>
            <w:r>
              <w:rPr>
                <w:rFonts w:ascii="Arial" w:cs="Arial" w:eastAsia="Arial" w:hAnsi="Arial"/>
                <w:sz w:val="16"/>
                <w:szCs w:val="16"/>
                <w:color w:val="auto"/>
              </w:rPr>
              <w:t>​$134,400</w:t>
            </w:r>
          </w:p>
        </w:tc>
        <w:tc>
          <w:tcPr>
            <w:tcW w:w="60" w:type="dxa"/>
            <w:vAlign w:val="bottom"/>
          </w:tcPr>
          <w:p>
            <w:pPr>
              <w:spacing w:after="0"/>
              <w:rPr>
                <w:sz w:val="21"/>
                <w:szCs w:val="21"/>
                <w:color w:val="auto"/>
              </w:rPr>
            </w:pPr>
          </w:p>
        </w:tc>
        <w:tc>
          <w:tcPr>
            <w:tcW w:w="940" w:type="dxa"/>
            <w:vAlign w:val="bottom"/>
          </w:tcPr>
          <w:p>
            <w:pPr>
              <w:ind w:left="340"/>
              <w:spacing w:after="0"/>
              <w:rPr>
                <w:sz w:val="20"/>
                <w:szCs w:val="20"/>
                <w:color w:val="auto"/>
              </w:rPr>
            </w:pPr>
            <w:r>
              <w:rPr>
                <w:rFonts w:ascii="Arial" w:cs="Arial" w:eastAsia="Arial" w:hAnsi="Arial"/>
                <w:sz w:val="16"/>
                <w:szCs w:val="16"/>
                <w:color w:val="auto"/>
              </w:rPr>
              <w:t>​200%</w:t>
            </w:r>
          </w:p>
        </w:tc>
        <w:tc>
          <w:tcPr>
            <w:tcW w:w="14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820" w:type="dxa"/>
            <w:vAlign w:val="bottom"/>
          </w:tcPr>
          <w:p>
            <w:pPr>
              <w:ind w:left="80"/>
              <w:spacing w:after="0"/>
              <w:rPr>
                <w:sz w:val="20"/>
                <w:szCs w:val="20"/>
                <w:color w:val="auto"/>
              </w:rPr>
            </w:pPr>
            <w:r>
              <w:rPr>
                <w:rFonts w:ascii="Arial" w:cs="Arial" w:eastAsia="Arial" w:hAnsi="Arial"/>
                <w:sz w:val="16"/>
                <w:szCs w:val="16"/>
                <w:color w:val="auto"/>
              </w:rPr>
              <w:t>​$168,000</w:t>
            </w:r>
          </w:p>
        </w:tc>
        <w:tc>
          <w:tcPr>
            <w:tcW w:w="120" w:type="dxa"/>
            <w:vAlign w:val="bottom"/>
            <w:tcBorders>
              <w:right w:val="single" w:sz="8" w:color="53C072"/>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40" w:type="dxa"/>
            <w:vAlign w:val="bottom"/>
          </w:tcPr>
          <w:p>
            <w:pPr>
              <w:ind w:left="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302,400</w:t>
            </w:r>
          </w:p>
        </w:tc>
      </w:tr>
      <w:tr>
        <w:trPr>
          <w:trHeight w:val="243"/>
        </w:trPr>
        <w:tc>
          <w:tcPr>
            <w:tcW w:w="120" w:type="dxa"/>
            <w:vAlign w:val="bottom"/>
            <w:shd w:val="clear" w:color="auto" w:fill="CBECD5"/>
          </w:tcPr>
          <w:p>
            <w:pPr>
              <w:spacing w:after="0"/>
              <w:rPr>
                <w:sz w:val="21"/>
                <w:szCs w:val="21"/>
                <w:color w:val="auto"/>
              </w:rPr>
            </w:pPr>
          </w:p>
        </w:tc>
        <w:tc>
          <w:tcPr>
            <w:tcW w:w="1640" w:type="dxa"/>
            <w:vAlign w:val="bottom"/>
            <w:shd w:val="clear" w:color="auto" w:fill="CBECD5"/>
          </w:tcPr>
          <w:p>
            <w:pPr>
              <w:spacing w:after="0"/>
              <w:rPr>
                <w:sz w:val="20"/>
                <w:szCs w:val="20"/>
                <w:color w:val="auto"/>
              </w:rPr>
            </w:pPr>
            <w:r>
              <w:rPr>
                <w:rFonts w:ascii="Arial" w:cs="Arial" w:eastAsia="Arial" w:hAnsi="Arial"/>
                <w:sz w:val="16"/>
                <w:szCs w:val="16"/>
                <w:color w:val="auto"/>
              </w:rPr>
              <w:t>Chan</w:t>
            </w:r>
          </w:p>
        </w:tc>
        <w:tc>
          <w:tcPr>
            <w:tcW w:w="300" w:type="dxa"/>
            <w:vAlign w:val="bottom"/>
            <w:shd w:val="clear" w:color="auto" w:fill="CBECD5"/>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BECD5"/>
          </w:tcPr>
          <w:p>
            <w:pPr>
              <w:jc w:val="right"/>
              <w:ind w:right="81"/>
              <w:spacing w:after="0"/>
              <w:rPr>
                <w:sz w:val="20"/>
                <w:szCs w:val="20"/>
                <w:color w:val="auto"/>
              </w:rPr>
            </w:pPr>
            <w:r>
              <w:rPr>
                <w:rFonts w:ascii="Arial" w:cs="Arial" w:eastAsia="Arial" w:hAnsi="Arial"/>
                <w:sz w:val="16"/>
                <w:szCs w:val="16"/>
                <w:color w:val="auto"/>
              </w:rPr>
              <w:t>440,000</w:t>
            </w:r>
          </w:p>
        </w:tc>
        <w:tc>
          <w:tcPr>
            <w:tcW w:w="800" w:type="dxa"/>
            <w:vAlign w:val="bottom"/>
            <w:shd w:val="clear" w:color="auto" w:fill="CBECD5"/>
          </w:tcPr>
          <w:p>
            <w:pPr>
              <w:ind w:left="320"/>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BECD5"/>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53C072"/>
            </w:tcBorders>
            <w:gridSpan w:val="2"/>
            <w:shd w:val="clear" w:color="auto" w:fill="CBECD5"/>
          </w:tcPr>
          <w:p>
            <w:pPr>
              <w:ind w:left="60"/>
              <w:spacing w:after="0"/>
              <w:rPr>
                <w:sz w:val="20"/>
                <w:szCs w:val="20"/>
                <w:color w:val="auto"/>
              </w:rPr>
            </w:pPr>
            <w:r>
              <w:rPr>
                <w:rFonts w:ascii="Arial" w:cs="Arial" w:eastAsia="Arial" w:hAnsi="Arial"/>
                <w:sz w:val="16"/>
                <w:szCs w:val="16"/>
                <w:color w:val="auto"/>
              </w:rPr>
              <w:t>​$140,800</w:t>
            </w:r>
          </w:p>
        </w:tc>
        <w:tc>
          <w:tcPr>
            <w:tcW w:w="60" w:type="dxa"/>
            <w:vAlign w:val="bottom"/>
            <w:shd w:val="clear" w:color="auto" w:fill="CBECD5"/>
          </w:tcPr>
          <w:p>
            <w:pPr>
              <w:spacing w:after="0"/>
              <w:rPr>
                <w:sz w:val="21"/>
                <w:szCs w:val="21"/>
                <w:color w:val="auto"/>
              </w:rPr>
            </w:pPr>
          </w:p>
        </w:tc>
        <w:tc>
          <w:tcPr>
            <w:tcW w:w="940" w:type="dxa"/>
            <w:vAlign w:val="bottom"/>
            <w:shd w:val="clear" w:color="auto" w:fill="CBECD5"/>
          </w:tcPr>
          <w:p>
            <w:pPr>
              <w:ind w:left="340"/>
              <w:spacing w:after="0"/>
              <w:rPr>
                <w:sz w:val="20"/>
                <w:szCs w:val="20"/>
                <w:color w:val="auto"/>
              </w:rPr>
            </w:pPr>
            <w:r>
              <w:rPr>
                <w:rFonts w:ascii="Arial" w:cs="Arial" w:eastAsia="Arial" w:hAnsi="Arial"/>
                <w:sz w:val="16"/>
                <w:szCs w:val="16"/>
                <w:color w:val="auto"/>
              </w:rPr>
              <w:t>​200%</w:t>
            </w:r>
          </w:p>
        </w:tc>
        <w:tc>
          <w:tcPr>
            <w:tcW w:w="140" w:type="dxa"/>
            <w:vAlign w:val="bottom"/>
            <w:shd w:val="clear" w:color="auto" w:fill="CBECD5"/>
          </w:tcPr>
          <w:p>
            <w:pPr>
              <w:jc w:val="center"/>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BECD5"/>
          </w:tcPr>
          <w:p>
            <w:pPr>
              <w:ind w:left="80"/>
              <w:spacing w:after="0"/>
              <w:rPr>
                <w:sz w:val="20"/>
                <w:szCs w:val="20"/>
                <w:color w:val="auto"/>
              </w:rPr>
            </w:pPr>
            <w:r>
              <w:rPr>
                <w:rFonts w:ascii="Arial" w:cs="Arial" w:eastAsia="Arial" w:hAnsi="Arial"/>
                <w:sz w:val="16"/>
                <w:szCs w:val="16"/>
                <w:color w:val="auto"/>
              </w:rPr>
              <w:t>​$176,000</w:t>
            </w:r>
          </w:p>
        </w:tc>
        <w:tc>
          <w:tcPr>
            <w:tcW w:w="120" w:type="dxa"/>
            <w:vAlign w:val="bottom"/>
            <w:tcBorders>
              <w:right w:val="single" w:sz="8" w:color="53C072"/>
            </w:tcBorders>
            <w:gridSpan w:val="2"/>
            <w:shd w:val="clear" w:color="auto" w:fill="CBECD5"/>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BECD5"/>
          </w:tcPr>
          <w:p>
            <w:pPr>
              <w:spacing w:after="0"/>
              <w:rPr>
                <w:sz w:val="21"/>
                <w:szCs w:val="21"/>
                <w:color w:val="auto"/>
              </w:rPr>
            </w:pPr>
          </w:p>
        </w:tc>
        <w:tc>
          <w:tcPr>
            <w:tcW w:w="800" w:type="dxa"/>
            <w:vAlign w:val="bottom"/>
            <w:shd w:val="clear" w:color="auto" w:fill="CBECD5"/>
          </w:tcPr>
          <w:p>
            <w:pPr>
              <w:ind w:left="300"/>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BECD5"/>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BECD5"/>
          </w:tcPr>
          <w:p>
            <w:pPr>
              <w:ind w:left="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BECD5"/>
          </w:tcPr>
          <w:p>
            <w:pPr>
              <w:jc w:val="right"/>
              <w:ind w:right="100"/>
              <w:spacing w:after="0"/>
              <w:rPr>
                <w:sz w:val="20"/>
                <w:szCs w:val="20"/>
                <w:color w:val="auto"/>
              </w:rPr>
            </w:pPr>
            <w:r>
              <w:rPr>
                <w:rFonts w:ascii="Arial" w:cs="Arial" w:eastAsia="Arial" w:hAnsi="Arial"/>
                <w:sz w:val="16"/>
                <w:szCs w:val="16"/>
                <w:color w:val="auto"/>
              </w:rPr>
              <w:t>316,800</w:t>
            </w:r>
          </w:p>
        </w:tc>
      </w:tr>
      <w:tr>
        <w:trPr>
          <w:trHeight w:val="277"/>
        </w:trPr>
        <w:tc>
          <w:tcPr>
            <w:tcW w:w="120" w:type="dxa"/>
            <w:vAlign w:val="bottom"/>
            <w:tcBorders>
              <w:bottom w:val="single" w:sz="8" w:color="53C072"/>
            </w:tcBorders>
          </w:tcPr>
          <w:p>
            <w:pPr>
              <w:spacing w:after="0"/>
              <w:rPr>
                <w:sz w:val="24"/>
                <w:szCs w:val="24"/>
                <w:color w:val="auto"/>
              </w:rPr>
            </w:pPr>
          </w:p>
        </w:tc>
        <w:tc>
          <w:tcPr>
            <w:tcW w:w="1640" w:type="dxa"/>
            <w:vAlign w:val="bottom"/>
            <w:tcBorders>
              <w:bottom w:val="single" w:sz="8" w:color="53C072"/>
            </w:tcBorders>
          </w:tcPr>
          <w:p>
            <w:pPr>
              <w:spacing w:after="0"/>
              <w:rPr>
                <w:sz w:val="20"/>
                <w:szCs w:val="20"/>
                <w:color w:val="auto"/>
              </w:rPr>
            </w:pPr>
            <w:r>
              <w:rPr>
                <w:rFonts w:ascii="Arial" w:cs="Arial" w:eastAsia="Arial" w:hAnsi="Arial"/>
                <w:sz w:val="16"/>
                <w:szCs w:val="16"/>
                <w:color w:val="auto"/>
              </w:rPr>
              <w:t>McCoy</w:t>
            </w:r>
          </w:p>
        </w:tc>
        <w:tc>
          <w:tcPr>
            <w:tcW w:w="300" w:type="dxa"/>
            <w:vAlign w:val="bottom"/>
            <w:tcBorders>
              <w:bottom w:val="single" w:sz="8" w:color="53C072"/>
            </w:tcBorders>
          </w:tcPr>
          <w:p>
            <w:pPr>
              <w:ind w:left="140"/>
              <w:spacing w:after="0" w:line="269" w:lineRule="exact"/>
              <w:rPr>
                <w:sz w:val="20"/>
                <w:szCs w:val="20"/>
                <w:color w:val="auto"/>
              </w:rPr>
            </w:pPr>
            <w:r>
              <w:rPr>
                <w:rFonts w:ascii="Arial" w:cs="Arial" w:eastAsia="Arial" w:hAnsi="Arial"/>
                <w:sz w:val="16"/>
                <w:szCs w:val="16"/>
                <w:color w:val="auto"/>
              </w:rPr>
              <w:t>​</w:t>
            </w:r>
            <w:r>
              <w:rPr>
                <w:rFonts w:ascii="Arial" w:cs="Arial" w:eastAsia="Arial" w:hAnsi="Arial"/>
                <w:sz w:val="31"/>
                <w:szCs w:val="31"/>
                <w:color w:val="auto"/>
                <w:vertAlign w:val="superscript"/>
              </w:rPr>
              <w:t>$</w:t>
            </w:r>
          </w:p>
        </w:tc>
        <w:tc>
          <w:tcPr>
            <w:tcW w:w="820" w:type="dxa"/>
            <w:vAlign w:val="bottom"/>
            <w:tcBorders>
              <w:bottom w:val="single" w:sz="8" w:color="53C072"/>
            </w:tcBorders>
          </w:tcPr>
          <w:p>
            <w:pPr>
              <w:jc w:val="right"/>
              <w:ind w:right="81"/>
              <w:spacing w:after="0"/>
              <w:rPr>
                <w:sz w:val="20"/>
                <w:szCs w:val="20"/>
                <w:color w:val="auto"/>
              </w:rPr>
            </w:pPr>
            <w:r>
              <w:rPr>
                <w:rFonts w:ascii="Arial" w:cs="Arial" w:eastAsia="Arial" w:hAnsi="Arial"/>
                <w:sz w:val="16"/>
                <w:szCs w:val="16"/>
                <w:color w:val="auto"/>
              </w:rPr>
              <w:t>476,000</w:t>
            </w:r>
          </w:p>
        </w:tc>
        <w:tc>
          <w:tcPr>
            <w:tcW w:w="800" w:type="dxa"/>
            <w:vAlign w:val="bottom"/>
            <w:tcBorders>
              <w:bottom w:val="single" w:sz="8" w:color="53C072"/>
            </w:tcBorders>
          </w:tcPr>
          <w:p>
            <w:pPr>
              <w:ind w:left="3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32%</w:t>
            </w:r>
          </w:p>
        </w:tc>
        <w:tc>
          <w:tcPr>
            <w:tcW w:w="140" w:type="dxa"/>
            <w:vAlign w:val="bottom"/>
            <w:tcBorders>
              <w:bottom w:val="single" w:sz="8" w:color="53C072"/>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53C072"/>
              <w:right w:val="single" w:sz="8" w:color="53C072"/>
            </w:tcBorders>
            <w:gridSpan w:val="2"/>
          </w:tcPr>
          <w:p>
            <w:pPr>
              <w:ind w:left="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$152,320</w:t>
            </w:r>
          </w:p>
        </w:tc>
        <w:tc>
          <w:tcPr>
            <w:tcW w:w="60" w:type="dxa"/>
            <w:vAlign w:val="bottom"/>
            <w:tcBorders>
              <w:bottom w:val="single" w:sz="8" w:color="53C072"/>
            </w:tcBorders>
          </w:tcPr>
          <w:p>
            <w:pPr>
              <w:spacing w:after="0"/>
              <w:rPr>
                <w:sz w:val="24"/>
                <w:szCs w:val="24"/>
                <w:color w:val="auto"/>
              </w:rPr>
            </w:pPr>
          </w:p>
        </w:tc>
        <w:tc>
          <w:tcPr>
            <w:tcW w:w="940" w:type="dxa"/>
            <w:vAlign w:val="bottom"/>
            <w:tcBorders>
              <w:bottom w:val="single" w:sz="8" w:color="53C072"/>
            </w:tcBorders>
          </w:tcPr>
          <w:p>
            <w:pPr>
              <w:ind w:left="3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200%</w:t>
            </w:r>
          </w:p>
        </w:tc>
        <w:tc>
          <w:tcPr>
            <w:tcW w:w="140" w:type="dxa"/>
            <w:vAlign w:val="bottom"/>
            <w:tcBorders>
              <w:bottom w:val="single" w:sz="8" w:color="53C072"/>
            </w:tcBorders>
          </w:tcPr>
          <w:p>
            <w:pPr>
              <w:jc w:val="center"/>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53C072"/>
            </w:tcBorders>
          </w:tcPr>
          <w:p>
            <w:pPr>
              <w:ind w:left="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$190,400</w:t>
            </w:r>
          </w:p>
        </w:tc>
        <w:tc>
          <w:tcPr>
            <w:tcW w:w="120" w:type="dxa"/>
            <w:vAlign w:val="bottom"/>
            <w:tcBorders>
              <w:bottom w:val="single" w:sz="8" w:color="53C072"/>
              <w:right w:val="single" w:sz="8" w:color="53C072"/>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53C072"/>
            </w:tcBorders>
          </w:tcPr>
          <w:p>
            <w:pPr>
              <w:spacing w:after="0"/>
              <w:rPr>
                <w:sz w:val="24"/>
                <w:szCs w:val="24"/>
                <w:color w:val="auto"/>
              </w:rPr>
            </w:pPr>
          </w:p>
        </w:tc>
        <w:tc>
          <w:tcPr>
            <w:tcW w:w="800" w:type="dxa"/>
            <w:vAlign w:val="bottom"/>
            <w:tcBorders>
              <w:bottom w:val="single" w:sz="8" w:color="53C072"/>
            </w:tcBorders>
          </w:tcPr>
          <w:p>
            <w:pPr>
              <w:ind w:left="3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72%</w:t>
            </w:r>
          </w:p>
        </w:tc>
        <w:tc>
          <w:tcPr>
            <w:tcW w:w="120" w:type="dxa"/>
            <w:vAlign w:val="bottom"/>
            <w:tcBorders>
              <w:bottom w:val="single" w:sz="8" w:color="53C072"/>
            </w:tcBorders>
          </w:tcPr>
          <w:p>
            <w:pPr>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53C072"/>
            </w:tcBorders>
          </w:tcPr>
          <w:p>
            <w:pPr>
              <w:ind w:left="60"/>
              <w:spacing w:after="0" w:line="269" w:lineRule="exact"/>
              <w:rPr>
                <w:sz w:val="20"/>
                <w:szCs w:val="20"/>
                <w:color w:val="auto"/>
              </w:rPr>
            </w:pPr>
            <w:r>
              <w:rPr>
                <w:rFonts w:ascii="Arial" w:cs="Arial" w:eastAsia="Arial" w:hAnsi="Arial"/>
                <w:sz w:val="16"/>
                <w:szCs w:val="16"/>
                <w:color w:val="auto"/>
              </w:rPr>
              <w:t>​</w:t>
            </w:r>
            <w:r>
              <w:rPr>
                <w:rFonts w:ascii="Arial" w:cs="Arial" w:eastAsia="Arial" w:hAnsi="Arial"/>
                <w:sz w:val="31"/>
                <w:szCs w:val="31"/>
                <w:color w:val="auto"/>
                <w:vertAlign w:val="superscript"/>
              </w:rPr>
              <w:t>$</w:t>
            </w:r>
          </w:p>
        </w:tc>
        <w:tc>
          <w:tcPr>
            <w:tcW w:w="760" w:type="dxa"/>
            <w:vAlign w:val="bottom"/>
            <w:tcBorders>
              <w:bottom w:val="single" w:sz="8" w:color="53C072"/>
            </w:tcBorders>
            <w:gridSpan w:val="2"/>
          </w:tcPr>
          <w:p>
            <w:pPr>
              <w:jc w:val="right"/>
              <w:ind w:right="100"/>
              <w:spacing w:after="0"/>
              <w:rPr>
                <w:sz w:val="20"/>
                <w:szCs w:val="20"/>
                <w:color w:val="auto"/>
              </w:rPr>
            </w:pPr>
            <w:r>
              <w:rPr>
                <w:rFonts w:ascii="Arial" w:cs="Arial" w:eastAsia="Arial" w:hAnsi="Arial"/>
                <w:sz w:val="16"/>
                <w:szCs w:val="16"/>
                <w:color w:val="auto"/>
              </w:rPr>
              <w:t>342,720</w:t>
            </w:r>
          </w:p>
        </w:tc>
      </w:tr>
    </w:tbl>
    <w:p>
      <w:pPr>
        <w:spacing w:after="0" w:line="71"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Long-Term Incentives</w:t>
      </w:r>
    </w:p>
    <w:p>
      <w:pPr>
        <w:spacing w:after="0" w:line="153" w:lineRule="exact"/>
        <w:rPr>
          <w:sz w:val="20"/>
          <w:szCs w:val="20"/>
          <w:color w:val="auto"/>
        </w:rPr>
      </w:pPr>
    </w:p>
    <w:p>
      <w:pPr>
        <w:ind w:left="1000" w:right="279"/>
        <w:spacing w:after="0" w:line="247" w:lineRule="auto"/>
        <w:rPr>
          <w:sz w:val="20"/>
          <w:szCs w:val="20"/>
          <w:color w:val="auto"/>
        </w:rPr>
      </w:pPr>
      <w:r>
        <w:rPr>
          <w:rFonts w:ascii="Arial" w:cs="Arial" w:eastAsia="Arial" w:hAnsi="Arial"/>
          <w:sz w:val="18"/>
          <w:szCs w:val="18"/>
          <w:color w:val="auto"/>
        </w:rPr>
        <w:t>For fiscal 2025, the Compensation Committee approved the NEOs’ participation in the Company’s long-term incentive plan, making them eligible to receive a mix of equity incentive compensation, to provide a strong incentive to increase shareholder value over time, align the NEOs’ interests with shareholders, and encourage retention. The fiscal 2025 equity incentive compensation consisted of restricted stock units (“RSUs”) and performance share units (“PSUs”) as set forth in the following table.</w:t>
      </w:r>
    </w:p>
    <w:p>
      <w:pPr>
        <w:spacing w:after="0" w:line="169" w:lineRule="exact"/>
        <w:rPr>
          <w:sz w:val="20"/>
          <w:szCs w:val="20"/>
          <w:color w:val="auto"/>
        </w:rPr>
      </w:pPr>
    </w:p>
    <w:tbl>
      <w:tblPr>
        <w:tblLayout w:type="fixed"/>
        <w:tblInd w:w="990" w:type="dxa"/>
        <w:tblCellMar>
          <w:top w:w="0" w:type="dxa"/>
          <w:left w:w="0" w:type="dxa"/>
          <w:bottom w:w="0" w:type="dxa"/>
          <w:right w:w="0" w:type="dxa"/>
        </w:tblCellMar>
      </w:tblPr>
      <w:tr>
        <w:trPr>
          <w:trHeight w:val="234"/>
        </w:trPr>
        <w:tc>
          <w:tcPr>
            <w:tcW w:w="2560" w:type="dxa"/>
            <w:vAlign w:val="bottom"/>
            <w:tcBorders>
              <w:left w:val="single" w:sz="8" w:color="53C072"/>
            </w:tcBorders>
            <w:shd w:val="clear" w:color="auto" w:fill="53C072"/>
          </w:tcPr>
          <w:p>
            <w:pPr>
              <w:spacing w:after="0"/>
              <w:rPr>
                <w:sz w:val="20"/>
                <w:szCs w:val="20"/>
                <w:color w:val="auto"/>
              </w:rPr>
            </w:pPr>
          </w:p>
        </w:tc>
        <w:tc>
          <w:tcPr>
            <w:tcW w:w="1340" w:type="dxa"/>
            <w:vAlign w:val="bottom"/>
            <w:tcBorders>
              <w:right w:val="single" w:sz="8" w:color="53C072"/>
            </w:tcBorders>
            <w:shd w:val="clear" w:color="auto" w:fill="53C072"/>
          </w:tcPr>
          <w:p>
            <w:pPr>
              <w:spacing w:after="0"/>
              <w:rPr>
                <w:sz w:val="20"/>
                <w:szCs w:val="20"/>
                <w:color w:val="auto"/>
              </w:rPr>
            </w:pPr>
          </w:p>
        </w:tc>
        <w:tc>
          <w:tcPr>
            <w:tcW w:w="100" w:type="dxa"/>
            <w:vAlign w:val="bottom"/>
            <w:shd w:val="clear" w:color="auto" w:fill="53C072"/>
          </w:tcPr>
          <w:p>
            <w:pPr>
              <w:spacing w:after="0"/>
              <w:rPr>
                <w:sz w:val="20"/>
                <w:szCs w:val="20"/>
                <w:color w:val="auto"/>
              </w:rPr>
            </w:pPr>
          </w:p>
        </w:tc>
        <w:tc>
          <w:tcPr>
            <w:tcW w:w="138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 of Target Value of</w:t>
            </w:r>
          </w:p>
        </w:tc>
        <w:tc>
          <w:tcPr>
            <w:tcW w:w="140" w:type="dxa"/>
            <w:vAlign w:val="bottom"/>
            <w:tcBorders>
              <w:right w:val="single" w:sz="8" w:color="53C072"/>
            </w:tcBorders>
            <w:shd w:val="clear" w:color="auto" w:fill="53C072"/>
          </w:tcPr>
          <w:p>
            <w:pPr>
              <w:spacing w:after="0"/>
              <w:rPr>
                <w:sz w:val="20"/>
                <w:szCs w:val="20"/>
                <w:color w:val="auto"/>
              </w:rPr>
            </w:pPr>
          </w:p>
        </w:tc>
        <w:tc>
          <w:tcPr>
            <w:tcW w:w="220" w:type="dxa"/>
            <w:vAlign w:val="bottom"/>
            <w:shd w:val="clear" w:color="auto" w:fill="53C072"/>
          </w:tcPr>
          <w:p>
            <w:pPr>
              <w:spacing w:after="0"/>
              <w:rPr>
                <w:sz w:val="20"/>
                <w:szCs w:val="20"/>
                <w:color w:val="auto"/>
              </w:rPr>
            </w:pPr>
          </w:p>
        </w:tc>
        <w:tc>
          <w:tcPr>
            <w:tcW w:w="1580" w:type="dxa"/>
            <w:vAlign w:val="bottom"/>
            <w:shd w:val="clear" w:color="auto" w:fill="53C072"/>
          </w:tcPr>
          <w:p>
            <w:pPr>
              <w:spacing w:after="0"/>
              <w:rPr>
                <w:sz w:val="20"/>
                <w:szCs w:val="20"/>
                <w:color w:val="auto"/>
              </w:rPr>
            </w:pPr>
          </w:p>
        </w:tc>
        <w:tc>
          <w:tcPr>
            <w:tcW w:w="140" w:type="dxa"/>
            <w:vAlign w:val="bottom"/>
            <w:tcBorders>
              <w:right w:val="single" w:sz="8" w:color="53C072"/>
            </w:tcBorders>
            <w:shd w:val="clear" w:color="auto" w:fill="53C072"/>
          </w:tcPr>
          <w:p>
            <w:pPr>
              <w:spacing w:after="0"/>
              <w:rPr>
                <w:sz w:val="20"/>
                <w:szCs w:val="20"/>
                <w:color w:val="auto"/>
              </w:rPr>
            </w:pPr>
          </w:p>
        </w:tc>
        <w:tc>
          <w:tcPr>
            <w:tcW w:w="260" w:type="dxa"/>
            <w:vAlign w:val="bottom"/>
            <w:shd w:val="clear" w:color="auto" w:fill="53C072"/>
          </w:tcPr>
          <w:p>
            <w:pPr>
              <w:spacing w:after="0"/>
              <w:rPr>
                <w:sz w:val="20"/>
                <w:szCs w:val="20"/>
                <w:color w:val="auto"/>
              </w:rPr>
            </w:pPr>
          </w:p>
        </w:tc>
        <w:tc>
          <w:tcPr>
            <w:tcW w:w="960" w:type="dxa"/>
            <w:vAlign w:val="bottom"/>
            <w:shd w:val="clear" w:color="auto" w:fill="53C072"/>
          </w:tcPr>
          <w:p>
            <w:pPr>
              <w:spacing w:after="0"/>
              <w:rPr>
                <w:sz w:val="20"/>
                <w:szCs w:val="20"/>
                <w:color w:val="auto"/>
              </w:rPr>
            </w:pPr>
          </w:p>
        </w:tc>
        <w:tc>
          <w:tcPr>
            <w:tcW w:w="80" w:type="dxa"/>
            <w:vAlign w:val="bottom"/>
            <w:tcBorders>
              <w:right w:val="single" w:sz="8" w:color="53C072"/>
            </w:tcBorders>
            <w:shd w:val="clear" w:color="auto" w:fill="53C072"/>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60" w:type="dxa"/>
            <w:vAlign w:val="bottom"/>
            <w:tcBorders>
              <w:left w:val="single" w:sz="8" w:color="53C072"/>
            </w:tcBorders>
            <w:shd w:val="clear" w:color="auto" w:fill="53C072"/>
          </w:tcPr>
          <w:p>
            <w:pPr>
              <w:ind w:left="240"/>
              <w:spacing w:after="0"/>
              <w:rPr>
                <w:sz w:val="20"/>
                <w:szCs w:val="20"/>
                <w:color w:val="auto"/>
              </w:rPr>
            </w:pPr>
            <w:r>
              <w:rPr>
                <w:rFonts w:ascii="Arial" w:cs="Arial" w:eastAsia="Arial" w:hAnsi="Arial"/>
                <w:sz w:val="14"/>
                <w:szCs w:val="14"/>
                <w:b w:val="1"/>
                <w:bCs w:val="1"/>
                <w:color w:val="FEFEFE"/>
              </w:rPr>
              <w:t>Equity Vehicles</w:t>
            </w:r>
          </w:p>
        </w:tc>
        <w:tc>
          <w:tcPr>
            <w:tcW w:w="1440" w:type="dxa"/>
            <w:vAlign w:val="bottom"/>
            <w:gridSpan w:val="2"/>
            <w:shd w:val="clear" w:color="auto" w:fill="53C072"/>
          </w:tcPr>
          <w:p>
            <w:pPr>
              <w:ind w:left="1280"/>
              <w:spacing w:after="0"/>
              <w:rPr>
                <w:sz w:val="20"/>
                <w:szCs w:val="20"/>
                <w:color w:val="auto"/>
              </w:rPr>
            </w:pPr>
            <w:r>
              <w:rPr>
                <w:rFonts w:ascii="Arial" w:cs="Arial" w:eastAsia="Arial" w:hAnsi="Arial"/>
                <w:sz w:val="14"/>
                <w:szCs w:val="14"/>
                <w:b w:val="1"/>
                <w:bCs w:val="1"/>
                <w:color w:val="FEFEFE"/>
              </w:rPr>
              <w:t>​ ​</w:t>
            </w:r>
          </w:p>
        </w:tc>
        <w:tc>
          <w:tcPr>
            <w:tcW w:w="138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LTIP Award</w:t>
            </w:r>
          </w:p>
        </w:tc>
        <w:tc>
          <w:tcPr>
            <w:tcW w:w="360" w:type="dxa"/>
            <w:vAlign w:val="bottom"/>
            <w:gridSpan w:val="2"/>
            <w:shd w:val="clear" w:color="auto" w:fill="53C072"/>
          </w:tcPr>
          <w:p>
            <w:pPr>
              <w:ind w:left="60"/>
              <w:spacing w:after="0"/>
              <w:rPr>
                <w:sz w:val="20"/>
                <w:szCs w:val="20"/>
                <w:color w:val="auto"/>
              </w:rPr>
            </w:pPr>
            <w:r>
              <w:rPr>
                <w:rFonts w:ascii="Arial" w:cs="Arial" w:eastAsia="Arial" w:hAnsi="Arial"/>
                <w:sz w:val="14"/>
                <w:szCs w:val="14"/>
                <w:b w:val="1"/>
                <w:bCs w:val="1"/>
                <w:color w:val="FEFEFE"/>
              </w:rPr>
              <w:t>​ ​</w:t>
            </w:r>
          </w:p>
        </w:tc>
        <w:tc>
          <w:tcPr>
            <w:tcW w:w="1580" w:type="dxa"/>
            <w:vAlign w:val="bottom"/>
            <w:shd w:val="clear" w:color="auto" w:fill="53C072"/>
          </w:tcPr>
          <w:p>
            <w:pPr>
              <w:jc w:val="center"/>
              <w:ind w:right="39"/>
              <w:spacing w:after="0"/>
              <w:rPr>
                <w:sz w:val="20"/>
                <w:szCs w:val="20"/>
                <w:color w:val="auto"/>
              </w:rPr>
            </w:pPr>
            <w:r>
              <w:rPr>
                <w:rFonts w:ascii="Arial" w:cs="Arial" w:eastAsia="Arial" w:hAnsi="Arial"/>
                <w:sz w:val="14"/>
                <w:szCs w:val="14"/>
                <w:b w:val="1"/>
                <w:bCs w:val="1"/>
                <w:color w:val="FEFEFE"/>
              </w:rPr>
              <w:t>Metrics</w:t>
            </w:r>
          </w:p>
        </w:tc>
        <w:tc>
          <w:tcPr>
            <w:tcW w:w="400" w:type="dxa"/>
            <w:vAlign w:val="bottom"/>
            <w:gridSpan w:val="2"/>
            <w:shd w:val="clear" w:color="auto" w:fill="53C072"/>
          </w:tcPr>
          <w:p>
            <w:pPr>
              <w:ind w:left="60"/>
              <w:spacing w:after="0"/>
              <w:rPr>
                <w:sz w:val="20"/>
                <w:szCs w:val="20"/>
                <w:color w:val="auto"/>
              </w:rPr>
            </w:pPr>
            <w:r>
              <w:rPr>
                <w:rFonts w:ascii="Arial" w:cs="Arial" w:eastAsia="Arial" w:hAnsi="Arial"/>
                <w:sz w:val="14"/>
                <w:szCs w:val="14"/>
                <w:b w:val="1"/>
                <w:bCs w:val="1"/>
                <w:color w:val="FEFEFE"/>
              </w:rPr>
              <w:t>​ ​</w:t>
            </w:r>
          </w:p>
        </w:tc>
        <w:tc>
          <w:tcPr>
            <w:tcW w:w="960" w:type="dxa"/>
            <w:vAlign w:val="bottom"/>
            <w:shd w:val="clear" w:color="auto" w:fill="53C072"/>
          </w:tcPr>
          <w:p>
            <w:pPr>
              <w:ind w:left="160"/>
              <w:spacing w:after="0"/>
              <w:rPr>
                <w:sz w:val="20"/>
                <w:szCs w:val="20"/>
                <w:color w:val="auto"/>
              </w:rPr>
            </w:pPr>
            <w:r>
              <w:rPr>
                <w:rFonts w:ascii="Arial" w:cs="Arial" w:eastAsia="Arial" w:hAnsi="Arial"/>
                <w:sz w:val="14"/>
                <w:szCs w:val="14"/>
                <w:b w:val="1"/>
                <w:bCs w:val="1"/>
                <w:color w:val="FEFEFE"/>
              </w:rPr>
              <w:t>Weight</w:t>
            </w:r>
          </w:p>
        </w:tc>
        <w:tc>
          <w:tcPr>
            <w:tcW w:w="80" w:type="dxa"/>
            <w:vAlign w:val="bottom"/>
            <w:tcBorders>
              <w:right w:val="single" w:sz="8" w:color="53C072"/>
            </w:tcBorders>
            <w:shd w:val="clear" w:color="auto" w:fill="53C072"/>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560" w:type="dxa"/>
            <w:vAlign w:val="bottom"/>
            <w:tcBorders>
              <w:left w:val="single" w:sz="8" w:color="53C072"/>
              <w:bottom w:val="single" w:sz="8" w:color="53C072"/>
            </w:tcBorders>
          </w:tcPr>
          <w:p>
            <w:pPr>
              <w:ind w:left="240"/>
              <w:spacing w:after="0"/>
              <w:rPr>
                <w:sz w:val="20"/>
                <w:szCs w:val="20"/>
                <w:color w:val="auto"/>
              </w:rPr>
            </w:pPr>
            <w:r>
              <w:rPr>
                <w:rFonts w:ascii="Arial" w:cs="Arial" w:eastAsia="Arial" w:hAnsi="Arial"/>
                <w:sz w:val="18"/>
                <w:szCs w:val="18"/>
                <w:color w:val="auto"/>
              </w:rPr>
              <w:t>RSUs</w:t>
            </w:r>
          </w:p>
        </w:tc>
        <w:tc>
          <w:tcPr>
            <w:tcW w:w="1340" w:type="dxa"/>
            <w:vAlign w:val="bottom"/>
            <w:tcBorders>
              <w:bottom w:val="single" w:sz="8" w:color="53C072"/>
              <w:right w:val="single" w:sz="8" w:color="53C072"/>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53C072"/>
            </w:tcBorders>
          </w:tcPr>
          <w:p>
            <w:pPr>
              <w:ind w:left="58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50%</w:t>
            </w:r>
          </w:p>
        </w:tc>
        <w:tc>
          <w:tcPr>
            <w:tcW w:w="14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53C072"/>
            </w:tcBorders>
            <w:gridSpan w:val="2"/>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Time-based Vesting</w:t>
            </w:r>
          </w:p>
        </w:tc>
        <w:tc>
          <w:tcPr>
            <w:tcW w:w="140" w:type="dxa"/>
            <w:vAlign w:val="bottom"/>
            <w:tcBorders>
              <w:bottom w:val="single" w:sz="8" w:color="53C072"/>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53C072"/>
            </w:tcBorders>
          </w:tcPr>
          <w:p>
            <w:pPr>
              <w:ind w:left="2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100%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7"/>
        </w:trPr>
        <w:tc>
          <w:tcPr>
            <w:tcW w:w="2560" w:type="dxa"/>
            <w:vAlign w:val="bottom"/>
            <w:tcBorders>
              <w:left w:val="single" w:sz="8" w:color="53C072"/>
            </w:tcBorders>
          </w:tcPr>
          <w:p>
            <w:pPr>
              <w:spacing w:after="0"/>
              <w:rPr>
                <w:sz w:val="23"/>
                <w:szCs w:val="23"/>
                <w:color w:val="auto"/>
              </w:rPr>
            </w:pPr>
          </w:p>
        </w:tc>
        <w:tc>
          <w:tcPr>
            <w:tcW w:w="1340" w:type="dxa"/>
            <w:vAlign w:val="bottom"/>
            <w:tcBorders>
              <w:right w:val="single" w:sz="8" w:color="53C072"/>
            </w:tcBorders>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Borders>
              <w:right w:val="single" w:sz="8" w:color="53C072"/>
            </w:tcBorders>
          </w:tcPr>
          <w:p>
            <w:pPr>
              <w:spacing w:after="0"/>
              <w:rPr>
                <w:sz w:val="23"/>
                <w:szCs w:val="23"/>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580" w:type="dxa"/>
            <w:vAlign w:val="bottom"/>
          </w:tcPr>
          <w:p>
            <w:pPr>
              <w:jc w:val="center"/>
              <w:ind w:right="39"/>
              <w:spacing w:after="0"/>
              <w:rPr>
                <w:sz w:val="20"/>
                <w:szCs w:val="20"/>
                <w:color w:val="auto"/>
              </w:rPr>
            </w:pPr>
            <w:r>
              <w:rPr>
                <w:rFonts w:ascii="Arial" w:cs="Arial" w:eastAsia="Arial" w:hAnsi="Arial"/>
                <w:sz w:val="18"/>
                <w:szCs w:val="18"/>
                <w:color w:val="auto"/>
                <w:w w:val="97"/>
              </w:rPr>
              <w:t>ROIC &gt; WACC</w:t>
            </w:r>
          </w:p>
        </w:tc>
        <w:tc>
          <w:tcPr>
            <w:tcW w:w="140" w:type="dxa"/>
            <w:vAlign w:val="bottom"/>
            <w:tcBorders>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ind w:left="240"/>
              <w:spacing w:after="0"/>
              <w:rPr>
                <w:sz w:val="20"/>
                <w:szCs w:val="20"/>
                <w:color w:val="auto"/>
              </w:rPr>
            </w:pPr>
            <w:r>
              <w:rPr>
                <w:rFonts w:ascii="Arial" w:cs="Arial" w:eastAsia="Arial" w:hAnsi="Arial"/>
                <w:sz w:val="18"/>
                <w:szCs w:val="18"/>
                <w:color w:val="auto"/>
              </w:rPr>
              <w:t>​ 50%</w:t>
            </w:r>
          </w:p>
        </w:tc>
        <w:tc>
          <w:tcPr>
            <w:tcW w:w="80" w:type="dxa"/>
            <w:vAlign w:val="bottom"/>
            <w:tcBorders>
              <w:right w:val="single" w:sz="8" w:color="53C072"/>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
        </w:trPr>
        <w:tc>
          <w:tcPr>
            <w:tcW w:w="2560" w:type="dxa"/>
            <w:vAlign w:val="bottom"/>
            <w:tcBorders>
              <w:left w:val="single" w:sz="8" w:color="53C072"/>
            </w:tcBorders>
            <w:vMerge w:val="restart"/>
          </w:tcPr>
          <w:p>
            <w:pPr>
              <w:ind w:left="240"/>
              <w:spacing w:after="0"/>
              <w:rPr>
                <w:sz w:val="20"/>
                <w:szCs w:val="20"/>
                <w:color w:val="auto"/>
              </w:rPr>
            </w:pPr>
            <w:r>
              <w:rPr>
                <w:rFonts w:ascii="Arial" w:cs="Arial" w:eastAsia="Arial" w:hAnsi="Arial"/>
                <w:sz w:val="18"/>
                <w:szCs w:val="18"/>
                <w:color w:val="auto"/>
              </w:rPr>
              <w:t>PSUs</w:t>
            </w:r>
          </w:p>
        </w:tc>
        <w:tc>
          <w:tcPr>
            <w:tcW w:w="1340" w:type="dxa"/>
            <w:vAlign w:val="bottom"/>
            <w:tcBorders>
              <w:right w:val="single" w:sz="8" w:color="53C072"/>
            </w:tcBorders>
            <w:vMerge w:val="restart"/>
          </w:tcPr>
          <w:p>
            <w:pPr>
              <w:ind w:left="12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ind w:left="580"/>
              <w:spacing w:after="0"/>
              <w:rPr>
                <w:sz w:val="20"/>
                <w:szCs w:val="20"/>
                <w:color w:val="auto"/>
              </w:rPr>
            </w:pPr>
            <w:r>
              <w:rPr>
                <w:rFonts w:ascii="Arial" w:cs="Arial" w:eastAsia="Arial" w:hAnsi="Arial"/>
                <w:sz w:val="18"/>
                <w:szCs w:val="18"/>
                <w:color w:val="auto"/>
              </w:rPr>
              <w:t>​50%</w:t>
            </w:r>
          </w:p>
        </w:tc>
        <w:tc>
          <w:tcPr>
            <w:tcW w:w="140" w:type="dxa"/>
            <w:vAlign w:val="bottom"/>
            <w:tcBorders>
              <w:right w:val="single" w:sz="8" w:color="53C072"/>
            </w:tcBorders>
            <w:vMerge w:val="restart"/>
          </w:tcPr>
          <w:p>
            <w:pPr>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53C072"/>
              <w:right w:val="single" w:sz="8" w:color="53C072"/>
            </w:tcBorders>
            <w:gridSpan w:val="3"/>
          </w:tcPr>
          <w:p>
            <w:pPr>
              <w:spacing w:after="0"/>
              <w:rPr>
                <w:sz w:val="3"/>
                <w:szCs w:val="3"/>
                <w:color w:val="auto"/>
              </w:rPr>
            </w:pPr>
          </w:p>
        </w:tc>
        <w:tc>
          <w:tcPr>
            <w:tcW w:w="260" w:type="dxa"/>
            <w:vAlign w:val="bottom"/>
            <w:tcBorders>
              <w:bottom w:val="single" w:sz="8" w:color="53C072"/>
            </w:tcBorders>
          </w:tcPr>
          <w:p>
            <w:pPr>
              <w:spacing w:after="0"/>
              <w:rPr>
                <w:sz w:val="3"/>
                <w:szCs w:val="3"/>
                <w:color w:val="auto"/>
              </w:rPr>
            </w:pPr>
          </w:p>
        </w:tc>
        <w:tc>
          <w:tcPr>
            <w:tcW w:w="960" w:type="dxa"/>
            <w:vAlign w:val="bottom"/>
            <w:tcBorders>
              <w:bottom w:val="single" w:sz="8" w:color="53C072"/>
            </w:tcBorders>
          </w:tcPr>
          <w:p>
            <w:pPr>
              <w:spacing w:after="0"/>
              <w:rPr>
                <w:sz w:val="3"/>
                <w:szCs w:val="3"/>
                <w:color w:val="auto"/>
              </w:rPr>
            </w:pPr>
          </w:p>
        </w:tc>
        <w:tc>
          <w:tcPr>
            <w:tcW w:w="80" w:type="dxa"/>
            <w:vAlign w:val="bottom"/>
            <w:tcBorders>
              <w:bottom w:val="single" w:sz="8" w:color="53C072"/>
              <w:right w:val="single" w:sz="8" w:color="53C072"/>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560" w:type="dxa"/>
            <w:vAlign w:val="bottom"/>
            <w:tcBorders>
              <w:left w:val="single" w:sz="8" w:color="53C072"/>
            </w:tcBorders>
            <w:vMerge w:val="continue"/>
          </w:tcPr>
          <w:p>
            <w:pPr>
              <w:spacing w:after="0"/>
              <w:rPr>
                <w:sz w:val="22"/>
                <w:szCs w:val="22"/>
                <w:color w:val="auto"/>
              </w:rPr>
            </w:pPr>
          </w:p>
        </w:tc>
        <w:tc>
          <w:tcPr>
            <w:tcW w:w="1340" w:type="dxa"/>
            <w:vAlign w:val="bottom"/>
            <w:tcBorders>
              <w:right w:val="single" w:sz="8" w:color="53C072"/>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0" w:type="dxa"/>
            <w:vAlign w:val="bottom"/>
            <w:tcBorders>
              <w:right w:val="single" w:sz="8" w:color="53C072"/>
            </w:tcBorders>
            <w:vMerge w:val="continue"/>
          </w:tcPr>
          <w:p>
            <w:pPr>
              <w:spacing w:after="0"/>
              <w:rPr>
                <w:sz w:val="22"/>
                <w:szCs w:val="22"/>
                <w:color w:val="auto"/>
              </w:rPr>
            </w:pPr>
          </w:p>
        </w:tc>
        <w:tc>
          <w:tcPr>
            <w:tcW w:w="1940" w:type="dxa"/>
            <w:vAlign w:val="bottom"/>
            <w:tcBorders>
              <w:bottom w:val="single" w:sz="8" w:color="53C072"/>
              <w:right w:val="single" w:sz="8" w:color="53C072"/>
            </w:tcBorders>
            <w:gridSpan w:val="3"/>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Relative EPS Growth </w:t>
            </w:r>
            <w:r>
              <w:rPr>
                <w:rFonts w:ascii="Arial" w:cs="Arial" w:eastAsia="Arial" w:hAnsi="Arial"/>
                <w:sz w:val="30"/>
                <w:szCs w:val="30"/>
                <w:color w:val="auto"/>
                <w:vertAlign w:val="subscript"/>
              </w:rPr>
              <w:t>​</w:t>
            </w:r>
          </w:p>
        </w:tc>
        <w:tc>
          <w:tcPr>
            <w:tcW w:w="2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53C072"/>
            </w:tcBorders>
          </w:tcPr>
          <w:p>
            <w:pPr>
              <w:ind w:left="2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50%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560" w:type="dxa"/>
            <w:vAlign w:val="bottom"/>
            <w:tcBorders>
              <w:left w:val="single" w:sz="8" w:color="53C072"/>
              <w:bottom w:val="single" w:sz="8" w:color="53C072"/>
            </w:tcBorders>
          </w:tcPr>
          <w:p>
            <w:pPr>
              <w:spacing w:after="0"/>
              <w:rPr>
                <w:sz w:val="22"/>
                <w:szCs w:val="22"/>
                <w:color w:val="auto"/>
              </w:rPr>
            </w:pPr>
          </w:p>
        </w:tc>
        <w:tc>
          <w:tcPr>
            <w:tcW w:w="1340" w:type="dxa"/>
            <w:vAlign w:val="bottom"/>
            <w:tcBorders>
              <w:bottom w:val="single" w:sz="8" w:color="53C072"/>
              <w:right w:val="single" w:sz="8" w:color="53C072"/>
            </w:tcBorders>
          </w:tcPr>
          <w:p>
            <w:pPr>
              <w:spacing w:after="0"/>
              <w:rPr>
                <w:sz w:val="22"/>
                <w:szCs w:val="22"/>
                <w:color w:val="auto"/>
              </w:rPr>
            </w:pPr>
          </w:p>
        </w:tc>
        <w:tc>
          <w:tcPr>
            <w:tcW w:w="100" w:type="dxa"/>
            <w:vAlign w:val="bottom"/>
            <w:tcBorders>
              <w:bottom w:val="single" w:sz="8" w:color="53C072"/>
            </w:tcBorders>
          </w:tcPr>
          <w:p>
            <w:pPr>
              <w:spacing w:after="0"/>
              <w:rPr>
                <w:sz w:val="22"/>
                <w:szCs w:val="22"/>
                <w:color w:val="auto"/>
              </w:rPr>
            </w:pPr>
          </w:p>
        </w:tc>
        <w:tc>
          <w:tcPr>
            <w:tcW w:w="1380" w:type="dxa"/>
            <w:vAlign w:val="bottom"/>
            <w:tcBorders>
              <w:bottom w:val="single" w:sz="8" w:color="53C072"/>
            </w:tcBorders>
          </w:tcPr>
          <w:p>
            <w:pPr>
              <w:spacing w:after="0"/>
              <w:rPr>
                <w:sz w:val="22"/>
                <w:szCs w:val="22"/>
                <w:color w:val="auto"/>
              </w:rPr>
            </w:pPr>
          </w:p>
        </w:tc>
        <w:tc>
          <w:tcPr>
            <w:tcW w:w="140" w:type="dxa"/>
            <w:vAlign w:val="bottom"/>
            <w:tcBorders>
              <w:bottom w:val="single" w:sz="8" w:color="53C072"/>
              <w:right w:val="single" w:sz="8" w:color="53C072"/>
            </w:tcBorders>
          </w:tcPr>
          <w:p>
            <w:pPr>
              <w:spacing w:after="0"/>
              <w:rPr>
                <w:sz w:val="22"/>
                <w:szCs w:val="22"/>
                <w:color w:val="auto"/>
              </w:rPr>
            </w:pPr>
          </w:p>
        </w:tc>
        <w:tc>
          <w:tcPr>
            <w:tcW w:w="1940" w:type="dxa"/>
            <w:vAlign w:val="bottom"/>
            <w:tcBorders>
              <w:bottom w:val="single" w:sz="8" w:color="53C072"/>
              <w:right w:val="single" w:sz="8" w:color="53C072"/>
            </w:tcBorders>
            <w:gridSpan w:val="3"/>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Relative TSR Modifier </w:t>
            </w:r>
            <w:r>
              <w:rPr>
                <w:rFonts w:ascii="Arial" w:cs="Arial" w:eastAsia="Arial" w:hAnsi="Arial"/>
                <w:sz w:val="30"/>
                <w:szCs w:val="30"/>
                <w:color w:val="auto"/>
                <w:vertAlign w:val="subscript"/>
              </w:rPr>
              <w:t>​</w:t>
            </w:r>
          </w:p>
        </w:tc>
        <w:tc>
          <w:tcPr>
            <w:tcW w:w="1220" w:type="dxa"/>
            <w:vAlign w:val="bottom"/>
            <w:tcBorders>
              <w:bottom w:val="single" w:sz="8" w:color="53C072"/>
            </w:tcBorders>
            <w:gridSpan w:val="2"/>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-10% to +10%</w:t>
            </w:r>
          </w:p>
        </w:tc>
        <w:tc>
          <w:tcPr>
            <w:tcW w:w="80" w:type="dxa"/>
            <w:vAlign w:val="bottom"/>
            <w:tcBorders>
              <w:bottom w:val="single" w:sz="8" w:color="53C072"/>
              <w:right w:val="single" w:sz="8" w:color="53C072"/>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-753745</wp:posOffset>
            </wp:positionV>
            <wp:extent cx="5537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69" w:lineRule="exact"/>
        <w:rPr>
          <w:sz w:val="20"/>
          <w:szCs w:val="20"/>
          <w:color w:val="auto"/>
        </w:rPr>
      </w:pPr>
    </w:p>
    <w:p>
      <w:pPr>
        <w:ind w:left="1000" w:right="159"/>
        <w:spacing w:after="0" w:line="252" w:lineRule="auto"/>
        <w:rPr>
          <w:sz w:val="20"/>
          <w:szCs w:val="20"/>
          <w:color w:val="auto"/>
        </w:rPr>
      </w:pPr>
      <w:r>
        <w:rPr>
          <w:rFonts w:ascii="Arial" w:cs="Arial" w:eastAsia="Arial" w:hAnsi="Arial"/>
          <w:sz w:val="18"/>
          <w:szCs w:val="18"/>
          <w:b w:val="1"/>
          <w:bCs w:val="1"/>
          <w:color w:val="53C072"/>
        </w:rPr>
        <w:t xml:space="preserve">Target Long-Term Incentives. </w:t>
      </w:r>
      <w:r>
        <w:rPr>
          <w:rFonts w:ascii="Arial" w:cs="Arial" w:eastAsia="Arial" w:hAnsi="Arial"/>
          <w:sz w:val="18"/>
          <w:szCs w:val="18"/>
          <w:color w:val="000000"/>
        </w:rPr>
        <w:t>The Committee sets each NEO’s target LTIP incentive value based on a</w:t>
      </w:r>
      <w:r>
        <w:rPr>
          <w:rFonts w:ascii="Arial" w:cs="Arial" w:eastAsia="Arial" w:hAnsi="Arial"/>
          <w:sz w:val="18"/>
          <w:szCs w:val="18"/>
          <w:b w:val="1"/>
          <w:bCs w:val="1"/>
          <w:color w:val="53C072"/>
        </w:rPr>
        <w:t xml:space="preserve"> </w:t>
      </w:r>
      <w:r>
        <w:rPr>
          <w:rFonts w:ascii="Arial" w:cs="Arial" w:eastAsia="Arial" w:hAnsi="Arial"/>
          <w:sz w:val="18"/>
          <w:szCs w:val="18"/>
          <w:color w:val="000000"/>
        </w:rPr>
        <w:t>number of factors, including benchmark data, the NEO’s responsibilities and duties, the NEO’s prior-year performance, and the Company’s performance. As a result, fiscal 2025 target LTIP incentive values vary among the NEOs and can vary from year to year.</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fiscal 2025 LTIP equity incentive compensation is listed in the following table.</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93"/>
        </w:trPr>
        <w:tc>
          <w:tcPr>
            <w:tcW w:w="2980" w:type="dxa"/>
            <w:vAlign w:val="bottom"/>
            <w:shd w:val="clear" w:color="auto" w:fill="53C072"/>
          </w:tcPr>
          <w:p>
            <w:pPr>
              <w:spacing w:after="0"/>
              <w:rPr>
                <w:sz w:val="16"/>
                <w:szCs w:val="16"/>
                <w:color w:val="auto"/>
              </w:rPr>
            </w:pPr>
          </w:p>
        </w:tc>
        <w:tc>
          <w:tcPr>
            <w:tcW w:w="2820" w:type="dxa"/>
            <w:vAlign w:val="bottom"/>
            <w:shd w:val="clear" w:color="auto" w:fill="53C072"/>
          </w:tcPr>
          <w:p>
            <w:pPr>
              <w:spacing w:after="0"/>
              <w:rPr>
                <w:sz w:val="16"/>
                <w:szCs w:val="16"/>
                <w:color w:val="auto"/>
              </w:rPr>
            </w:pPr>
          </w:p>
        </w:tc>
        <w:tc>
          <w:tcPr>
            <w:tcW w:w="820" w:type="dxa"/>
            <w:vAlign w:val="bottom"/>
            <w:shd w:val="clear" w:color="auto" w:fill="53C072"/>
          </w:tcPr>
          <w:p>
            <w:pPr>
              <w:spacing w:after="0"/>
              <w:rPr>
                <w:sz w:val="16"/>
                <w:szCs w:val="16"/>
                <w:color w:val="auto"/>
              </w:rPr>
            </w:pPr>
          </w:p>
        </w:tc>
        <w:tc>
          <w:tcPr>
            <w:tcW w:w="112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w w:val="99"/>
              </w:rPr>
              <w:t>Target Value</w:t>
            </w:r>
          </w:p>
        </w:tc>
        <w:tc>
          <w:tcPr>
            <w:tcW w:w="1020" w:type="dxa"/>
            <w:vAlign w:val="bottom"/>
            <w:shd w:val="clear" w:color="auto" w:fill="53C072"/>
          </w:tcPr>
          <w:p>
            <w:pPr>
              <w:jc w:val="right"/>
              <w:ind w:right="77"/>
              <w:spacing w:after="0"/>
              <w:rPr>
                <w:sz w:val="20"/>
                <w:szCs w:val="20"/>
                <w:color w:val="auto"/>
              </w:rPr>
            </w:pPr>
            <w:r>
              <w:rPr>
                <w:rFonts w:ascii="Arial" w:cs="Arial" w:eastAsia="Arial" w:hAnsi="Arial"/>
                <w:sz w:val="14"/>
                <w:szCs w:val="14"/>
                <w:b w:val="1"/>
                <w:bCs w:val="1"/>
                <w:color w:val="FEFEFE"/>
              </w:rPr>
              <w:t>Total Value</w:t>
            </w:r>
          </w:p>
        </w:tc>
      </w:tr>
      <w:tr>
        <w:trPr>
          <w:trHeight w:val="162"/>
        </w:trPr>
        <w:tc>
          <w:tcPr>
            <w:tcW w:w="2980" w:type="dxa"/>
            <w:vAlign w:val="bottom"/>
            <w:shd w:val="clear" w:color="auto" w:fill="53C072"/>
          </w:tcPr>
          <w:p>
            <w:pPr>
              <w:spacing w:after="0"/>
              <w:rPr>
                <w:sz w:val="14"/>
                <w:szCs w:val="14"/>
                <w:color w:val="auto"/>
              </w:rPr>
            </w:pPr>
          </w:p>
        </w:tc>
        <w:tc>
          <w:tcPr>
            <w:tcW w:w="2820" w:type="dxa"/>
            <w:vAlign w:val="bottom"/>
            <w:shd w:val="clear" w:color="auto" w:fill="53C072"/>
          </w:tcPr>
          <w:p>
            <w:pPr>
              <w:spacing w:after="0"/>
              <w:rPr>
                <w:sz w:val="14"/>
                <w:szCs w:val="14"/>
                <w:color w:val="auto"/>
              </w:rPr>
            </w:pPr>
          </w:p>
        </w:tc>
        <w:tc>
          <w:tcPr>
            <w:tcW w:w="820" w:type="dxa"/>
            <w:vAlign w:val="bottom"/>
            <w:shd w:val="clear" w:color="auto" w:fill="53C072"/>
          </w:tcPr>
          <w:p>
            <w:pPr>
              <w:spacing w:after="0"/>
              <w:rPr>
                <w:sz w:val="14"/>
                <w:szCs w:val="14"/>
                <w:color w:val="auto"/>
              </w:rPr>
            </w:pPr>
          </w:p>
        </w:tc>
        <w:tc>
          <w:tcPr>
            <w:tcW w:w="1120" w:type="dxa"/>
            <w:vAlign w:val="bottom"/>
            <w:shd w:val="clear" w:color="auto" w:fill="53C072"/>
          </w:tcPr>
          <w:p>
            <w:pPr>
              <w:ind w:left="500"/>
              <w:spacing w:after="0"/>
              <w:rPr>
                <w:sz w:val="20"/>
                <w:szCs w:val="20"/>
                <w:color w:val="auto"/>
              </w:rPr>
            </w:pPr>
            <w:r>
              <w:rPr>
                <w:rFonts w:ascii="Arial" w:cs="Arial" w:eastAsia="Arial" w:hAnsi="Arial"/>
                <w:sz w:val="14"/>
                <w:szCs w:val="14"/>
                <w:b w:val="1"/>
                <w:bCs w:val="1"/>
                <w:color w:val="FEFEFE"/>
              </w:rPr>
              <w:t>of LTIP</w:t>
            </w:r>
          </w:p>
        </w:tc>
        <w:tc>
          <w:tcPr>
            <w:tcW w:w="1020" w:type="dxa"/>
            <w:vAlign w:val="bottom"/>
            <w:shd w:val="clear" w:color="auto" w:fill="53C072"/>
          </w:tcPr>
          <w:p>
            <w:pPr>
              <w:jc w:val="right"/>
              <w:ind w:right="77"/>
              <w:spacing w:after="0"/>
              <w:rPr>
                <w:sz w:val="20"/>
                <w:szCs w:val="20"/>
                <w:color w:val="auto"/>
              </w:rPr>
            </w:pPr>
            <w:r>
              <w:rPr>
                <w:rFonts w:ascii="Arial" w:cs="Arial" w:eastAsia="Arial" w:hAnsi="Arial"/>
                <w:sz w:val="14"/>
                <w:szCs w:val="14"/>
                <w:b w:val="1"/>
                <w:bCs w:val="1"/>
                <w:color w:val="FEFEFE"/>
              </w:rPr>
              <w:t>% Change</w:t>
            </w:r>
          </w:p>
        </w:tc>
      </w:tr>
      <w:tr>
        <w:trPr>
          <w:trHeight w:val="185"/>
        </w:trPr>
        <w:tc>
          <w:tcPr>
            <w:tcW w:w="298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NEO</w:t>
            </w:r>
          </w:p>
        </w:tc>
        <w:tc>
          <w:tcPr>
            <w:tcW w:w="2820" w:type="dxa"/>
            <w:vAlign w:val="bottom"/>
            <w:shd w:val="clear" w:color="auto" w:fill="53C072"/>
          </w:tcPr>
          <w:p>
            <w:pPr>
              <w:ind w:left="2080"/>
              <w:spacing w:after="0"/>
              <w:rPr>
                <w:sz w:val="20"/>
                <w:szCs w:val="20"/>
                <w:color w:val="auto"/>
              </w:rPr>
            </w:pPr>
            <w:r>
              <w:rPr>
                <w:rFonts w:ascii="Arial" w:cs="Arial" w:eastAsia="Arial" w:hAnsi="Arial"/>
                <w:sz w:val="14"/>
                <w:szCs w:val="14"/>
                <w:b w:val="1"/>
                <w:bCs w:val="1"/>
                <w:color w:val="FEFEFE"/>
              </w:rPr>
              <w:t>RSUs (#)</w:t>
            </w:r>
          </w:p>
        </w:tc>
        <w:tc>
          <w:tcPr>
            <w:tcW w:w="82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PSUs (#)</w:t>
            </w:r>
          </w:p>
        </w:tc>
        <w:tc>
          <w:tcPr>
            <w:tcW w:w="1120" w:type="dxa"/>
            <w:vAlign w:val="bottom"/>
            <w:shd w:val="clear" w:color="auto" w:fill="53C072"/>
          </w:tcPr>
          <w:p>
            <w:pPr>
              <w:ind w:left="180"/>
              <w:spacing w:after="0"/>
              <w:rPr>
                <w:sz w:val="20"/>
                <w:szCs w:val="20"/>
                <w:color w:val="auto"/>
              </w:rPr>
            </w:pPr>
            <w:r>
              <w:rPr>
                <w:rFonts w:ascii="Arial" w:cs="Arial" w:eastAsia="Arial" w:hAnsi="Arial"/>
                <w:sz w:val="14"/>
                <w:szCs w:val="14"/>
                <w:b w:val="1"/>
                <w:bCs w:val="1"/>
                <w:color w:val="FEFEFE"/>
              </w:rPr>
              <w:t>Incentive ($)</w:t>
            </w:r>
          </w:p>
        </w:tc>
        <w:tc>
          <w:tcPr>
            <w:tcW w:w="1020" w:type="dxa"/>
            <w:vAlign w:val="bottom"/>
            <w:shd w:val="clear" w:color="auto" w:fill="53C072"/>
          </w:tcPr>
          <w:p>
            <w:pPr>
              <w:ind w:left="200"/>
              <w:spacing w:after="0"/>
              <w:rPr>
                <w:sz w:val="20"/>
                <w:szCs w:val="20"/>
                <w:color w:val="auto"/>
              </w:rPr>
            </w:pPr>
            <w:r>
              <w:rPr>
                <w:rFonts w:ascii="Arial" w:cs="Arial" w:eastAsia="Arial" w:hAnsi="Arial"/>
                <w:sz w:val="14"/>
                <w:szCs w:val="14"/>
                <w:b w:val="1"/>
                <w:bCs w:val="1"/>
                <w:color w:val="FEFEFE"/>
              </w:rPr>
              <w:t>from FY24</w:t>
            </w:r>
          </w:p>
        </w:tc>
      </w:tr>
      <w:tr>
        <w:trPr>
          <w:trHeight w:val="256"/>
        </w:trPr>
        <w:tc>
          <w:tcPr>
            <w:tcW w:w="2980" w:type="dxa"/>
            <w:vAlign w:val="bottom"/>
          </w:tcPr>
          <w:p>
            <w:pPr>
              <w:ind w:left="120"/>
              <w:spacing w:after="0"/>
              <w:rPr>
                <w:sz w:val="20"/>
                <w:szCs w:val="20"/>
                <w:color w:val="auto"/>
              </w:rPr>
            </w:pPr>
            <w:r>
              <w:rPr>
                <w:rFonts w:ascii="Arial" w:cs="Arial" w:eastAsia="Arial" w:hAnsi="Arial"/>
                <w:sz w:val="18"/>
                <w:szCs w:val="18"/>
                <w:color w:val="auto"/>
              </w:rPr>
              <w:t>Gallagher</w:t>
            </w:r>
          </w:p>
        </w:tc>
        <w:tc>
          <w:tcPr>
            <w:tcW w:w="2820" w:type="dxa"/>
            <w:vAlign w:val="bottom"/>
          </w:tcPr>
          <w:p>
            <w:pPr>
              <w:ind w:left="2100"/>
              <w:spacing w:after="0"/>
              <w:rPr>
                <w:sz w:val="20"/>
                <w:szCs w:val="20"/>
                <w:color w:val="auto"/>
              </w:rPr>
            </w:pPr>
            <w:r>
              <w:rPr>
                <w:rFonts w:ascii="Arial" w:cs="Arial" w:eastAsia="Arial" w:hAnsi="Arial"/>
                <w:sz w:val="18"/>
                <w:szCs w:val="18"/>
                <w:color w:val="auto"/>
              </w:rPr>
              <w:t>​70,996 ​</w:t>
            </w:r>
          </w:p>
        </w:tc>
        <w:tc>
          <w:tcPr>
            <w:tcW w:w="820" w:type="dxa"/>
            <w:vAlign w:val="bottom"/>
          </w:tcPr>
          <w:p>
            <w:pPr>
              <w:ind w:left="100"/>
              <w:spacing w:after="0"/>
              <w:rPr>
                <w:sz w:val="20"/>
                <w:szCs w:val="20"/>
                <w:color w:val="auto"/>
              </w:rPr>
            </w:pPr>
            <w:r>
              <w:rPr>
                <w:rFonts w:ascii="Arial" w:cs="Arial" w:eastAsia="Arial" w:hAnsi="Arial"/>
                <w:sz w:val="18"/>
                <w:szCs w:val="18"/>
                <w:color w:val="auto"/>
              </w:rPr>
              <w:t>​70,997 ​</w:t>
            </w:r>
          </w:p>
        </w:tc>
        <w:tc>
          <w:tcPr>
            <w:tcW w:w="1120" w:type="dxa"/>
            <w:vAlign w:val="bottom"/>
          </w:tcPr>
          <w:p>
            <w:pPr>
              <w:jc w:val="center"/>
              <w:spacing w:after="0"/>
              <w:rPr>
                <w:sz w:val="20"/>
                <w:szCs w:val="20"/>
                <w:color w:val="auto"/>
              </w:rPr>
            </w:pPr>
            <w:r>
              <w:rPr>
                <w:rFonts w:ascii="Arial" w:cs="Arial" w:eastAsia="Arial" w:hAnsi="Arial"/>
                <w:sz w:val="18"/>
                <w:szCs w:val="18"/>
                <w:color w:val="auto"/>
              </w:rPr>
              <w:t>​$7,750,000</w:t>
            </w:r>
          </w:p>
        </w:tc>
        <w:tc>
          <w:tcPr>
            <w:tcW w:w="1020" w:type="dxa"/>
            <w:vAlign w:val="bottom"/>
          </w:tcPr>
          <w:p>
            <w:pPr>
              <w:ind w:left="320"/>
              <w:spacing w:after="0"/>
              <w:rPr>
                <w:sz w:val="20"/>
                <w:szCs w:val="20"/>
                <w:color w:val="auto"/>
              </w:rPr>
            </w:pPr>
            <w:r>
              <w:rPr>
                <w:rFonts w:ascii="Arial" w:cs="Arial" w:eastAsia="Arial" w:hAnsi="Arial"/>
                <w:sz w:val="18"/>
                <w:szCs w:val="18"/>
                <w:color w:val="auto"/>
              </w:rPr>
              <w:t>​10.7% ​</w:t>
            </w:r>
          </w:p>
        </w:tc>
      </w:tr>
      <w:tr>
        <w:trPr>
          <w:trHeight w:val="257"/>
        </w:trPr>
        <w:tc>
          <w:tcPr>
            <w:tcW w:w="2980" w:type="dxa"/>
            <w:vAlign w:val="bottom"/>
            <w:shd w:val="clear" w:color="auto" w:fill="CBECD5"/>
          </w:tcPr>
          <w:p>
            <w:pPr>
              <w:ind w:left="120"/>
              <w:spacing w:after="0"/>
              <w:rPr>
                <w:sz w:val="20"/>
                <w:szCs w:val="20"/>
                <w:color w:val="auto"/>
              </w:rPr>
            </w:pPr>
            <w:r>
              <w:rPr>
                <w:rFonts w:ascii="Arial" w:cs="Arial" w:eastAsia="Arial" w:hAnsi="Arial"/>
                <w:sz w:val="18"/>
                <w:szCs w:val="18"/>
                <w:color w:val="auto"/>
              </w:rPr>
              <w:t>Jacobson</w:t>
            </w:r>
          </w:p>
        </w:tc>
        <w:tc>
          <w:tcPr>
            <w:tcW w:w="2820" w:type="dxa"/>
            <w:vAlign w:val="bottom"/>
            <w:shd w:val="clear" w:color="auto" w:fill="CBECD5"/>
          </w:tcPr>
          <w:p>
            <w:pPr>
              <w:ind w:left="2100"/>
              <w:spacing w:after="0"/>
              <w:rPr>
                <w:sz w:val="20"/>
                <w:szCs w:val="20"/>
                <w:color w:val="auto"/>
              </w:rPr>
            </w:pPr>
            <w:r>
              <w:rPr>
                <w:rFonts w:ascii="Arial" w:cs="Arial" w:eastAsia="Arial" w:hAnsi="Arial"/>
                <w:sz w:val="18"/>
                <w:szCs w:val="18"/>
                <w:color w:val="auto"/>
              </w:rPr>
              <w:t>​17,404 ​</w:t>
            </w:r>
          </w:p>
        </w:tc>
        <w:tc>
          <w:tcPr>
            <w:tcW w:w="820" w:type="dxa"/>
            <w:vAlign w:val="bottom"/>
            <w:shd w:val="clear" w:color="auto" w:fill="CBECD5"/>
          </w:tcPr>
          <w:p>
            <w:pPr>
              <w:ind w:left="100"/>
              <w:spacing w:after="0"/>
              <w:rPr>
                <w:sz w:val="20"/>
                <w:szCs w:val="20"/>
                <w:color w:val="auto"/>
              </w:rPr>
            </w:pPr>
            <w:r>
              <w:rPr>
                <w:rFonts w:ascii="Arial" w:cs="Arial" w:eastAsia="Arial" w:hAnsi="Arial"/>
                <w:sz w:val="18"/>
                <w:szCs w:val="18"/>
                <w:color w:val="auto"/>
              </w:rPr>
              <w:t>​17,406 ​</w:t>
            </w:r>
          </w:p>
        </w:tc>
        <w:tc>
          <w:tcPr>
            <w:tcW w:w="1120" w:type="dxa"/>
            <w:vAlign w:val="bottom"/>
            <w:shd w:val="clear" w:color="auto" w:fill="CBECD5"/>
          </w:tcPr>
          <w:p>
            <w:pPr>
              <w:jc w:val="center"/>
              <w:spacing w:after="0"/>
              <w:rPr>
                <w:sz w:val="20"/>
                <w:szCs w:val="20"/>
                <w:color w:val="auto"/>
              </w:rPr>
            </w:pPr>
            <w:r>
              <w:rPr>
                <w:rFonts w:ascii="Arial" w:cs="Arial" w:eastAsia="Arial" w:hAnsi="Arial"/>
                <w:sz w:val="18"/>
                <w:szCs w:val="18"/>
                <w:color w:val="auto"/>
              </w:rPr>
              <w:t>​$1,900,000</w:t>
            </w:r>
          </w:p>
        </w:tc>
        <w:tc>
          <w:tcPr>
            <w:tcW w:w="1020" w:type="dxa"/>
            <w:vAlign w:val="bottom"/>
            <w:shd w:val="clear" w:color="auto" w:fill="CBECD5"/>
          </w:tcPr>
          <w:p>
            <w:pPr>
              <w:ind w:left="320"/>
              <w:spacing w:after="0"/>
              <w:rPr>
                <w:sz w:val="20"/>
                <w:szCs w:val="20"/>
                <w:color w:val="auto"/>
              </w:rPr>
            </w:pPr>
            <w:r>
              <w:rPr>
                <w:rFonts w:ascii="Arial" w:cs="Arial" w:eastAsia="Arial" w:hAnsi="Arial"/>
                <w:sz w:val="18"/>
                <w:szCs w:val="18"/>
                <w:color w:val="auto"/>
              </w:rPr>
              <w:t>​26.7% ​</w:t>
            </w:r>
          </w:p>
        </w:tc>
      </w:tr>
      <w:tr>
        <w:trPr>
          <w:trHeight w:val="257"/>
        </w:trPr>
        <w:tc>
          <w:tcPr>
            <w:tcW w:w="2980" w:type="dxa"/>
            <w:vAlign w:val="bottom"/>
          </w:tcPr>
          <w:p>
            <w:pPr>
              <w:ind w:left="120"/>
              <w:spacing w:after="0"/>
              <w:rPr>
                <w:sz w:val="20"/>
                <w:szCs w:val="20"/>
                <w:color w:val="auto"/>
              </w:rPr>
            </w:pPr>
            <w:r>
              <w:rPr>
                <w:rFonts w:ascii="Arial" w:cs="Arial" w:eastAsia="Arial" w:hAnsi="Arial"/>
                <w:sz w:val="18"/>
                <w:szCs w:val="18"/>
                <w:color w:val="auto"/>
              </w:rPr>
              <w:t>Arnold</w:t>
            </w:r>
          </w:p>
        </w:tc>
        <w:tc>
          <w:tcPr>
            <w:tcW w:w="2820" w:type="dxa"/>
            <w:vAlign w:val="bottom"/>
          </w:tcPr>
          <w:p>
            <w:pPr>
              <w:ind w:left="2100"/>
              <w:spacing w:after="0"/>
              <w:rPr>
                <w:sz w:val="20"/>
                <w:szCs w:val="20"/>
                <w:color w:val="auto"/>
              </w:rPr>
            </w:pPr>
            <w:r>
              <w:rPr>
                <w:rFonts w:ascii="Arial" w:cs="Arial" w:eastAsia="Arial" w:hAnsi="Arial"/>
                <w:sz w:val="18"/>
                <w:szCs w:val="18"/>
                <w:color w:val="auto"/>
              </w:rPr>
              <w:t>​12,368 ​</w:t>
            </w:r>
          </w:p>
        </w:tc>
        <w:tc>
          <w:tcPr>
            <w:tcW w:w="820" w:type="dxa"/>
            <w:vAlign w:val="bottom"/>
          </w:tcPr>
          <w:p>
            <w:pPr>
              <w:ind w:left="100"/>
              <w:spacing w:after="0"/>
              <w:rPr>
                <w:sz w:val="20"/>
                <w:szCs w:val="20"/>
                <w:color w:val="auto"/>
              </w:rPr>
            </w:pPr>
            <w:r>
              <w:rPr>
                <w:rFonts w:ascii="Arial" w:cs="Arial" w:eastAsia="Arial" w:hAnsi="Arial"/>
                <w:sz w:val="18"/>
                <w:szCs w:val="18"/>
                <w:color w:val="auto"/>
              </w:rPr>
              <w:t>​12,367 ​</w:t>
            </w:r>
          </w:p>
        </w:tc>
        <w:tc>
          <w:tcPr>
            <w:tcW w:w="1120" w:type="dxa"/>
            <w:vAlign w:val="bottom"/>
          </w:tcPr>
          <w:p>
            <w:pPr>
              <w:jc w:val="center"/>
              <w:spacing w:after="0"/>
              <w:rPr>
                <w:sz w:val="20"/>
                <w:szCs w:val="20"/>
                <w:color w:val="auto"/>
              </w:rPr>
            </w:pPr>
            <w:r>
              <w:rPr>
                <w:rFonts w:ascii="Arial" w:cs="Arial" w:eastAsia="Arial" w:hAnsi="Arial"/>
                <w:sz w:val="18"/>
                <w:szCs w:val="18"/>
                <w:color w:val="auto"/>
              </w:rPr>
              <w:t>​$1,350,000</w:t>
            </w:r>
          </w:p>
        </w:tc>
        <w:tc>
          <w:tcPr>
            <w:tcW w:w="1020" w:type="dxa"/>
            <w:vAlign w:val="bottom"/>
          </w:tcPr>
          <w:p>
            <w:pPr>
              <w:ind w:left="320"/>
              <w:spacing w:after="0"/>
              <w:rPr>
                <w:sz w:val="20"/>
                <w:szCs w:val="20"/>
                <w:color w:val="auto"/>
              </w:rPr>
            </w:pPr>
            <w:r>
              <w:rPr>
                <w:rFonts w:ascii="Arial" w:cs="Arial" w:eastAsia="Arial" w:hAnsi="Arial"/>
                <w:sz w:val="18"/>
                <w:szCs w:val="18"/>
                <w:color w:val="auto"/>
              </w:rPr>
              <w:t>​12.5% ​</w:t>
            </w:r>
          </w:p>
        </w:tc>
      </w:tr>
      <w:tr>
        <w:trPr>
          <w:trHeight w:val="256"/>
        </w:trPr>
        <w:tc>
          <w:tcPr>
            <w:tcW w:w="2980" w:type="dxa"/>
            <w:vAlign w:val="bottom"/>
            <w:shd w:val="clear" w:color="auto" w:fill="CBECD5"/>
          </w:tcPr>
          <w:p>
            <w:pPr>
              <w:ind w:left="120"/>
              <w:spacing w:after="0"/>
              <w:rPr>
                <w:sz w:val="20"/>
                <w:szCs w:val="20"/>
                <w:color w:val="auto"/>
              </w:rPr>
            </w:pPr>
            <w:r>
              <w:rPr>
                <w:rFonts w:ascii="Arial" w:cs="Arial" w:eastAsia="Arial" w:hAnsi="Arial"/>
                <w:sz w:val="18"/>
                <w:szCs w:val="18"/>
                <w:color w:val="auto"/>
              </w:rPr>
              <w:t>Chan</w:t>
            </w:r>
          </w:p>
        </w:tc>
        <w:tc>
          <w:tcPr>
            <w:tcW w:w="2820" w:type="dxa"/>
            <w:vAlign w:val="bottom"/>
            <w:shd w:val="clear" w:color="auto" w:fill="CBECD5"/>
          </w:tcPr>
          <w:p>
            <w:pPr>
              <w:ind w:left="2100"/>
              <w:spacing w:after="0"/>
              <w:rPr>
                <w:sz w:val="20"/>
                <w:szCs w:val="20"/>
                <w:color w:val="auto"/>
              </w:rPr>
            </w:pPr>
            <w:r>
              <w:rPr>
                <w:rFonts w:ascii="Arial" w:cs="Arial" w:eastAsia="Arial" w:hAnsi="Arial"/>
                <w:sz w:val="18"/>
                <w:szCs w:val="18"/>
                <w:color w:val="auto"/>
              </w:rPr>
              <w:t>​ 7,788 ​</w:t>
            </w:r>
          </w:p>
        </w:tc>
        <w:tc>
          <w:tcPr>
            <w:tcW w:w="820" w:type="dxa"/>
            <w:vAlign w:val="bottom"/>
            <w:shd w:val="clear" w:color="auto" w:fill="CBECD5"/>
          </w:tcPr>
          <w:p>
            <w:pPr>
              <w:ind w:left="100"/>
              <w:spacing w:after="0"/>
              <w:rPr>
                <w:sz w:val="20"/>
                <w:szCs w:val="20"/>
                <w:color w:val="auto"/>
              </w:rPr>
            </w:pPr>
            <w:r>
              <w:rPr>
                <w:rFonts w:ascii="Arial" w:cs="Arial" w:eastAsia="Arial" w:hAnsi="Arial"/>
                <w:sz w:val="18"/>
                <w:szCs w:val="18"/>
                <w:color w:val="auto"/>
              </w:rPr>
              <w:t>​ 7,787 ​</w:t>
            </w:r>
          </w:p>
        </w:tc>
        <w:tc>
          <w:tcPr>
            <w:tcW w:w="1120" w:type="dxa"/>
            <w:vAlign w:val="bottom"/>
            <w:shd w:val="clear" w:color="auto" w:fill="CBECD5"/>
          </w:tcPr>
          <w:p>
            <w:pPr>
              <w:jc w:val="center"/>
              <w:spacing w:after="0"/>
              <w:rPr>
                <w:sz w:val="20"/>
                <w:szCs w:val="20"/>
                <w:color w:val="auto"/>
              </w:rPr>
            </w:pPr>
            <w:r>
              <w:rPr>
                <w:rFonts w:ascii="Arial" w:cs="Arial" w:eastAsia="Arial" w:hAnsi="Arial"/>
                <w:sz w:val="18"/>
                <w:szCs w:val="18"/>
                <w:color w:val="auto"/>
              </w:rPr>
              <w:t>​$  850,000</w:t>
            </w:r>
          </w:p>
        </w:tc>
        <w:tc>
          <w:tcPr>
            <w:tcW w:w="1020" w:type="dxa"/>
            <w:vAlign w:val="bottom"/>
            <w:shd w:val="clear" w:color="auto" w:fill="CBECD5"/>
          </w:tcPr>
          <w:p>
            <w:pPr>
              <w:ind w:left="320"/>
              <w:spacing w:after="0"/>
              <w:rPr>
                <w:sz w:val="20"/>
                <w:szCs w:val="20"/>
                <w:color w:val="auto"/>
              </w:rPr>
            </w:pPr>
            <w:r>
              <w:rPr>
                <w:rFonts w:ascii="Arial" w:cs="Arial" w:eastAsia="Arial" w:hAnsi="Arial"/>
                <w:sz w:val="18"/>
                <w:szCs w:val="18"/>
                <w:color w:val="auto"/>
              </w:rPr>
              <w:t>​13.3% ​</w:t>
            </w:r>
          </w:p>
        </w:tc>
      </w:tr>
      <w:tr>
        <w:trPr>
          <w:trHeight w:val="290"/>
        </w:trPr>
        <w:tc>
          <w:tcPr>
            <w:tcW w:w="2980" w:type="dxa"/>
            <w:vAlign w:val="bottom"/>
            <w:tcBorders>
              <w:bottom w:val="single" w:sz="8" w:color="53C072"/>
            </w:tcBorders>
          </w:tcPr>
          <w:p>
            <w:pPr>
              <w:ind w:left="120"/>
              <w:spacing w:after="0"/>
              <w:rPr>
                <w:sz w:val="20"/>
                <w:szCs w:val="20"/>
                <w:color w:val="auto"/>
              </w:rPr>
            </w:pPr>
            <w:r>
              <w:rPr>
                <w:rFonts w:ascii="Arial" w:cs="Arial" w:eastAsia="Arial" w:hAnsi="Arial"/>
                <w:sz w:val="18"/>
                <w:szCs w:val="18"/>
                <w:color w:val="auto"/>
              </w:rPr>
              <w:t>McCoy</w:t>
            </w:r>
          </w:p>
        </w:tc>
        <w:tc>
          <w:tcPr>
            <w:tcW w:w="2820" w:type="dxa"/>
            <w:vAlign w:val="bottom"/>
            <w:tcBorders>
              <w:bottom w:val="single" w:sz="8" w:color="53C072"/>
            </w:tcBorders>
          </w:tcPr>
          <w:p>
            <w:pPr>
              <w:ind w:left="210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13,420 </w:t>
            </w:r>
            <w:r>
              <w:rPr>
                <w:rFonts w:ascii="Arial" w:cs="Arial" w:eastAsia="Arial" w:hAnsi="Arial"/>
                <w:sz w:val="32"/>
                <w:szCs w:val="32"/>
                <w:color w:val="auto"/>
                <w:vertAlign w:val="subscript"/>
              </w:rPr>
              <w:t>​</w:t>
            </w:r>
          </w:p>
        </w:tc>
        <w:tc>
          <w:tcPr>
            <w:tcW w:w="820" w:type="dxa"/>
            <w:vAlign w:val="bottom"/>
            <w:tcBorders>
              <w:bottom w:val="single" w:sz="8" w:color="53C072"/>
            </w:tcBorders>
          </w:tcPr>
          <w:p>
            <w:pPr>
              <w:ind w:left="10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13,421 </w:t>
            </w:r>
            <w:r>
              <w:rPr>
                <w:rFonts w:ascii="Arial" w:cs="Arial" w:eastAsia="Arial" w:hAnsi="Arial"/>
                <w:sz w:val="32"/>
                <w:szCs w:val="32"/>
                <w:color w:val="auto"/>
                <w:vertAlign w:val="subscript"/>
              </w:rPr>
              <w:t>​</w:t>
            </w:r>
          </w:p>
        </w:tc>
        <w:tc>
          <w:tcPr>
            <w:tcW w:w="1120" w:type="dxa"/>
            <w:vAlign w:val="bottom"/>
            <w:tcBorders>
              <w:bottom w:val="single" w:sz="8" w:color="53C072"/>
            </w:tcBorders>
          </w:tcPr>
          <w:p>
            <w:pPr>
              <w:jc w:val="cente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$1,465,000</w:t>
            </w:r>
          </w:p>
        </w:tc>
        <w:tc>
          <w:tcPr>
            <w:tcW w:w="1020" w:type="dxa"/>
            <w:vAlign w:val="bottom"/>
            <w:tcBorders>
              <w:bottom w:val="single" w:sz="8" w:color="53C072"/>
            </w:tcBorders>
          </w:tcPr>
          <w:p>
            <w:pPr>
              <w:ind w:left="3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12.7% </w:t>
            </w:r>
            <w:r>
              <w:rPr>
                <w:rFonts w:ascii="Arial" w:cs="Arial" w:eastAsia="Arial" w:hAnsi="Arial"/>
                <w:sz w:val="32"/>
                <w:szCs w:val="32"/>
                <w:color w:val="auto"/>
                <w:vertAlign w:val="subscript"/>
              </w:rPr>
              <w:t>​</w:t>
            </w:r>
          </w:p>
        </w:tc>
      </w:tr>
    </w:tbl>
    <w:p>
      <w:pPr>
        <w:spacing w:after="0" w:line="62" w:lineRule="exact"/>
        <w:rPr>
          <w:sz w:val="20"/>
          <w:szCs w:val="20"/>
          <w:color w:val="auto"/>
        </w:rPr>
      </w:pPr>
    </w:p>
    <w:p>
      <w:pPr>
        <w:ind w:left="1000" w:right="299"/>
        <w:spacing w:after="0" w:line="252" w:lineRule="auto"/>
        <w:rPr>
          <w:sz w:val="20"/>
          <w:szCs w:val="20"/>
          <w:color w:val="auto"/>
        </w:rPr>
      </w:pPr>
      <w:r>
        <w:rPr>
          <w:rFonts w:ascii="Arial" w:cs="Arial" w:eastAsia="Arial" w:hAnsi="Arial"/>
          <w:sz w:val="18"/>
          <w:szCs w:val="18"/>
          <w:b w:val="1"/>
          <w:bCs w:val="1"/>
          <w:color w:val="53C072"/>
        </w:rPr>
        <w:t xml:space="preserve">Restricted Stock Units. </w:t>
      </w:r>
      <w:r>
        <w:rPr>
          <w:rFonts w:ascii="Arial" w:cs="Arial" w:eastAsia="Arial" w:hAnsi="Arial"/>
          <w:sz w:val="18"/>
          <w:szCs w:val="18"/>
          <w:color w:val="000000"/>
        </w:rPr>
        <w:t>RSUs allow the NEOs to earn shares of the Company’s common stock over a</w:t>
      </w:r>
      <w:r>
        <w:rPr>
          <w:rFonts w:ascii="Arial" w:cs="Arial" w:eastAsia="Arial" w:hAnsi="Arial"/>
          <w:sz w:val="18"/>
          <w:szCs w:val="18"/>
          <w:b w:val="1"/>
          <w:bCs w:val="1"/>
          <w:color w:val="53C072"/>
        </w:rPr>
        <w:t xml:space="preserve"> </w:t>
      </w:r>
      <w:r>
        <w:rPr>
          <w:rFonts w:ascii="Arial" w:cs="Arial" w:eastAsia="Arial" w:hAnsi="Arial"/>
          <w:sz w:val="18"/>
          <w:szCs w:val="18"/>
          <w:color w:val="000000"/>
        </w:rPr>
        <w:t>vesting period. Each RSU is the economic equivalent of one share of the Company’s common stock. When vested, the number of RSUs will be settled in a like number of shares of the Company’s common stock. RSUs granted in fiscal 2025 vest in four equal installments over three years and four months.</w:t>
      </w:r>
    </w:p>
    <w:p>
      <w:pPr>
        <w:spacing w:after="0" w:line="103" w:lineRule="exact"/>
        <w:rPr>
          <w:sz w:val="20"/>
          <w:szCs w:val="20"/>
          <w:color w:val="auto"/>
        </w:rPr>
      </w:pPr>
    </w:p>
    <w:p>
      <w:pPr>
        <w:ind w:left="1000" w:right="459"/>
        <w:spacing w:after="0" w:line="252" w:lineRule="auto"/>
        <w:rPr>
          <w:sz w:val="20"/>
          <w:szCs w:val="20"/>
          <w:color w:val="auto"/>
        </w:rPr>
      </w:pPr>
      <w:r>
        <w:rPr>
          <w:rFonts w:ascii="Arial" w:cs="Arial" w:eastAsia="Arial" w:hAnsi="Arial"/>
          <w:sz w:val="18"/>
          <w:szCs w:val="18"/>
          <w:b w:val="1"/>
          <w:bCs w:val="1"/>
          <w:color w:val="53C072"/>
        </w:rPr>
        <w:t xml:space="preserve">Performance Stock Units. </w:t>
      </w:r>
      <w:r>
        <w:rPr>
          <w:rFonts w:ascii="Arial" w:cs="Arial" w:eastAsia="Arial" w:hAnsi="Arial"/>
          <w:sz w:val="18"/>
          <w:szCs w:val="18"/>
          <w:color w:val="000000"/>
        </w:rPr>
        <w:t>PSUs provide the NEOs the opportunity to earn shares of the Company’s</w:t>
      </w:r>
      <w:r>
        <w:rPr>
          <w:rFonts w:ascii="Arial" w:cs="Arial" w:eastAsia="Arial" w:hAnsi="Arial"/>
          <w:sz w:val="18"/>
          <w:szCs w:val="18"/>
          <w:b w:val="1"/>
          <w:bCs w:val="1"/>
          <w:color w:val="53C072"/>
        </w:rPr>
        <w:t xml:space="preserve"> </w:t>
      </w:r>
      <w:r>
        <w:rPr>
          <w:rFonts w:ascii="Arial" w:cs="Arial" w:eastAsia="Arial" w:hAnsi="Arial"/>
          <w:sz w:val="18"/>
          <w:szCs w:val="18"/>
          <w:color w:val="000000"/>
        </w:rPr>
        <w:t>common stock based on the achievement of pre-approved performance metrics. Each PSU is the economic equivalent of one share of the Company’s common stock. If earned and vested, the number of PSUs will be settled in a like number of shares of the Company’s common stock.</w:t>
      </w:r>
    </w:p>
    <w:p>
      <w:pPr>
        <w:sectPr>
          <w:pgSz w:w="11900" w:h="16838" w:orient="portrait"/>
          <w:cols w:equalWidth="0" w:num="1">
            <w:col w:w="9879"/>
          </w:cols>
          <w:pgMar w:left="580" w:top="97" w:right="1440" w:bottom="1440" w:gutter="0" w:footer="0" w:header="0"/>
        </w:sectPr>
      </w:pPr>
    </w:p>
    <w:p>
      <w:pPr>
        <w:spacing w:after="0" w:line="137"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43" w:lineRule="exact"/>
        <w:rPr>
          <w:sz w:val="20"/>
          <w:szCs w:val="20"/>
          <w:color w:val="auto"/>
        </w:rPr>
      </w:pPr>
    </w:p>
    <w:p>
      <w:pPr>
        <w:jc w:val="right"/>
        <w:ind w:right="139"/>
        <w:spacing w:after="0"/>
        <w:tabs>
          <w:tab w:leader="none" w:pos="2500" w:val="left"/>
        </w:tabs>
        <w:rPr>
          <w:sz w:val="20"/>
          <w:szCs w:val="20"/>
          <w:color w:val="auto"/>
        </w:rPr>
      </w:pPr>
      <w:r>
        <w:rPr>
          <w:rFonts w:ascii="Arial" w:cs="Arial" w:eastAsia="Arial" w:hAnsi="Arial"/>
          <w:sz w:val="28"/>
          <w:szCs w:val="28"/>
          <w:b w:val="1"/>
          <w:bCs w:val="1"/>
          <w:color w:val="53C072"/>
          <w:vertAlign w:val="superscript"/>
        </w:rPr>
        <w:t>2025 ANNUAL</w:t>
      </w:r>
      <w:r>
        <w:rPr>
          <w:rFonts w:ascii="Arial" w:cs="Arial" w:eastAsia="Arial" w:hAnsi="Arial"/>
          <w:sz w:val="28"/>
          <w:szCs w:val="28"/>
          <w:b w:val="1"/>
          <w:bCs w:val="1"/>
          <w:color w:val="auto"/>
          <w:vertAlign w:val="superscript"/>
        </w:rPr>
        <w:t xml:space="preserve"> </w:t>
      </w:r>
      <w:r>
        <w:rPr>
          <w:sz w:val="20"/>
          <w:szCs w:val="20"/>
          <w:color w:val="auto"/>
        </w:rPr>
        <w:tab/>
      </w:r>
      <w:r>
        <w:rPr>
          <w:rFonts w:ascii="Arial" w:cs="Arial" w:eastAsia="Arial" w:hAnsi="Arial"/>
          <w:sz w:val="14"/>
          <w:szCs w:val="14"/>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000" w:right="179"/>
        <w:spacing w:after="0" w:line="264" w:lineRule="auto"/>
        <w:rPr>
          <w:sz w:val="20"/>
          <w:szCs w:val="20"/>
          <w:color w:val="auto"/>
        </w:rPr>
      </w:pPr>
      <w:r>
        <w:rPr>
          <w:rFonts w:ascii="Arial" w:cs="Arial" w:eastAsia="Arial" w:hAnsi="Arial"/>
          <w:sz w:val="18"/>
          <w:szCs w:val="18"/>
          <w:color w:val="auto"/>
        </w:rPr>
        <w:t>The PSUs granted in fiscal 2025 were equally divided into three tranches, each with a separate performance period (fiscal years 2025, 2026, and 2027). The PSUs earned under each tranche are based on the Company’s achievement during the applicable performance period of the performance metrics of (1) Adjusted Return on Invested Capital (“ROIC”) exceeding Weighted Average Cost of Capital (“WACC”) and (2) Relative Adjusted Earnings Per Share (“EPS”) Growth, both subject to the effect of a Relative TSR modifier (“rTSR”). The potential payout for each tranche will range from 0% to 200% of the NEOs target number of PSUs for each tranche. PSUs earned under each tranche will vest collectively at the end of the performance period ending July 3, 2027.</w:t>
      </w:r>
    </w:p>
    <w:p>
      <w:pPr>
        <w:spacing w:after="0" w:line="109" w:lineRule="exact"/>
        <w:rPr>
          <w:sz w:val="20"/>
          <w:szCs w:val="20"/>
          <w:color w:val="auto"/>
        </w:rPr>
      </w:pPr>
    </w:p>
    <w:p>
      <w:pPr>
        <w:ind w:left="1000" w:right="159"/>
        <w:spacing w:after="0" w:line="270" w:lineRule="auto"/>
        <w:rPr>
          <w:sz w:val="20"/>
          <w:szCs w:val="20"/>
          <w:color w:val="auto"/>
        </w:rPr>
      </w:pPr>
      <w:r>
        <w:rPr>
          <w:rFonts w:ascii="Arial" w:cs="Arial" w:eastAsia="Arial" w:hAnsi="Arial"/>
          <w:sz w:val="18"/>
          <w:szCs w:val="18"/>
          <w:color w:val="auto"/>
        </w:rPr>
        <w:t>The Committee selected ROIC &gt; WACC as a measure of long-term performance because it aligns with shareholders’ interest in the Company creating value by earning a return on invested capital that is greater than costs of the capital. The Committee also selected Relative Adjusted EPS Growth because it is a relevant metric to incentivize and measure performance against competitors and benchmarking peer group. In addition, the use of the rTSR modifier promotes a closer alignment between long-term incentive payments and shareholder returns delivered during each of the performance periods.</w:t>
      </w:r>
    </w:p>
    <w:p>
      <w:pPr>
        <w:spacing w:after="0" w:line="101" w:lineRule="exact"/>
        <w:rPr>
          <w:sz w:val="20"/>
          <w:szCs w:val="20"/>
          <w:color w:val="auto"/>
        </w:rPr>
      </w:pPr>
    </w:p>
    <w:p>
      <w:pPr>
        <w:ind w:left="1000" w:right="439"/>
        <w:spacing w:after="0" w:line="303" w:lineRule="auto"/>
        <w:rPr>
          <w:sz w:val="20"/>
          <w:szCs w:val="20"/>
          <w:color w:val="auto"/>
        </w:rPr>
      </w:pPr>
      <w:r>
        <w:rPr>
          <w:rFonts w:ascii="Arial" w:cs="Arial" w:eastAsia="Arial" w:hAnsi="Arial"/>
          <w:sz w:val="18"/>
          <w:szCs w:val="18"/>
          <w:color w:val="auto"/>
        </w:rPr>
        <w:t>For the purposes of the fiscal 2025 PSU awards, the definitions of the metrics and performance goals are as follows:</w:t>
      </w:r>
    </w:p>
    <w:p>
      <w:pPr>
        <w:spacing w:after="0" w:line="58" w:lineRule="exact"/>
        <w:rPr>
          <w:sz w:val="20"/>
          <w:szCs w:val="20"/>
          <w:color w:val="auto"/>
        </w:rPr>
      </w:pPr>
    </w:p>
    <w:p>
      <w:pPr>
        <w:ind w:left="1620" w:right="179" w:hanging="270"/>
        <w:spacing w:after="0" w:line="268" w:lineRule="auto"/>
        <w:tabs>
          <w:tab w:leader="none" w:pos="1620" w:val="left"/>
        </w:tabs>
        <w:numPr>
          <w:ilvl w:val="0"/>
          <w:numId w:val="47"/>
        </w:numPr>
        <w:rPr>
          <w:rFonts w:ascii="Arial" w:cs="Arial" w:eastAsia="Arial" w:hAnsi="Arial"/>
          <w:sz w:val="18"/>
          <w:szCs w:val="18"/>
          <w:color w:val="53C072"/>
        </w:rPr>
      </w:pPr>
      <w:r>
        <w:rPr>
          <w:rFonts w:ascii="Arial" w:cs="Arial" w:eastAsia="Arial" w:hAnsi="Arial"/>
          <w:sz w:val="18"/>
          <w:szCs w:val="18"/>
          <w:color w:val="auto"/>
        </w:rPr>
        <w:t>“ROIC &gt; WACC” is defined as the percentage (number of basis points) that the Company’s Adjusted ROIC exceeds its WACC as measured by an accredited third-party source using a quarter-end average for each quarter in a fiscal year.</w:t>
      </w:r>
    </w:p>
    <w:p>
      <w:pPr>
        <w:spacing w:after="0" w:line="149" w:lineRule="exact"/>
        <w:rPr>
          <w:sz w:val="20"/>
          <w:szCs w:val="20"/>
          <w:color w:val="auto"/>
        </w:rPr>
      </w:pPr>
    </w:p>
    <w:tbl>
      <w:tblPr>
        <w:tblLayout w:type="fixed"/>
        <w:tblInd w:w="1360" w:type="dxa"/>
        <w:tblCellMar>
          <w:top w:w="0" w:type="dxa"/>
          <w:left w:w="0" w:type="dxa"/>
          <w:bottom w:w="0" w:type="dxa"/>
          <w:right w:w="0" w:type="dxa"/>
        </w:tblCellMar>
      </w:tblPr>
      <w:tr>
        <w:trPr>
          <w:trHeight w:val="203"/>
        </w:trPr>
        <w:tc>
          <w:tcPr>
            <w:tcW w:w="100" w:type="dxa"/>
            <w:vAlign w:val="bottom"/>
            <w:shd w:val="clear" w:color="auto" w:fill="53C072"/>
          </w:tcPr>
          <w:p>
            <w:pPr>
              <w:spacing w:after="0"/>
              <w:rPr>
                <w:sz w:val="17"/>
                <w:szCs w:val="17"/>
                <w:color w:val="auto"/>
              </w:rPr>
            </w:pPr>
          </w:p>
        </w:tc>
        <w:tc>
          <w:tcPr>
            <w:tcW w:w="460" w:type="dxa"/>
            <w:vAlign w:val="bottom"/>
            <w:shd w:val="clear" w:color="auto" w:fill="53C072"/>
          </w:tcPr>
          <w:p>
            <w:pPr>
              <w:spacing w:after="0"/>
              <w:rPr>
                <w:sz w:val="20"/>
                <w:szCs w:val="20"/>
                <w:color w:val="auto"/>
              </w:rPr>
            </w:pPr>
            <w:r>
              <w:rPr>
                <w:rFonts w:ascii="Arial" w:cs="Arial" w:eastAsia="Arial" w:hAnsi="Arial"/>
                <w:sz w:val="14"/>
                <w:szCs w:val="14"/>
                <w:b w:val="1"/>
                <w:bCs w:val="1"/>
                <w:color w:val="FEFEFE"/>
              </w:rPr>
              <w:t>ROIC&gt;​</w:t>
            </w:r>
          </w:p>
        </w:tc>
        <w:tc>
          <w:tcPr>
            <w:tcW w:w="3440" w:type="dxa"/>
            <w:vAlign w:val="bottom"/>
            <w:shd w:val="clear" w:color="auto" w:fill="53C072"/>
          </w:tcPr>
          <w:p>
            <w:pPr>
              <w:ind w:left="20"/>
              <w:spacing w:after="0"/>
              <w:rPr>
                <w:sz w:val="20"/>
                <w:szCs w:val="20"/>
                <w:color w:val="auto"/>
              </w:rPr>
            </w:pPr>
            <w:r>
              <w:rPr>
                <w:rFonts w:ascii="Arial" w:cs="Arial" w:eastAsia="Arial" w:hAnsi="Arial"/>
                <w:sz w:val="14"/>
                <w:szCs w:val="14"/>
                <w:b w:val="1"/>
                <w:bCs w:val="1"/>
                <w:color w:val="FEFEFE"/>
              </w:rPr>
              <w:t>WACC</w:t>
            </w:r>
          </w:p>
        </w:tc>
        <w:tc>
          <w:tcPr>
            <w:tcW w:w="2700" w:type="dxa"/>
            <w:vAlign w:val="bottom"/>
            <w:gridSpan w:val="2"/>
            <w:shd w:val="clear" w:color="auto" w:fill="53C072"/>
          </w:tcPr>
          <w:p>
            <w:pPr>
              <w:ind w:left="1880"/>
              <w:spacing w:after="0"/>
              <w:rPr>
                <w:sz w:val="20"/>
                <w:szCs w:val="20"/>
                <w:color w:val="auto"/>
              </w:rPr>
            </w:pPr>
            <w:r>
              <w:rPr>
                <w:rFonts w:ascii="Arial" w:cs="Arial" w:eastAsia="Arial" w:hAnsi="Arial"/>
                <w:sz w:val="14"/>
                <w:szCs w:val="14"/>
                <w:b w:val="1"/>
                <w:bCs w:val="1"/>
                <w:color w:val="FEFEFE"/>
              </w:rPr>
              <w:t>​ ​Threshold</w:t>
            </w:r>
          </w:p>
        </w:tc>
        <w:tc>
          <w:tcPr>
            <w:tcW w:w="66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 ​Target</w:t>
            </w:r>
          </w:p>
        </w:tc>
        <w:tc>
          <w:tcPr>
            <w:tcW w:w="1020" w:type="dxa"/>
            <w:vAlign w:val="bottom"/>
            <w:gridSpan w:val="3"/>
            <w:shd w:val="clear" w:color="auto" w:fill="53C072"/>
          </w:tcPr>
          <w:p>
            <w:pPr>
              <w:jc w:val="right"/>
              <w:ind w:right="53"/>
              <w:spacing w:after="0"/>
              <w:rPr>
                <w:sz w:val="20"/>
                <w:szCs w:val="20"/>
                <w:color w:val="auto"/>
              </w:rPr>
            </w:pPr>
            <w:r>
              <w:rPr>
                <w:rFonts w:ascii="Arial" w:cs="Arial" w:eastAsia="Arial" w:hAnsi="Arial"/>
                <w:sz w:val="14"/>
                <w:szCs w:val="14"/>
                <w:b w:val="1"/>
                <w:bCs w:val="1"/>
                <w:color w:val="FEFEFE"/>
              </w:rPr>
              <w:t>​ ​Maximum</w:t>
            </w: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216"/>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​Performance Achievement</w:t>
            </w:r>
          </w:p>
        </w:tc>
        <w:tc>
          <w:tcPr>
            <w:tcW w:w="2080" w:type="dxa"/>
            <w:vAlign w:val="bottom"/>
          </w:tcPr>
          <w:p>
            <w:pPr>
              <w:ind w:left="1820"/>
              <w:spacing w:after="0"/>
              <w:rPr>
                <w:sz w:val="20"/>
                <w:szCs w:val="20"/>
                <w:color w:val="auto"/>
              </w:rPr>
            </w:pPr>
            <w:r>
              <w:rPr>
                <w:rFonts w:ascii="Arial" w:cs="Arial" w:eastAsia="Arial" w:hAnsi="Arial"/>
                <w:sz w:val="18"/>
                <w:szCs w:val="18"/>
                <w:color w:val="auto"/>
              </w:rPr>
              <w:t>​ ​</w:t>
            </w:r>
          </w:p>
        </w:tc>
        <w:tc>
          <w:tcPr>
            <w:tcW w:w="620" w:type="dxa"/>
            <w:vAlign w:val="bottom"/>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&gt;=0%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1.5%​​ ​</w:t>
            </w:r>
          </w:p>
        </w:tc>
        <w:tc>
          <w:tcPr>
            <w:tcW w:w="800" w:type="dxa"/>
            <w:vAlign w:val="bottom"/>
            <w:gridSpan w:val="3"/>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&gt;=3.0%​​</w:t>
            </w:r>
          </w:p>
        </w:tc>
        <w:tc>
          <w:tcPr>
            <w:tcW w:w="0" w:type="dxa"/>
            <w:vAlign w:val="bottom"/>
          </w:tcPr>
          <w:p>
            <w:pPr>
              <w:spacing w:after="0"/>
              <w:rPr>
                <w:sz w:val="1"/>
                <w:szCs w:val="1"/>
                <w:color w:val="auto"/>
              </w:rPr>
            </w:pPr>
          </w:p>
        </w:tc>
      </w:tr>
      <w:tr>
        <w:trPr>
          <w:trHeight w:val="203"/>
        </w:trPr>
        <w:tc>
          <w:tcPr>
            <w:tcW w:w="100" w:type="dxa"/>
            <w:vAlign w:val="bottom"/>
            <w:vMerge w:val="restart"/>
            <w:shd w:val="clear" w:color="auto" w:fill="CBECD5"/>
          </w:tcPr>
          <w:p>
            <w:pPr>
              <w:ind w:left="40"/>
              <w:spacing w:after="0"/>
              <w:rPr>
                <w:sz w:val="20"/>
                <w:szCs w:val="20"/>
                <w:color w:val="auto"/>
              </w:rPr>
            </w:pPr>
            <w:r>
              <w:rPr>
                <w:rFonts w:ascii="Arial" w:cs="Arial" w:eastAsia="Arial" w:hAnsi="Arial"/>
                <w:sz w:val="18"/>
                <w:szCs w:val="18"/>
                <w:color w:val="auto"/>
              </w:rPr>
              <w:t>​</w:t>
            </w:r>
          </w:p>
        </w:tc>
        <w:tc>
          <w:tcPr>
            <w:tcW w:w="3900" w:type="dxa"/>
            <w:vAlign w:val="bottom"/>
            <w:gridSpan w:val="2"/>
            <w:shd w:val="clear" w:color="auto" w:fill="CBECD5"/>
          </w:tcPr>
          <w:p>
            <w:pPr>
              <w:spacing w:after="0" w:line="202" w:lineRule="exact"/>
              <w:rPr>
                <w:sz w:val="20"/>
                <w:szCs w:val="20"/>
                <w:color w:val="auto"/>
              </w:rPr>
            </w:pPr>
            <w:r>
              <w:rPr>
                <w:rFonts w:ascii="Arial" w:cs="Arial" w:eastAsia="Arial" w:hAnsi="Arial"/>
                <w:sz w:val="18"/>
                <w:szCs w:val="18"/>
                <w:color w:val="auto"/>
              </w:rPr>
              <w:t>Payout Percentage</w:t>
            </w:r>
          </w:p>
        </w:tc>
        <w:tc>
          <w:tcPr>
            <w:tcW w:w="2080" w:type="dxa"/>
            <w:vAlign w:val="bottom"/>
            <w:vMerge w:val="restart"/>
            <w:shd w:val="clear" w:color="auto" w:fill="CBECD5"/>
          </w:tcPr>
          <w:p>
            <w:pPr>
              <w:ind w:left="1820"/>
              <w:spacing w:after="0"/>
              <w:rPr>
                <w:sz w:val="20"/>
                <w:szCs w:val="20"/>
                <w:color w:val="auto"/>
              </w:rPr>
            </w:pPr>
            <w:r>
              <w:rPr>
                <w:rFonts w:ascii="Arial" w:cs="Arial" w:eastAsia="Arial" w:hAnsi="Arial"/>
                <w:sz w:val="18"/>
                <w:szCs w:val="18"/>
                <w:color w:val="auto"/>
              </w:rPr>
              <w:t>​ ​</w:t>
            </w:r>
          </w:p>
        </w:tc>
        <w:tc>
          <w:tcPr>
            <w:tcW w:w="620" w:type="dxa"/>
            <w:vAlign w:val="bottom"/>
            <w:shd w:val="clear" w:color="auto" w:fill="CBECD5"/>
          </w:tcPr>
          <w:p>
            <w:pPr>
              <w:ind w:left="100"/>
              <w:spacing w:after="0" w:line="202" w:lineRule="exact"/>
              <w:rPr>
                <w:sz w:val="20"/>
                <w:szCs w:val="20"/>
                <w:color w:val="auto"/>
              </w:rPr>
            </w:pPr>
            <w:r>
              <w:rPr>
                <w:rFonts w:ascii="Arial" w:cs="Arial" w:eastAsia="Arial" w:hAnsi="Arial"/>
                <w:sz w:val="18"/>
                <w:szCs w:val="18"/>
                <w:color w:val="auto"/>
              </w:rPr>
              <w:t>​ 50%</w:t>
            </w:r>
          </w:p>
        </w:tc>
        <w:tc>
          <w:tcPr>
            <w:tcW w:w="920" w:type="dxa"/>
            <w:vAlign w:val="bottom"/>
            <w:gridSpan w:val="2"/>
            <w:shd w:val="clear" w:color="auto" w:fill="CBECD5"/>
          </w:tcPr>
          <w:p>
            <w:pPr>
              <w:jc w:val="right"/>
              <w:ind w:right="102"/>
              <w:spacing w:after="0" w:line="202" w:lineRule="exact"/>
              <w:rPr>
                <w:sz w:val="20"/>
                <w:szCs w:val="20"/>
                <w:color w:val="auto"/>
              </w:rPr>
            </w:pPr>
            <w:r>
              <w:rPr>
                <w:rFonts w:ascii="Arial" w:cs="Arial" w:eastAsia="Arial" w:hAnsi="Arial"/>
                <w:sz w:val="18"/>
                <w:szCs w:val="18"/>
                <w:color w:val="auto"/>
              </w:rPr>
              <w:t>​100%</w:t>
            </w:r>
          </w:p>
        </w:tc>
        <w:tc>
          <w:tcPr>
            <w:tcW w:w="180" w:type="dxa"/>
            <w:vAlign w:val="bottom"/>
            <w:shd w:val="clear" w:color="auto" w:fill="CBECD5"/>
          </w:tcPr>
          <w:p>
            <w:pPr>
              <w:ind w:lef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BECD5"/>
          </w:tcPr>
          <w:p>
            <w:pPr>
              <w:jc w:val="right"/>
              <w:spacing w:after="0" w:line="202" w:lineRule="exact"/>
              <w:rPr>
                <w:sz w:val="20"/>
                <w:szCs w:val="20"/>
                <w:color w:val="auto"/>
              </w:rPr>
            </w:pPr>
            <w:r>
              <w:rPr>
                <w:rFonts w:ascii="Arial" w:cs="Arial" w:eastAsia="Arial" w:hAnsi="Arial"/>
                <w:sz w:val="18"/>
                <w:szCs w:val="18"/>
                <w:color w:val="auto"/>
              </w:rPr>
              <w:t>200%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00" w:type="dxa"/>
            <w:vAlign w:val="bottom"/>
            <w:tcBorders>
              <w:bottom w:val="single" w:sz="8" w:color="53C072"/>
            </w:tcBorders>
            <w:vMerge w:val="continue"/>
            <w:shd w:val="clear" w:color="auto" w:fill="CBECD5"/>
          </w:tcPr>
          <w:p>
            <w:pPr>
              <w:spacing w:after="0"/>
              <w:rPr>
                <w:sz w:val="7"/>
                <w:szCs w:val="7"/>
                <w:color w:val="auto"/>
              </w:rPr>
            </w:pPr>
          </w:p>
        </w:tc>
        <w:tc>
          <w:tcPr>
            <w:tcW w:w="460" w:type="dxa"/>
            <w:vAlign w:val="bottom"/>
            <w:tcBorders>
              <w:bottom w:val="single" w:sz="8" w:color="53C072"/>
            </w:tcBorders>
            <w:shd w:val="clear" w:color="auto" w:fill="CBECD5"/>
          </w:tcPr>
          <w:p>
            <w:pPr>
              <w:spacing w:after="0"/>
              <w:rPr>
                <w:sz w:val="7"/>
                <w:szCs w:val="7"/>
                <w:color w:val="auto"/>
              </w:rPr>
            </w:pPr>
          </w:p>
        </w:tc>
        <w:tc>
          <w:tcPr>
            <w:tcW w:w="3440" w:type="dxa"/>
            <w:vAlign w:val="bottom"/>
            <w:tcBorders>
              <w:bottom w:val="single" w:sz="8" w:color="53C072"/>
            </w:tcBorders>
            <w:shd w:val="clear" w:color="auto" w:fill="CBECD5"/>
          </w:tcPr>
          <w:p>
            <w:pPr>
              <w:spacing w:after="0"/>
              <w:rPr>
                <w:sz w:val="7"/>
                <w:szCs w:val="7"/>
                <w:color w:val="auto"/>
              </w:rPr>
            </w:pPr>
          </w:p>
        </w:tc>
        <w:tc>
          <w:tcPr>
            <w:tcW w:w="2080" w:type="dxa"/>
            <w:vAlign w:val="bottom"/>
            <w:tcBorders>
              <w:bottom w:val="single" w:sz="8" w:color="53C072"/>
            </w:tcBorders>
            <w:vMerge w:val="continue"/>
            <w:shd w:val="clear" w:color="auto" w:fill="CBECD5"/>
          </w:tcPr>
          <w:p>
            <w:pPr>
              <w:spacing w:after="0"/>
              <w:rPr>
                <w:sz w:val="7"/>
                <w:szCs w:val="7"/>
                <w:color w:val="auto"/>
              </w:rPr>
            </w:pPr>
          </w:p>
        </w:tc>
        <w:tc>
          <w:tcPr>
            <w:tcW w:w="620" w:type="dxa"/>
            <w:vAlign w:val="bottom"/>
            <w:tcBorders>
              <w:bottom w:val="single" w:sz="8" w:color="53C072"/>
            </w:tcBorders>
            <w:shd w:val="clear" w:color="auto" w:fill="CBECD5"/>
          </w:tcPr>
          <w:p>
            <w:pPr>
              <w:ind w:left="10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53C072"/>
            </w:tcBorders>
            <w:shd w:val="clear" w:color="auto" w:fill="CBECD5"/>
          </w:tcPr>
          <w:p>
            <w:pPr>
              <w:spacing w:after="0" w:line="81" w:lineRule="exact"/>
              <w:rPr>
                <w:sz w:val="20"/>
                <w:szCs w:val="20"/>
                <w:color w:val="auto"/>
              </w:rPr>
            </w:pPr>
            <w:r>
              <w:rPr>
                <w:rFonts w:ascii="Arial" w:cs="Arial" w:eastAsia="Arial" w:hAnsi="Arial"/>
                <w:sz w:val="9"/>
                <w:szCs w:val="9"/>
                <w:color w:val="auto"/>
              </w:rPr>
              <w:t>​​ ​ ​</w:t>
            </w:r>
          </w:p>
        </w:tc>
        <w:tc>
          <w:tcPr>
            <w:tcW w:w="260" w:type="dxa"/>
            <w:vAlign w:val="bottom"/>
            <w:tcBorders>
              <w:bottom w:val="single" w:sz="8" w:color="53C072"/>
            </w:tcBorders>
            <w:shd w:val="clear" w:color="auto" w:fill="CBECD5"/>
          </w:tcPr>
          <w:p>
            <w:pPr>
              <w:jc w:val="right"/>
              <w:spacing w:after="0" w:line="81" w:lineRule="exact"/>
              <w:rPr>
                <w:sz w:val="20"/>
                <w:szCs w:val="20"/>
                <w:color w:val="auto"/>
              </w:rPr>
            </w:pPr>
            <w:r>
              <w:rPr>
                <w:rFonts w:ascii="Arial" w:cs="Arial" w:eastAsia="Arial" w:hAnsi="Arial"/>
                <w:sz w:val="9"/>
                <w:szCs w:val="9"/>
                <w:color w:val="auto"/>
              </w:rPr>
              <w:t>​​ ​</w:t>
            </w:r>
          </w:p>
        </w:tc>
        <w:tc>
          <w:tcPr>
            <w:tcW w:w="180" w:type="dxa"/>
            <w:vAlign w:val="bottom"/>
            <w:tcBorders>
              <w:bottom w:val="single" w:sz="8" w:color="53C072"/>
            </w:tcBorders>
            <w:shd w:val="clear" w:color="auto" w:fill="CBECD5"/>
          </w:tcPr>
          <w:p>
            <w:pPr>
              <w:ind w:left="60"/>
              <w:spacing w:after="0" w:line="81" w:lineRule="exact"/>
              <w:rPr>
                <w:sz w:val="20"/>
                <w:szCs w:val="20"/>
                <w:color w:val="auto"/>
              </w:rPr>
            </w:pPr>
            <w:r>
              <w:rPr>
                <w:rFonts w:ascii="Arial" w:cs="Arial" w:eastAsia="Arial" w:hAnsi="Arial"/>
                <w:sz w:val="9"/>
                <w:szCs w:val="9"/>
                <w:color w:val="auto"/>
              </w:rPr>
              <w:t>​</w:t>
            </w:r>
          </w:p>
        </w:tc>
        <w:tc>
          <w:tcPr>
            <w:tcW w:w="580" w:type="dxa"/>
            <w:vAlign w:val="bottom"/>
            <w:tcBorders>
              <w:bottom w:val="single" w:sz="8" w:color="53C072"/>
            </w:tcBorders>
            <w:shd w:val="clear" w:color="auto" w:fill="CBECD5"/>
          </w:tcPr>
          <w:p>
            <w:pPr>
              <w:jc w:val="right"/>
              <w:spacing w:after="0" w:line="81"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1620" w:right="179" w:hanging="270"/>
        <w:spacing w:after="0" w:line="262" w:lineRule="auto"/>
        <w:tabs>
          <w:tab w:leader="none" w:pos="1620" w:val="left"/>
        </w:tabs>
        <w:numPr>
          <w:ilvl w:val="0"/>
          <w:numId w:val="48"/>
        </w:numPr>
        <w:rPr>
          <w:rFonts w:ascii="Arial" w:cs="Arial" w:eastAsia="Arial" w:hAnsi="Arial"/>
          <w:sz w:val="18"/>
          <w:szCs w:val="18"/>
          <w:color w:val="53C072"/>
        </w:rPr>
      </w:pPr>
      <w:r>
        <w:rPr>
          <w:rFonts w:ascii="Arial" w:cs="Arial" w:eastAsia="Arial" w:hAnsi="Arial"/>
          <w:sz w:val="18"/>
          <w:szCs w:val="18"/>
          <w:color w:val="auto"/>
        </w:rPr>
        <w:t>“Relative Adjusted EPS Growth” is defined as the Company’s adjusted EPS growth ranking in a given fiscal year as compared to that of each company included in the Company’s Benchmarking Peer Group for fiscal 2025. Please see “Compensation Governance and Process — Benchmarking” for the list of peers for fiscal 2025.</w:t>
      </w:r>
    </w:p>
    <w:p>
      <w:pPr>
        <w:spacing w:after="0" w:line="155" w:lineRule="exact"/>
        <w:rPr>
          <w:sz w:val="20"/>
          <w:szCs w:val="20"/>
          <w:color w:val="auto"/>
        </w:rPr>
      </w:pPr>
    </w:p>
    <w:tbl>
      <w:tblPr>
        <w:tblLayout w:type="fixed"/>
        <w:tblInd w:w="1360" w:type="dxa"/>
        <w:tblCellMar>
          <w:top w:w="0" w:type="dxa"/>
          <w:left w:w="0" w:type="dxa"/>
          <w:bottom w:w="0" w:type="dxa"/>
          <w:right w:w="0" w:type="dxa"/>
        </w:tblCellMar>
      </w:tblPr>
      <w:tr>
        <w:trPr>
          <w:trHeight w:val="203"/>
        </w:trPr>
        <w:tc>
          <w:tcPr>
            <w:tcW w:w="66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Relative​</w:t>
            </w:r>
          </w:p>
        </w:tc>
        <w:tc>
          <w:tcPr>
            <w:tcW w:w="3180" w:type="dxa"/>
            <w:vAlign w:val="bottom"/>
            <w:gridSpan w:val="2"/>
            <w:shd w:val="clear" w:color="auto" w:fill="53C072"/>
          </w:tcPr>
          <w:p>
            <w:pPr>
              <w:ind w:left="20"/>
              <w:spacing w:after="0"/>
              <w:rPr>
                <w:sz w:val="20"/>
                <w:szCs w:val="20"/>
                <w:color w:val="auto"/>
              </w:rPr>
            </w:pPr>
            <w:r>
              <w:rPr>
                <w:rFonts w:ascii="Arial" w:cs="Arial" w:eastAsia="Arial" w:hAnsi="Arial"/>
                <w:sz w:val="14"/>
                <w:szCs w:val="14"/>
                <w:b w:val="1"/>
                <w:bCs w:val="1"/>
                <w:color w:val="FEFEFE"/>
              </w:rPr>
              <w:t>Adjusted EPS Growth</w:t>
            </w:r>
          </w:p>
        </w:tc>
        <w:tc>
          <w:tcPr>
            <w:tcW w:w="2780" w:type="dxa"/>
            <w:vAlign w:val="bottom"/>
            <w:gridSpan w:val="2"/>
            <w:shd w:val="clear" w:color="auto" w:fill="53C072"/>
          </w:tcPr>
          <w:p>
            <w:pPr>
              <w:ind w:left="1660"/>
              <w:spacing w:after="0"/>
              <w:rPr>
                <w:sz w:val="20"/>
                <w:szCs w:val="20"/>
                <w:color w:val="auto"/>
              </w:rPr>
            </w:pPr>
            <w:r>
              <w:rPr>
                <w:rFonts w:ascii="Arial" w:cs="Arial" w:eastAsia="Arial" w:hAnsi="Arial"/>
                <w:sz w:val="14"/>
                <w:szCs w:val="14"/>
                <w:b w:val="1"/>
                <w:bCs w:val="1"/>
                <w:color w:val="FEFEFE"/>
              </w:rPr>
              <w:t>​ ​   Threshold</w:t>
            </w:r>
          </w:p>
        </w:tc>
        <w:tc>
          <w:tcPr>
            <w:tcW w:w="800" w:type="dxa"/>
            <w:vAlign w:val="bottom"/>
            <w:gridSpan w:val="2"/>
            <w:shd w:val="clear" w:color="auto" w:fill="53C072"/>
          </w:tcPr>
          <w:p>
            <w:pPr>
              <w:ind w:left="60"/>
              <w:spacing w:after="0"/>
              <w:rPr>
                <w:sz w:val="20"/>
                <w:szCs w:val="20"/>
                <w:color w:val="auto"/>
              </w:rPr>
            </w:pPr>
            <w:r>
              <w:rPr>
                <w:rFonts w:ascii="Arial" w:cs="Arial" w:eastAsia="Arial" w:hAnsi="Arial"/>
                <w:sz w:val="14"/>
                <w:szCs w:val="14"/>
                <w:b w:val="1"/>
                <w:bCs w:val="1"/>
                <w:color w:val="FEFEFE"/>
              </w:rPr>
              <w:t>​ ​  Target</w:t>
            </w:r>
          </w:p>
        </w:tc>
        <w:tc>
          <w:tcPr>
            <w:tcW w:w="960" w:type="dxa"/>
            <w:vAlign w:val="bottom"/>
            <w:tcBorders>
              <w:right w:val="single" w:sz="8" w:color="53C072"/>
            </w:tcBorders>
            <w:gridSpan w:val="2"/>
            <w:shd w:val="clear" w:color="auto" w:fill="53C072"/>
          </w:tcPr>
          <w:p>
            <w:pPr>
              <w:ind w:left="60"/>
              <w:spacing w:after="0"/>
              <w:rPr>
                <w:sz w:val="20"/>
                <w:szCs w:val="20"/>
                <w:color w:val="auto"/>
              </w:rPr>
            </w:pPr>
            <w:r>
              <w:rPr>
                <w:rFonts w:ascii="Arial" w:cs="Arial" w:eastAsia="Arial" w:hAnsi="Arial"/>
                <w:sz w:val="14"/>
                <w:szCs w:val="14"/>
                <w:b w:val="1"/>
                <w:bCs w:val="1"/>
                <w:color w:val="FEFEFE"/>
              </w:rPr>
              <w:t>​ ​Maximum</w:t>
            </w: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216"/>
        </w:trPr>
        <w:tc>
          <w:tcPr>
            <w:tcW w:w="1140" w:type="dxa"/>
            <w:vAlign w:val="bottom"/>
            <w:gridSpan w:val="2"/>
          </w:tcPr>
          <w:p>
            <w:pPr>
              <w:ind w:left="100"/>
              <w:spacing w:after="0"/>
              <w:rPr>
                <w:sz w:val="20"/>
                <w:szCs w:val="20"/>
                <w:color w:val="auto"/>
              </w:rPr>
            </w:pPr>
            <w:r>
              <w:rPr>
                <w:rFonts w:ascii="Arial" w:cs="Arial" w:eastAsia="Arial" w:hAnsi="Arial"/>
                <w:sz w:val="18"/>
                <w:szCs w:val="18"/>
                <w:color w:val="auto"/>
                <w:w w:val="98"/>
              </w:rPr>
              <w:t>Performance​</w:t>
            </w:r>
          </w:p>
        </w:tc>
        <w:tc>
          <w:tcPr>
            <w:tcW w:w="2700" w:type="dxa"/>
            <w:vAlign w:val="bottom"/>
          </w:tcPr>
          <w:p>
            <w:pPr>
              <w:ind w:left="20"/>
              <w:spacing w:after="0"/>
              <w:rPr>
                <w:sz w:val="20"/>
                <w:szCs w:val="20"/>
                <w:color w:val="auto"/>
              </w:rPr>
            </w:pPr>
            <w:r>
              <w:rPr>
                <w:rFonts w:ascii="Arial" w:cs="Arial" w:eastAsia="Arial" w:hAnsi="Arial"/>
                <w:sz w:val="18"/>
                <w:szCs w:val="18"/>
                <w:color w:val="auto"/>
              </w:rPr>
              <w:t>Achievement</w:t>
            </w:r>
          </w:p>
        </w:tc>
        <w:tc>
          <w:tcPr>
            <w:tcW w:w="2780" w:type="dxa"/>
            <w:vAlign w:val="bottom"/>
            <w:gridSpan w:val="2"/>
          </w:tcPr>
          <w:p>
            <w:pPr>
              <w:ind w:left="1660"/>
              <w:spacing w:after="0"/>
              <w:rPr>
                <w:sz w:val="20"/>
                <w:szCs w:val="20"/>
                <w:color w:val="auto"/>
              </w:rPr>
            </w:pPr>
            <w:r>
              <w:rPr>
                <w:rFonts w:ascii="Arial" w:cs="Arial" w:eastAsia="Arial" w:hAnsi="Arial"/>
                <w:sz w:val="18"/>
                <w:szCs w:val="18"/>
                <w:color w:val="auto"/>
              </w:rPr>
              <w:t>​ ​Next to Last</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 ​Median</w:t>
            </w:r>
          </w:p>
        </w:tc>
        <w:tc>
          <w:tcPr>
            <w:tcW w:w="300" w:type="dxa"/>
            <w:vAlign w:val="bottom"/>
          </w:tcPr>
          <w:p>
            <w:pPr>
              <w:ind w:left="60"/>
              <w:spacing w:after="0"/>
              <w:rPr>
                <w:sz w:val="20"/>
                <w:szCs w:val="20"/>
                <w:color w:val="auto"/>
              </w:rPr>
            </w:pPr>
            <w:r>
              <w:rPr>
                <w:rFonts w:ascii="Arial" w:cs="Arial" w:eastAsia="Arial" w:hAnsi="Arial"/>
                <w:sz w:val="18"/>
                <w:szCs w:val="18"/>
                <w:color w:val="auto"/>
              </w:rPr>
              <w:t>​ ​</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First</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40" w:type="dxa"/>
            <w:vAlign w:val="bottom"/>
            <w:gridSpan w:val="3"/>
            <w:shd w:val="clear" w:color="auto" w:fill="CBECD5"/>
          </w:tcPr>
          <w:p>
            <w:pPr>
              <w:ind w:left="100"/>
              <w:spacing w:after="0" w:line="202" w:lineRule="exact"/>
              <w:rPr>
                <w:sz w:val="20"/>
                <w:szCs w:val="20"/>
                <w:color w:val="auto"/>
              </w:rPr>
            </w:pPr>
            <w:r>
              <w:rPr>
                <w:rFonts w:ascii="Arial" w:cs="Arial" w:eastAsia="Arial" w:hAnsi="Arial"/>
                <w:sz w:val="18"/>
                <w:szCs w:val="18"/>
                <w:color w:val="auto"/>
              </w:rPr>
              <w:t>Payout Percentage</w:t>
            </w:r>
          </w:p>
        </w:tc>
        <w:tc>
          <w:tcPr>
            <w:tcW w:w="2080" w:type="dxa"/>
            <w:vAlign w:val="bottom"/>
            <w:vMerge w:val="restart"/>
            <w:shd w:val="clear" w:color="auto" w:fill="CBECD5"/>
          </w:tcPr>
          <w:p>
            <w:pPr>
              <w:ind w:left="166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BECD5"/>
          </w:tcPr>
          <w:p>
            <w:pPr>
              <w:jc w:val="right"/>
              <w:spacing w:after="0" w:line="202" w:lineRule="exact"/>
              <w:rPr>
                <w:sz w:val="20"/>
                <w:szCs w:val="20"/>
                <w:color w:val="auto"/>
              </w:rPr>
            </w:pPr>
            <w:r>
              <w:rPr>
                <w:rFonts w:ascii="Arial" w:cs="Arial" w:eastAsia="Arial" w:hAnsi="Arial"/>
                <w:sz w:val="18"/>
                <w:szCs w:val="18"/>
                <w:color w:val="auto"/>
              </w:rPr>
              <w:t>25%</w:t>
            </w:r>
          </w:p>
        </w:tc>
        <w:tc>
          <w:tcPr>
            <w:tcW w:w="260" w:type="dxa"/>
            <w:vAlign w:val="bottom"/>
            <w:vMerge w:val="restart"/>
            <w:shd w:val="clear" w:color="auto" w:fill="CBECD5"/>
          </w:tcPr>
          <w:p>
            <w:pPr>
              <w:ind w:left="60"/>
              <w:spacing w:after="0"/>
              <w:rPr>
                <w:sz w:val="20"/>
                <w:szCs w:val="20"/>
                <w:color w:val="auto"/>
              </w:rPr>
            </w:pPr>
            <w:r>
              <w:rPr>
                <w:rFonts w:ascii="Arial" w:cs="Arial" w:eastAsia="Arial" w:hAnsi="Arial"/>
                <w:sz w:val="18"/>
                <w:szCs w:val="18"/>
                <w:color w:val="auto"/>
              </w:rPr>
              <w:t>​ ​</w:t>
            </w:r>
          </w:p>
        </w:tc>
        <w:tc>
          <w:tcPr>
            <w:tcW w:w="540" w:type="dxa"/>
            <w:vAlign w:val="bottom"/>
            <w:shd w:val="clear" w:color="auto" w:fill="CBECD5"/>
          </w:tcPr>
          <w:p>
            <w:pPr>
              <w:jc w:val="right"/>
              <w:spacing w:after="0" w:line="202" w:lineRule="exact"/>
              <w:rPr>
                <w:sz w:val="20"/>
                <w:szCs w:val="20"/>
                <w:color w:val="auto"/>
              </w:rPr>
            </w:pPr>
            <w:r>
              <w:rPr>
                <w:rFonts w:ascii="Arial" w:cs="Arial" w:eastAsia="Arial" w:hAnsi="Arial"/>
                <w:sz w:val="18"/>
                <w:szCs w:val="18"/>
                <w:color w:val="auto"/>
                <w:w w:val="99"/>
              </w:rPr>
              <w:t>100%</w:t>
            </w:r>
          </w:p>
        </w:tc>
        <w:tc>
          <w:tcPr>
            <w:tcW w:w="300" w:type="dxa"/>
            <w:vAlign w:val="bottom"/>
            <w:vMerge w:val="restart"/>
            <w:shd w:val="clear" w:color="auto" w:fill="CBECD5"/>
          </w:tcPr>
          <w:p>
            <w:pPr>
              <w:ind w:left="60"/>
              <w:spacing w:after="0"/>
              <w:rPr>
                <w:sz w:val="20"/>
                <w:szCs w:val="20"/>
                <w:color w:val="auto"/>
              </w:rPr>
            </w:pPr>
            <w:r>
              <w:rPr>
                <w:rFonts w:ascii="Arial" w:cs="Arial" w:eastAsia="Arial" w:hAnsi="Arial"/>
                <w:sz w:val="18"/>
                <w:szCs w:val="18"/>
                <w:color w:val="auto"/>
              </w:rPr>
              <w:t>​ ​</w:t>
            </w:r>
          </w:p>
        </w:tc>
        <w:tc>
          <w:tcPr>
            <w:tcW w:w="660" w:type="dxa"/>
            <w:vAlign w:val="bottom"/>
            <w:tcBorders>
              <w:right w:val="single" w:sz="8" w:color="CBECD5"/>
            </w:tcBorders>
            <w:shd w:val="clear" w:color="auto" w:fill="CBECD5"/>
          </w:tcPr>
          <w:p>
            <w:pPr>
              <w:jc w:val="right"/>
              <w:ind w:right="30"/>
              <w:spacing w:after="0" w:line="202" w:lineRule="exact"/>
              <w:rPr>
                <w:sz w:val="20"/>
                <w:szCs w:val="20"/>
                <w:color w:val="auto"/>
              </w:rPr>
            </w:pPr>
            <w:r>
              <w:rPr>
                <w:rFonts w:ascii="Arial" w:cs="Arial" w:eastAsia="Arial" w:hAnsi="Arial"/>
                <w:sz w:val="18"/>
                <w:szCs w:val="18"/>
                <w:color w:val="auto"/>
              </w:rPr>
              <w:t>200%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660" w:type="dxa"/>
            <w:vAlign w:val="bottom"/>
            <w:tcBorders>
              <w:bottom w:val="single" w:sz="8" w:color="53C072"/>
            </w:tcBorders>
            <w:shd w:val="clear" w:color="auto" w:fill="CBECD5"/>
          </w:tcPr>
          <w:p>
            <w:pPr>
              <w:ind w:left="100"/>
              <w:spacing w:after="0" w:line="81" w:lineRule="exact"/>
              <w:rPr>
                <w:sz w:val="20"/>
                <w:szCs w:val="20"/>
                <w:color w:val="auto"/>
              </w:rPr>
            </w:pPr>
            <w:r>
              <w:rPr>
                <w:rFonts w:ascii="Arial" w:cs="Arial" w:eastAsia="Arial" w:hAnsi="Arial"/>
                <w:sz w:val="9"/>
                <w:szCs w:val="9"/>
                <w:color w:val="auto"/>
              </w:rPr>
              <w:t>​</w:t>
            </w:r>
          </w:p>
        </w:tc>
        <w:tc>
          <w:tcPr>
            <w:tcW w:w="480" w:type="dxa"/>
            <w:vAlign w:val="bottom"/>
            <w:tcBorders>
              <w:bottom w:val="single" w:sz="8" w:color="53C072"/>
            </w:tcBorders>
            <w:shd w:val="clear" w:color="auto" w:fill="CBECD5"/>
          </w:tcPr>
          <w:p>
            <w:pPr>
              <w:spacing w:after="0"/>
              <w:rPr>
                <w:sz w:val="7"/>
                <w:szCs w:val="7"/>
                <w:color w:val="auto"/>
              </w:rPr>
            </w:pPr>
          </w:p>
        </w:tc>
        <w:tc>
          <w:tcPr>
            <w:tcW w:w="2700" w:type="dxa"/>
            <w:vAlign w:val="bottom"/>
            <w:tcBorders>
              <w:bottom w:val="single" w:sz="8" w:color="53C072"/>
            </w:tcBorders>
            <w:shd w:val="clear" w:color="auto" w:fill="CBECD5"/>
          </w:tcPr>
          <w:p>
            <w:pPr>
              <w:spacing w:after="0"/>
              <w:rPr>
                <w:sz w:val="7"/>
                <w:szCs w:val="7"/>
                <w:color w:val="auto"/>
              </w:rPr>
            </w:pPr>
          </w:p>
        </w:tc>
        <w:tc>
          <w:tcPr>
            <w:tcW w:w="2080" w:type="dxa"/>
            <w:vAlign w:val="bottom"/>
            <w:tcBorders>
              <w:bottom w:val="single" w:sz="8" w:color="53C072"/>
            </w:tcBorders>
            <w:vMerge w:val="continue"/>
            <w:shd w:val="clear" w:color="auto" w:fill="CBECD5"/>
          </w:tcPr>
          <w:p>
            <w:pPr>
              <w:spacing w:after="0"/>
              <w:rPr>
                <w:sz w:val="7"/>
                <w:szCs w:val="7"/>
                <w:color w:val="auto"/>
              </w:rPr>
            </w:pPr>
          </w:p>
        </w:tc>
        <w:tc>
          <w:tcPr>
            <w:tcW w:w="700" w:type="dxa"/>
            <w:vAlign w:val="bottom"/>
            <w:tcBorders>
              <w:bottom w:val="single" w:sz="8" w:color="53C072"/>
            </w:tcBorders>
            <w:shd w:val="clear" w:color="auto" w:fill="CBECD5"/>
          </w:tcPr>
          <w:p>
            <w:pPr>
              <w:spacing w:after="0"/>
              <w:rPr>
                <w:sz w:val="7"/>
                <w:szCs w:val="7"/>
                <w:color w:val="auto"/>
              </w:rPr>
            </w:pPr>
          </w:p>
        </w:tc>
        <w:tc>
          <w:tcPr>
            <w:tcW w:w="260" w:type="dxa"/>
            <w:vAlign w:val="bottom"/>
            <w:tcBorders>
              <w:bottom w:val="single" w:sz="8" w:color="53C072"/>
            </w:tcBorders>
            <w:vMerge w:val="continue"/>
            <w:shd w:val="clear" w:color="auto" w:fill="CBECD5"/>
          </w:tcPr>
          <w:p>
            <w:pPr>
              <w:spacing w:after="0"/>
              <w:rPr>
                <w:sz w:val="7"/>
                <w:szCs w:val="7"/>
                <w:color w:val="auto"/>
              </w:rPr>
            </w:pPr>
          </w:p>
        </w:tc>
        <w:tc>
          <w:tcPr>
            <w:tcW w:w="540" w:type="dxa"/>
            <w:vAlign w:val="bottom"/>
            <w:tcBorders>
              <w:bottom w:val="single" w:sz="8" w:color="53C072"/>
            </w:tcBorders>
            <w:shd w:val="clear" w:color="auto" w:fill="CBECD5"/>
          </w:tcPr>
          <w:p>
            <w:pPr>
              <w:spacing w:after="0"/>
              <w:rPr>
                <w:sz w:val="7"/>
                <w:szCs w:val="7"/>
                <w:color w:val="auto"/>
              </w:rPr>
            </w:pPr>
          </w:p>
        </w:tc>
        <w:tc>
          <w:tcPr>
            <w:tcW w:w="300" w:type="dxa"/>
            <w:vAlign w:val="bottom"/>
            <w:tcBorders>
              <w:bottom w:val="single" w:sz="8" w:color="53C072"/>
            </w:tcBorders>
            <w:vMerge w:val="continue"/>
            <w:shd w:val="clear" w:color="auto" w:fill="CBECD5"/>
          </w:tcPr>
          <w:p>
            <w:pPr>
              <w:spacing w:after="0"/>
              <w:rPr>
                <w:sz w:val="7"/>
                <w:szCs w:val="7"/>
                <w:color w:val="auto"/>
              </w:rPr>
            </w:pPr>
          </w:p>
        </w:tc>
        <w:tc>
          <w:tcPr>
            <w:tcW w:w="660" w:type="dxa"/>
            <w:vAlign w:val="bottom"/>
            <w:tcBorders>
              <w:bottom w:val="single" w:sz="8" w:color="53C072"/>
              <w:right w:val="single" w:sz="8" w:color="CBECD5"/>
            </w:tcBorders>
            <w:shd w:val="clear" w:color="auto" w:fill="CBECD5"/>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1620" w:right="319" w:hanging="270"/>
        <w:spacing w:after="0" w:line="257" w:lineRule="auto"/>
        <w:tabs>
          <w:tab w:leader="none" w:pos="1620" w:val="left"/>
        </w:tabs>
        <w:numPr>
          <w:ilvl w:val="0"/>
          <w:numId w:val="49"/>
        </w:numPr>
        <w:rPr>
          <w:rFonts w:ascii="Arial" w:cs="Arial" w:eastAsia="Arial" w:hAnsi="Arial"/>
          <w:sz w:val="18"/>
          <w:szCs w:val="18"/>
          <w:color w:val="53C072"/>
        </w:rPr>
      </w:pPr>
      <w:r>
        <w:rPr>
          <w:rFonts w:ascii="Arial" w:cs="Arial" w:eastAsia="Arial" w:hAnsi="Arial"/>
          <w:sz w:val="18"/>
          <w:szCs w:val="18"/>
          <w:color w:val="auto"/>
        </w:rPr>
        <w:t>“Total Shareholder Return” (or​ “TSR”) is defined as the percent calculated using the following formula: average stock price at the end of period minus the average stock price at the start of period plus dividends, divided by the average stock price at the start of period. The term “average stock price” means the 30-trading day average immediately before and including the start day of the performance period and the 30-trading day average immediately before and including the end day of the performance period.</w:t>
      </w:r>
    </w:p>
    <w:p>
      <w:pPr>
        <w:spacing w:after="0" w:line="87" w:lineRule="exact"/>
        <w:rPr>
          <w:rFonts w:ascii="Arial" w:cs="Arial" w:eastAsia="Arial" w:hAnsi="Arial"/>
          <w:sz w:val="18"/>
          <w:szCs w:val="18"/>
          <w:color w:val="53C072"/>
        </w:rPr>
      </w:pPr>
    </w:p>
    <w:p>
      <w:pPr>
        <w:ind w:left="1620" w:right="459" w:hanging="270"/>
        <w:spacing w:after="0" w:line="287" w:lineRule="auto"/>
        <w:tabs>
          <w:tab w:leader="none" w:pos="1620" w:val="left"/>
        </w:tabs>
        <w:numPr>
          <w:ilvl w:val="0"/>
          <w:numId w:val="49"/>
        </w:numPr>
        <w:rPr>
          <w:rFonts w:ascii="Arial" w:cs="Arial" w:eastAsia="Arial" w:hAnsi="Arial"/>
          <w:sz w:val="18"/>
          <w:szCs w:val="18"/>
          <w:color w:val="53C072"/>
        </w:rPr>
      </w:pPr>
      <w:r>
        <w:rPr>
          <w:rFonts w:ascii="Arial" w:cs="Arial" w:eastAsia="Arial" w:hAnsi="Arial"/>
          <w:sz w:val="18"/>
          <w:szCs w:val="18"/>
          <w:color w:val="auto"/>
        </w:rPr>
        <w:t>rTSR is defined as the Company’s relative TSR ranking in a given fiscal year as compared to that of each company included in the Company’s Benchmarking Peer Group for fiscal 2025.</w:t>
      </w:r>
    </w:p>
    <w:p>
      <w:pPr>
        <w:spacing w:after="0" w:line="145" w:lineRule="exact"/>
        <w:rPr>
          <w:sz w:val="20"/>
          <w:szCs w:val="20"/>
          <w:color w:val="auto"/>
        </w:rPr>
      </w:pPr>
    </w:p>
    <w:tbl>
      <w:tblPr>
        <w:tblLayout w:type="fixed"/>
        <w:tblInd w:w="1360" w:type="dxa"/>
        <w:tblCellMar>
          <w:top w:w="0" w:type="dxa"/>
          <w:left w:w="0" w:type="dxa"/>
          <w:bottom w:w="0" w:type="dxa"/>
          <w:right w:w="0" w:type="dxa"/>
        </w:tblCellMar>
      </w:tblPr>
      <w:tr>
        <w:trPr>
          <w:trHeight w:val="203"/>
        </w:trPr>
        <w:tc>
          <w:tcPr>
            <w:tcW w:w="402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rTSR​</w:t>
            </w:r>
          </w:p>
        </w:tc>
        <w:tc>
          <w:tcPr>
            <w:tcW w:w="2720" w:type="dxa"/>
            <w:vAlign w:val="bottom"/>
            <w:gridSpan w:val="2"/>
            <w:shd w:val="clear" w:color="auto" w:fill="53C072"/>
          </w:tcPr>
          <w:p>
            <w:pPr>
              <w:ind w:left="1880"/>
              <w:spacing w:after="0"/>
              <w:rPr>
                <w:sz w:val="20"/>
                <w:szCs w:val="20"/>
                <w:color w:val="auto"/>
              </w:rPr>
            </w:pPr>
            <w:r>
              <w:rPr>
                <w:rFonts w:ascii="Arial" w:cs="Arial" w:eastAsia="Arial" w:hAnsi="Arial"/>
                <w:sz w:val="14"/>
                <w:szCs w:val="14"/>
                <w:b w:val="1"/>
                <w:bCs w:val="1"/>
                <w:color w:val="FEFEFE"/>
              </w:rPr>
              <w:t>​ ​Threshold</w:t>
            </w:r>
          </w:p>
        </w:tc>
        <w:tc>
          <w:tcPr>
            <w:tcW w:w="660" w:type="dxa"/>
            <w:vAlign w:val="bottom"/>
            <w:gridSpan w:val="2"/>
            <w:shd w:val="clear" w:color="auto" w:fill="53C072"/>
          </w:tcPr>
          <w:p>
            <w:pPr>
              <w:ind w:left="80"/>
              <w:spacing w:after="0"/>
              <w:rPr>
                <w:sz w:val="20"/>
                <w:szCs w:val="20"/>
                <w:color w:val="auto"/>
              </w:rPr>
            </w:pPr>
            <w:r>
              <w:rPr>
                <w:rFonts w:ascii="Arial" w:cs="Arial" w:eastAsia="Arial" w:hAnsi="Arial"/>
                <w:sz w:val="14"/>
                <w:szCs w:val="14"/>
                <w:b w:val="1"/>
                <w:bCs w:val="1"/>
                <w:color w:val="FEFEFE"/>
              </w:rPr>
              <w:t>​ ​Target</w:t>
            </w:r>
          </w:p>
        </w:tc>
        <w:tc>
          <w:tcPr>
            <w:tcW w:w="880" w:type="dxa"/>
            <w:vAlign w:val="bottom"/>
            <w:gridSpan w:val="2"/>
            <w:shd w:val="clear" w:color="auto" w:fill="53C072"/>
          </w:tcPr>
          <w:p>
            <w:pPr>
              <w:ind w:left="80"/>
              <w:spacing w:after="0"/>
              <w:rPr>
                <w:sz w:val="20"/>
                <w:szCs w:val="20"/>
                <w:color w:val="auto"/>
              </w:rPr>
            </w:pPr>
            <w:r>
              <w:rPr>
                <w:rFonts w:ascii="Arial" w:cs="Arial" w:eastAsia="Arial" w:hAnsi="Arial"/>
                <w:sz w:val="14"/>
                <w:szCs w:val="14"/>
                <w:b w:val="1"/>
                <w:bCs w:val="1"/>
                <w:color w:val="FEFEFE"/>
              </w:rPr>
              <w:t>​ ​Maximum</w:t>
            </w:r>
          </w:p>
        </w:tc>
        <w:tc>
          <w:tcPr>
            <w:tcW w:w="100" w:type="dxa"/>
            <w:vAlign w:val="bottom"/>
            <w:shd w:val="clear" w:color="auto" w:fill="53C072"/>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r>
      <w:tr>
        <w:trPr>
          <w:trHeight w:val="256"/>
        </w:trPr>
        <w:tc>
          <w:tcPr>
            <w:tcW w:w="4020" w:type="dxa"/>
            <w:vAlign w:val="bottom"/>
          </w:tcPr>
          <w:p>
            <w:pPr>
              <w:ind w:left="40"/>
              <w:spacing w:after="0"/>
              <w:rPr>
                <w:sz w:val="20"/>
                <w:szCs w:val="20"/>
                <w:color w:val="auto"/>
              </w:rPr>
            </w:pPr>
            <w:r>
              <w:rPr>
                <w:rFonts w:ascii="Arial" w:cs="Arial" w:eastAsia="Arial" w:hAnsi="Arial"/>
                <w:sz w:val="18"/>
                <w:szCs w:val="18"/>
                <w:color w:val="auto"/>
              </w:rPr>
              <w:t>​Performance Achievement</w:t>
            </w:r>
          </w:p>
        </w:tc>
        <w:tc>
          <w:tcPr>
            <w:tcW w:w="2100" w:type="dxa"/>
            <w:vAlign w:val="bottom"/>
          </w:tcPr>
          <w:p>
            <w:pPr>
              <w:ind w:left="1820"/>
              <w:spacing w:after="0"/>
              <w:rPr>
                <w:sz w:val="20"/>
                <w:szCs w:val="20"/>
                <w:color w:val="auto"/>
              </w:rPr>
            </w:pPr>
            <w:r>
              <w:rPr>
                <w:rFonts w:ascii="Arial" w:cs="Arial" w:eastAsia="Arial" w:hAnsi="Arial"/>
                <w:sz w:val="18"/>
                <w:szCs w:val="18"/>
                <w:color w:val="auto"/>
              </w:rPr>
              <w:t>​ ​</w:t>
            </w:r>
          </w:p>
        </w:tc>
        <w:tc>
          <w:tcPr>
            <w:tcW w:w="620" w:type="dxa"/>
            <w:vAlign w:val="bottom"/>
          </w:tcPr>
          <w:p>
            <w:pPr>
              <w:jc w:val="center"/>
              <w:ind w:right="50"/>
              <w:spacing w:after="0" w:line="256" w:lineRule="exact"/>
              <w:rPr>
                <w:sz w:val="20"/>
                <w:szCs w:val="20"/>
                <w:color w:val="auto"/>
              </w:rPr>
            </w:pPr>
            <w:r>
              <w:rPr>
                <w:rFonts w:ascii="Arial" w:cs="Arial" w:eastAsia="Arial" w:hAnsi="Arial"/>
                <w:sz w:val="18"/>
                <w:szCs w:val="18"/>
                <w:color w:val="auto"/>
                <w:w w:val="85"/>
              </w:rPr>
              <w:t>13</w:t>
            </w:r>
            <w:r>
              <w:rPr>
                <w:rFonts w:ascii="Arial" w:cs="Arial" w:eastAsia="Arial" w:hAnsi="Arial"/>
                <w:sz w:val="23"/>
                <w:szCs w:val="23"/>
                <w:color w:val="auto"/>
                <w:w w:val="85"/>
                <w:vertAlign w:val="superscript"/>
              </w:rPr>
              <w:t>th</w:t>
            </w:r>
          </w:p>
        </w:tc>
        <w:tc>
          <w:tcPr>
            <w:tcW w:w="240" w:type="dxa"/>
            <w:vAlign w:val="bottom"/>
          </w:tcPr>
          <w:p>
            <w:pPr>
              <w:ind w:left="20"/>
              <w:spacing w:after="0"/>
              <w:rPr>
                <w:sz w:val="20"/>
                <w:szCs w:val="20"/>
                <w:color w:val="auto"/>
              </w:rPr>
            </w:pPr>
            <w:r>
              <w:rPr>
                <w:rFonts w:ascii="Arial" w:cs="Arial" w:eastAsia="Arial" w:hAnsi="Arial"/>
                <w:sz w:val="18"/>
                <w:szCs w:val="18"/>
                <w:color w:val="auto"/>
              </w:rPr>
              <w:t>​ ​</w:t>
            </w:r>
          </w:p>
        </w:tc>
        <w:tc>
          <w:tcPr>
            <w:tcW w:w="420" w:type="dxa"/>
            <w:vAlign w:val="bottom"/>
          </w:tcPr>
          <w:p>
            <w:pPr>
              <w:jc w:val="center"/>
              <w:ind w:right="8"/>
              <w:spacing w:after="0" w:line="256" w:lineRule="exact"/>
              <w:rPr>
                <w:sz w:val="20"/>
                <w:szCs w:val="20"/>
                <w:color w:val="auto"/>
              </w:rPr>
            </w:pPr>
            <w:r>
              <w:rPr>
                <w:rFonts w:ascii="Arial" w:cs="Arial" w:eastAsia="Arial" w:hAnsi="Arial"/>
                <w:sz w:val="29"/>
                <w:szCs w:val="29"/>
                <w:color w:val="auto"/>
                <w:w w:val="90"/>
                <w:vertAlign w:val="subscript"/>
              </w:rPr>
              <w:t>8</w:t>
            </w:r>
            <w:r>
              <w:rPr>
                <w:rFonts w:ascii="Arial" w:cs="Arial" w:eastAsia="Arial" w:hAnsi="Arial"/>
                <w:sz w:val="11"/>
                <w:szCs w:val="11"/>
                <w:color w:val="auto"/>
                <w:w w:val="90"/>
              </w:rPr>
              <w:t>th</w:t>
            </w:r>
          </w:p>
        </w:tc>
        <w:tc>
          <w:tcPr>
            <w:tcW w:w="300" w:type="dxa"/>
            <w:vAlign w:val="bottom"/>
          </w:tcPr>
          <w:p>
            <w:pPr>
              <w:ind w:left="20"/>
              <w:spacing w:after="0"/>
              <w:rPr>
                <w:sz w:val="20"/>
                <w:szCs w:val="20"/>
                <w:color w:val="auto"/>
              </w:rPr>
            </w:pPr>
            <w:r>
              <w:rPr>
                <w:rFonts w:ascii="Arial" w:cs="Arial" w:eastAsia="Arial" w:hAnsi="Arial"/>
                <w:sz w:val="18"/>
                <w:szCs w:val="18"/>
                <w:color w:val="auto"/>
              </w:rPr>
              <w:t>​ ​</w:t>
            </w:r>
          </w:p>
        </w:tc>
        <w:tc>
          <w:tcPr>
            <w:tcW w:w="580" w:type="dxa"/>
            <w:vAlign w:val="bottom"/>
          </w:tcPr>
          <w:p>
            <w:pPr>
              <w:jc w:val="center"/>
              <w:ind w:right="48"/>
              <w:spacing w:after="0" w:line="256" w:lineRule="exact"/>
              <w:rPr>
                <w:sz w:val="20"/>
                <w:szCs w:val="20"/>
                <w:color w:val="auto"/>
              </w:rPr>
            </w:pPr>
            <w:r>
              <w:rPr>
                <w:rFonts w:ascii="Arial" w:cs="Arial" w:eastAsia="Arial" w:hAnsi="Arial"/>
                <w:sz w:val="29"/>
                <w:szCs w:val="29"/>
                <w:color w:val="auto"/>
                <w:w w:val="90"/>
                <w:vertAlign w:val="subscript"/>
              </w:rPr>
              <w:t>4</w:t>
            </w:r>
            <w:r>
              <w:rPr>
                <w:rFonts w:ascii="Arial" w:cs="Arial" w:eastAsia="Arial" w:hAnsi="Arial"/>
                <w:sz w:val="11"/>
                <w:szCs w:val="11"/>
                <w:color w:val="auto"/>
                <w:w w:val="90"/>
              </w:rPr>
              <w:t>th</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rPr>
              <w:t>​</w:t>
            </w:r>
          </w:p>
        </w:tc>
      </w:tr>
      <w:tr>
        <w:trPr>
          <w:trHeight w:val="250"/>
        </w:trPr>
        <w:tc>
          <w:tcPr>
            <w:tcW w:w="4020" w:type="dxa"/>
            <w:vAlign w:val="bottom"/>
            <w:tcBorders>
              <w:bottom w:val="single" w:sz="8" w:color="53C072"/>
            </w:tcBorders>
            <w:shd w:val="clear" w:color="auto" w:fill="CBECD5"/>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Modifier</w:t>
            </w:r>
          </w:p>
        </w:tc>
        <w:tc>
          <w:tcPr>
            <w:tcW w:w="2100" w:type="dxa"/>
            <w:vAlign w:val="bottom"/>
            <w:tcBorders>
              <w:bottom w:val="single" w:sz="8" w:color="53C072"/>
            </w:tcBorders>
            <w:shd w:val="clear" w:color="auto" w:fill="CBECD5"/>
          </w:tcPr>
          <w:p>
            <w:pPr>
              <w:ind w:left="182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53C072"/>
            </w:tcBorders>
            <w:shd w:val="clear" w:color="auto" w:fill="CBECD5"/>
          </w:tcPr>
          <w:p>
            <w:pPr>
              <w:jc w:val="right"/>
              <w:ind w:right="170"/>
              <w:spacing w:after="0"/>
              <w:rPr>
                <w:sz w:val="20"/>
                <w:szCs w:val="20"/>
                <w:color w:val="auto"/>
              </w:rPr>
            </w:pPr>
            <w:r>
              <w:rPr>
                <w:rFonts w:ascii="Arial" w:cs="Arial" w:eastAsia="Arial" w:hAnsi="Arial"/>
                <w:sz w:val="18"/>
                <w:szCs w:val="18"/>
                <w:color w:val="auto"/>
              </w:rPr>
              <w:t>0.9</w:t>
            </w:r>
          </w:p>
        </w:tc>
        <w:tc>
          <w:tcPr>
            <w:tcW w:w="240" w:type="dxa"/>
            <w:vAlign w:val="bottom"/>
            <w:tcBorders>
              <w:bottom w:val="single" w:sz="8" w:color="53C072"/>
            </w:tcBorders>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420" w:type="dxa"/>
            <w:vAlign w:val="bottom"/>
            <w:tcBorders>
              <w:bottom w:val="single" w:sz="8" w:color="53C072"/>
            </w:tcBorders>
            <w:shd w:val="clear" w:color="auto" w:fill="CBECD5"/>
          </w:tcPr>
          <w:p>
            <w:pPr>
              <w:jc w:val="right"/>
              <w:ind w:right="48"/>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53C072"/>
            </w:tcBorders>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580" w:type="dxa"/>
            <w:vAlign w:val="bottom"/>
            <w:tcBorders>
              <w:bottom w:val="single" w:sz="8" w:color="53C072"/>
            </w:tcBorders>
            <w:shd w:val="clear" w:color="auto" w:fill="CBECD5"/>
          </w:tcPr>
          <w:p>
            <w:pPr>
              <w:jc w:val="right"/>
              <w:ind w:right="14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bl>
    <w:p>
      <w:pPr>
        <w:spacing w:after="0" w:line="103" w:lineRule="exact"/>
        <w:rPr>
          <w:sz w:val="20"/>
          <w:szCs w:val="20"/>
          <w:color w:val="auto"/>
        </w:rPr>
      </w:pPr>
    </w:p>
    <w:p>
      <w:pPr>
        <w:ind w:left="1000" w:right="179"/>
        <w:spacing w:after="0" w:line="284" w:lineRule="auto"/>
        <w:rPr>
          <w:sz w:val="20"/>
          <w:szCs w:val="20"/>
          <w:color w:val="auto"/>
        </w:rPr>
      </w:pPr>
      <w:r>
        <w:rPr>
          <w:rFonts w:ascii="Arial" w:cs="Arial" w:eastAsia="Arial" w:hAnsi="Arial"/>
          <w:sz w:val="18"/>
          <w:szCs w:val="18"/>
          <w:color w:val="auto"/>
        </w:rPr>
        <w:t>If the Company’s actual achievement of ROIC &gt; WACC, Relative Adjusted EPS Growth or rTSR is between two achievement levels set forth in the tables above, the percentage vesting shall be determined by linear interpolation.</w:t>
      </w:r>
    </w:p>
    <w:p>
      <w:pPr>
        <w:spacing w:after="0" w:line="200" w:lineRule="exact"/>
        <w:rPr>
          <w:sz w:val="20"/>
          <w:szCs w:val="20"/>
          <w:color w:val="auto"/>
        </w:rPr>
      </w:pPr>
    </w:p>
    <w:p>
      <w:pPr>
        <w:spacing w:after="0" w:line="30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52     </w:t>
      </w:r>
      <w:r>
        <w:rPr>
          <w:sz w:val="1"/>
          <w:szCs w:val="1"/>
          <w:color w:val="auto"/>
        </w:rPr>
        <w:drawing>
          <wp:inline distT="0" distB="0" distL="0" distR="0">
            <wp:extent cx="1242695" cy="24003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33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920" w:type="dxa"/>
            <w:vAlign w:val="bottom"/>
          </w:tcPr>
          <w:p>
            <w:pPr>
              <w:ind w:left="2440"/>
              <w:spacing w:after="0"/>
              <w:rPr>
                <w:sz w:val="20"/>
                <w:szCs w:val="20"/>
                <w:color w:val="auto"/>
              </w:rPr>
            </w:pPr>
            <w:r>
              <w:rPr>
                <w:rFonts w:ascii="Arial" w:cs="Arial" w:eastAsia="Arial" w:hAnsi="Arial"/>
                <w:sz w:val="14"/>
                <w:szCs w:val="14"/>
                <w:color w:val="auto"/>
              </w:rPr>
              <w:t>Compensation Discussion and Analysis</w:t>
            </w:r>
          </w:p>
        </w:tc>
      </w:tr>
      <w:tr>
        <w:trPr>
          <w:trHeight w:val="196"/>
        </w:trPr>
        <w:tc>
          <w:tcPr>
            <w:tcW w:w="3820" w:type="dxa"/>
            <w:vAlign w:val="bottom"/>
          </w:tcPr>
          <w:p>
            <w:pPr>
              <w:spacing w:after="0"/>
              <w:rPr>
                <w:sz w:val="20"/>
                <w:szCs w:val="20"/>
                <w:color w:val="auto"/>
              </w:rPr>
            </w:pPr>
            <w:r>
              <w:rPr>
                <w:rFonts w:ascii="Arial" w:cs="Arial" w:eastAsia="Arial" w:hAnsi="Arial"/>
                <w:sz w:val="14"/>
                <w:szCs w:val="14"/>
                <w:b w:val="1"/>
                <w:bCs w:val="1"/>
                <w:color w:val="auto"/>
              </w:rPr>
              <w:t>PROXY STATEMENT</w:t>
            </w:r>
          </w:p>
        </w:tc>
        <w:tc>
          <w:tcPr>
            <w:tcW w:w="4920" w:type="dxa"/>
            <w:vAlign w:val="bottom"/>
          </w:tcPr>
          <w:p>
            <w:pPr>
              <w:spacing w:after="0"/>
              <w:rPr>
                <w:sz w:val="17"/>
                <w:szCs w:val="17"/>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53C072"/>
        </w:rPr>
        <w:t>Fiscal 2025 results for Fiscal 2023-2025 and Fiscal 2024-2026 Performance Share Plans</w:t>
      </w:r>
    </w:p>
    <w:p>
      <w:pPr>
        <w:spacing w:after="0" w:line="203" w:lineRule="exact"/>
        <w:rPr>
          <w:sz w:val="20"/>
          <w:szCs w:val="20"/>
          <w:color w:val="auto"/>
        </w:rPr>
      </w:pPr>
    </w:p>
    <w:tbl>
      <w:tblPr>
        <w:tblLayout w:type="fixed"/>
        <w:tblInd w:w="980" w:type="dxa"/>
        <w:tblCellMar>
          <w:top w:w="0" w:type="dxa"/>
          <w:left w:w="0" w:type="dxa"/>
          <w:bottom w:w="0" w:type="dxa"/>
          <w:right w:w="0" w:type="dxa"/>
        </w:tblCellMar>
      </w:tblPr>
      <w:tr>
        <w:trPr>
          <w:trHeight w:val="193"/>
        </w:trPr>
        <w:tc>
          <w:tcPr>
            <w:tcW w:w="3240" w:type="dxa"/>
            <w:vAlign w:val="bottom"/>
            <w:shd w:val="clear" w:color="auto" w:fill="53C072"/>
          </w:tcPr>
          <w:p>
            <w:pPr>
              <w:spacing w:after="0"/>
              <w:rPr>
                <w:sz w:val="16"/>
                <w:szCs w:val="16"/>
                <w:color w:val="auto"/>
              </w:rPr>
            </w:pPr>
          </w:p>
        </w:tc>
        <w:tc>
          <w:tcPr>
            <w:tcW w:w="2140" w:type="dxa"/>
            <w:vAlign w:val="bottom"/>
            <w:shd w:val="clear" w:color="auto" w:fill="53C072"/>
          </w:tcPr>
          <w:p>
            <w:pPr>
              <w:spacing w:after="0"/>
              <w:rPr>
                <w:sz w:val="16"/>
                <w:szCs w:val="16"/>
                <w:color w:val="auto"/>
              </w:rPr>
            </w:pPr>
          </w:p>
        </w:tc>
        <w:tc>
          <w:tcPr>
            <w:tcW w:w="940" w:type="dxa"/>
            <w:vAlign w:val="bottom"/>
            <w:shd w:val="clear" w:color="auto" w:fill="53C072"/>
          </w:tcPr>
          <w:p>
            <w:pPr>
              <w:spacing w:after="0"/>
              <w:rPr>
                <w:sz w:val="16"/>
                <w:szCs w:val="16"/>
                <w:color w:val="auto"/>
              </w:rPr>
            </w:pPr>
          </w:p>
        </w:tc>
        <w:tc>
          <w:tcPr>
            <w:tcW w:w="700" w:type="dxa"/>
            <w:vAlign w:val="bottom"/>
            <w:shd w:val="clear" w:color="auto" w:fill="53C072"/>
          </w:tcPr>
          <w:p>
            <w:pPr>
              <w:spacing w:after="0"/>
              <w:rPr>
                <w:sz w:val="16"/>
                <w:szCs w:val="16"/>
                <w:color w:val="auto"/>
              </w:rPr>
            </w:pPr>
          </w:p>
        </w:tc>
        <w:tc>
          <w:tcPr>
            <w:tcW w:w="840" w:type="dxa"/>
            <w:vAlign w:val="bottom"/>
            <w:shd w:val="clear" w:color="auto" w:fill="53C072"/>
          </w:tcPr>
          <w:p>
            <w:pPr>
              <w:spacing w:after="0"/>
              <w:rPr>
                <w:sz w:val="16"/>
                <w:szCs w:val="16"/>
                <w:color w:val="auto"/>
              </w:rPr>
            </w:pPr>
          </w:p>
        </w:tc>
        <w:tc>
          <w:tcPr>
            <w:tcW w:w="90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Weighted</w:t>
            </w:r>
          </w:p>
        </w:tc>
      </w:tr>
      <w:tr>
        <w:trPr>
          <w:trHeight w:val="171"/>
        </w:trPr>
        <w:tc>
          <w:tcPr>
            <w:tcW w:w="324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Goal*</w:t>
            </w:r>
          </w:p>
        </w:tc>
        <w:tc>
          <w:tcPr>
            <w:tcW w:w="2140" w:type="dxa"/>
            <w:vAlign w:val="bottom"/>
            <w:shd w:val="clear" w:color="auto" w:fill="53C072"/>
          </w:tcPr>
          <w:p>
            <w:pPr>
              <w:jc w:val="center"/>
              <w:ind w:left="1201"/>
              <w:spacing w:after="0"/>
              <w:rPr>
                <w:sz w:val="20"/>
                <w:szCs w:val="20"/>
                <w:color w:val="auto"/>
              </w:rPr>
            </w:pPr>
            <w:r>
              <w:rPr>
                <w:rFonts w:ascii="Arial" w:cs="Arial" w:eastAsia="Arial" w:hAnsi="Arial"/>
                <w:sz w:val="14"/>
                <w:szCs w:val="14"/>
                <w:b w:val="1"/>
                <w:bCs w:val="1"/>
                <w:color w:val="FEFEFE"/>
                <w:w w:val="98"/>
              </w:rPr>
              <w:t>Target</w:t>
            </w:r>
          </w:p>
        </w:tc>
        <w:tc>
          <w:tcPr>
            <w:tcW w:w="94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Actual</w:t>
            </w:r>
          </w:p>
        </w:tc>
        <w:tc>
          <w:tcPr>
            <w:tcW w:w="70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Payout</w:t>
            </w:r>
          </w:p>
        </w:tc>
        <w:tc>
          <w:tcPr>
            <w:tcW w:w="84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Weight</w:t>
            </w:r>
          </w:p>
        </w:tc>
        <w:tc>
          <w:tcPr>
            <w:tcW w:w="90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Payout</w:t>
            </w: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ROIC&gt;WACC</w:t>
            </w:r>
          </w:p>
        </w:tc>
        <w:tc>
          <w:tcPr>
            <w:tcW w:w="2140" w:type="dxa"/>
            <w:vAlign w:val="bottom"/>
          </w:tcPr>
          <w:p>
            <w:pPr>
              <w:jc w:val="center"/>
              <w:ind w:left="1181"/>
              <w:spacing w:after="0"/>
              <w:rPr>
                <w:sz w:val="20"/>
                <w:szCs w:val="20"/>
                <w:color w:val="auto"/>
              </w:rPr>
            </w:pPr>
            <w:r>
              <w:rPr>
                <w:rFonts w:ascii="Arial" w:cs="Arial" w:eastAsia="Arial" w:hAnsi="Arial"/>
                <w:sz w:val="18"/>
                <w:szCs w:val="18"/>
                <w:color w:val="auto"/>
                <w:w w:val="99"/>
              </w:rPr>
              <w:t>150 bps</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&lt;227 bps</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840" w:type="dxa"/>
            <w:vAlign w:val="bottom"/>
          </w:tcPr>
          <w:p>
            <w:pPr>
              <w:jc w:val="center"/>
              <w:spacing w:after="0"/>
              <w:rPr>
                <w:sz w:val="20"/>
                <w:szCs w:val="20"/>
                <w:color w:val="auto"/>
              </w:rPr>
            </w:pPr>
            <w:r>
              <w:rPr>
                <w:rFonts w:ascii="Arial" w:cs="Arial" w:eastAsia="Arial" w:hAnsi="Arial"/>
                <w:sz w:val="18"/>
                <w:szCs w:val="18"/>
                <w:color w:val="auto"/>
                <w:w w:val="98"/>
              </w:rPr>
              <w:t>50.00%</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32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Adjusted EPS Growth</w:t>
            </w:r>
          </w:p>
        </w:tc>
        <w:tc>
          <w:tcPr>
            <w:tcW w:w="2140" w:type="dxa"/>
            <w:vAlign w:val="bottom"/>
            <w:shd w:val="clear" w:color="auto" w:fill="CBECD5"/>
          </w:tcPr>
          <w:p>
            <w:pPr>
              <w:jc w:val="center"/>
              <w:ind w:left="1181"/>
              <w:spacing w:after="0"/>
              <w:rPr>
                <w:sz w:val="20"/>
                <w:szCs w:val="20"/>
                <w:color w:val="auto"/>
              </w:rPr>
            </w:pPr>
            <w:r>
              <w:rPr>
                <w:rFonts w:ascii="Arial" w:cs="Arial" w:eastAsia="Arial" w:hAnsi="Arial"/>
                <w:sz w:val="18"/>
                <w:szCs w:val="18"/>
                <w:color w:val="auto"/>
                <w:w w:val="95"/>
              </w:rPr>
              <w:t>8th</w:t>
            </w:r>
          </w:p>
        </w:tc>
        <w:tc>
          <w:tcPr>
            <w:tcW w:w="94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96"/>
              </w:rPr>
              <w:t>15th</w:t>
            </w:r>
          </w:p>
        </w:tc>
        <w:tc>
          <w:tcPr>
            <w:tcW w:w="70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92"/>
              </w:rPr>
              <w:t>0%</w:t>
            </w:r>
          </w:p>
        </w:tc>
        <w:tc>
          <w:tcPr>
            <w:tcW w:w="84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98"/>
              </w:rPr>
              <w:t>50.00%</w:t>
            </w:r>
          </w:p>
        </w:tc>
        <w:tc>
          <w:tcPr>
            <w:tcW w:w="90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99"/>
              </w:rPr>
              <w:t>0%</w:t>
            </w:r>
          </w:p>
        </w:tc>
      </w:tr>
      <w:tr>
        <w:trPr>
          <w:trHeight w:val="243"/>
        </w:trPr>
        <w:tc>
          <w:tcPr>
            <w:tcW w:w="3240" w:type="dxa"/>
            <w:vAlign w:val="bottom"/>
          </w:tcPr>
          <w:p>
            <w:pPr>
              <w:ind w:left="120"/>
              <w:spacing w:after="0"/>
              <w:rPr>
                <w:sz w:val="20"/>
                <w:szCs w:val="20"/>
                <w:color w:val="auto"/>
              </w:rPr>
            </w:pPr>
            <w:r>
              <w:rPr>
                <w:rFonts w:ascii="Arial" w:cs="Arial" w:eastAsia="Arial" w:hAnsi="Arial"/>
                <w:sz w:val="18"/>
                <w:szCs w:val="18"/>
                <w:color w:val="auto"/>
              </w:rPr>
              <w:t>rTSR Modifier</w:t>
            </w:r>
          </w:p>
        </w:tc>
        <w:tc>
          <w:tcPr>
            <w:tcW w:w="2140" w:type="dxa"/>
            <w:vAlign w:val="bottom"/>
          </w:tcPr>
          <w:p>
            <w:pPr>
              <w:jc w:val="center"/>
              <w:ind w:left="1181"/>
              <w:spacing w:after="0" w:line="243" w:lineRule="exact"/>
              <w:rPr>
                <w:sz w:val="20"/>
                <w:szCs w:val="20"/>
                <w:color w:val="auto"/>
              </w:rPr>
            </w:pPr>
            <w:r>
              <w:rPr>
                <w:rFonts w:ascii="Arial" w:cs="Arial" w:eastAsia="Arial" w:hAnsi="Arial"/>
                <w:sz w:val="28"/>
                <w:szCs w:val="28"/>
                <w:color w:val="auto"/>
                <w:vertAlign w:val="subscript"/>
              </w:rPr>
              <w:t>8</w:t>
            </w:r>
            <w:r>
              <w:rPr>
                <w:rFonts w:ascii="Arial" w:cs="Arial" w:eastAsia="Arial" w:hAnsi="Arial"/>
                <w:sz w:val="11"/>
                <w:szCs w:val="11"/>
                <w:color w:val="auto"/>
              </w:rPr>
              <w:t>th</w:t>
            </w:r>
          </w:p>
        </w:tc>
        <w:tc>
          <w:tcPr>
            <w:tcW w:w="940" w:type="dxa"/>
            <w:vAlign w:val="bottom"/>
          </w:tcPr>
          <w:p>
            <w:pPr>
              <w:jc w:val="center"/>
              <w:spacing w:after="0" w:line="243" w:lineRule="exact"/>
              <w:rPr>
                <w:sz w:val="20"/>
                <w:szCs w:val="20"/>
                <w:color w:val="auto"/>
              </w:rPr>
            </w:pPr>
            <w:r>
              <w:rPr>
                <w:rFonts w:ascii="Arial" w:cs="Arial" w:eastAsia="Arial" w:hAnsi="Arial"/>
                <w:sz w:val="28"/>
                <w:szCs w:val="28"/>
                <w:color w:val="auto"/>
                <w:vertAlign w:val="subscript"/>
              </w:rPr>
              <w:t>10</w:t>
            </w:r>
            <w:r>
              <w:rPr>
                <w:rFonts w:ascii="Arial" w:cs="Arial" w:eastAsia="Arial" w:hAnsi="Arial"/>
                <w:sz w:val="11"/>
                <w:szCs w:val="11"/>
                <w:color w:val="auto"/>
              </w:rPr>
              <w:t>th</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90"/>
        </w:trPr>
        <w:tc>
          <w:tcPr>
            <w:tcW w:w="3240" w:type="dxa"/>
            <w:vAlign w:val="bottom"/>
            <w:tcBorders>
              <w:bottom w:val="single" w:sz="8" w:color="53C072"/>
            </w:tcBorders>
            <w:shd w:val="clear" w:color="auto" w:fill="CBECD5"/>
          </w:tcPr>
          <w:p>
            <w:pPr>
              <w:ind w:left="120"/>
              <w:spacing w:after="0"/>
              <w:rPr>
                <w:sz w:val="20"/>
                <w:szCs w:val="20"/>
                <w:color w:val="auto"/>
              </w:rPr>
            </w:pPr>
            <w:r>
              <w:rPr>
                <w:rFonts w:ascii="Arial" w:cs="Arial" w:eastAsia="Arial" w:hAnsi="Arial"/>
                <w:sz w:val="18"/>
                <w:szCs w:val="18"/>
                <w:color w:val="auto"/>
              </w:rPr>
              <w:t>Total Earned</w:t>
            </w:r>
          </w:p>
        </w:tc>
        <w:tc>
          <w:tcPr>
            <w:tcW w:w="2140" w:type="dxa"/>
            <w:vAlign w:val="bottom"/>
            <w:tcBorders>
              <w:bottom w:val="single" w:sz="8" w:color="53C072"/>
            </w:tcBorders>
            <w:shd w:val="clear" w:color="auto" w:fill="CBECD5"/>
          </w:tcPr>
          <w:p>
            <w:pPr>
              <w:jc w:val="center"/>
              <w:ind w:left="124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53C072"/>
            </w:tcBorders>
            <w:shd w:val="clear" w:color="auto" w:fill="CBECD5"/>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53C072"/>
            </w:tcBorders>
            <w:shd w:val="clear" w:color="auto" w:fill="CBECD5"/>
          </w:tcPr>
          <w:p>
            <w:pPr>
              <w:spacing w:after="0"/>
              <w:rPr>
                <w:sz w:val="24"/>
                <w:szCs w:val="24"/>
                <w:color w:val="auto"/>
              </w:rPr>
            </w:pPr>
          </w:p>
        </w:tc>
        <w:tc>
          <w:tcPr>
            <w:tcW w:w="840" w:type="dxa"/>
            <w:vAlign w:val="bottom"/>
            <w:tcBorders>
              <w:bottom w:val="single" w:sz="8" w:color="53C072"/>
            </w:tcBorders>
            <w:shd w:val="clear" w:color="auto" w:fill="CBECD5"/>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53C072"/>
            </w:tcBorders>
            <w:shd w:val="clear" w:color="auto" w:fill="CBECD5"/>
          </w:tcPr>
          <w:p>
            <w:pPr>
              <w:jc w:val="center"/>
              <w:spacing w:after="0"/>
              <w:rPr>
                <w:sz w:val="20"/>
                <w:szCs w:val="20"/>
                <w:color w:val="auto"/>
              </w:rPr>
            </w:pPr>
            <w:r>
              <w:rPr>
                <w:rFonts w:ascii="Arial" w:cs="Arial" w:eastAsia="Arial" w:hAnsi="Arial"/>
                <w:sz w:val="18"/>
                <w:szCs w:val="18"/>
                <w:color w:val="auto"/>
                <w:w w:val="99"/>
              </w:rPr>
              <w:t>0%</w:t>
            </w:r>
          </w:p>
        </w:tc>
      </w:tr>
    </w:tbl>
    <w:p>
      <w:pPr>
        <w:spacing w:after="0" w:line="49" w:lineRule="exact"/>
        <w:rPr>
          <w:sz w:val="20"/>
          <w:szCs w:val="20"/>
          <w:color w:val="auto"/>
        </w:rPr>
      </w:pPr>
    </w:p>
    <w:p>
      <w:pPr>
        <w:ind w:left="1460" w:right="1040" w:hanging="362"/>
        <w:spacing w:after="0" w:line="291" w:lineRule="auto"/>
        <w:tabs>
          <w:tab w:leader="none" w:pos="1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for a reconciliation of non-GAAP measures to the most directly comparable GAAP measures. For additional information regarding the fiscal 2025 performance of the Company, please refer to the Company’s Annual Report on Form 10-K for the year ended June 28, 2025.</w:t>
      </w:r>
    </w:p>
    <w:p>
      <w:pPr>
        <w:spacing w:after="0" w:line="85" w:lineRule="exact"/>
        <w:rPr>
          <w:sz w:val="20"/>
          <w:szCs w:val="20"/>
          <w:color w:val="auto"/>
        </w:rPr>
      </w:pPr>
    </w:p>
    <w:p>
      <w:pPr>
        <w:ind w:left="1000" w:right="1020"/>
        <w:spacing w:after="0" w:line="252" w:lineRule="auto"/>
        <w:rPr>
          <w:sz w:val="20"/>
          <w:szCs w:val="20"/>
          <w:color w:val="auto"/>
        </w:rPr>
      </w:pPr>
      <w:r>
        <w:rPr>
          <w:rFonts w:ascii="Arial" w:cs="Arial" w:eastAsia="Arial" w:hAnsi="Arial"/>
          <w:sz w:val="18"/>
          <w:szCs w:val="18"/>
          <w:b w:val="1"/>
          <w:bCs w:val="1"/>
          <w:color w:val="53C072"/>
        </w:rPr>
        <w:t xml:space="preserve">Fiscal 2023 PSU Grant (third and final tranche): </w:t>
      </w:r>
      <w:r>
        <w:rPr>
          <w:rFonts w:ascii="Arial" w:cs="Arial" w:eastAsia="Arial" w:hAnsi="Arial"/>
          <w:sz w:val="18"/>
          <w:szCs w:val="18"/>
          <w:color w:val="000000"/>
        </w:rPr>
        <w:t>For PSU awards granted in fiscal 2023, the following table</w:t>
      </w:r>
      <w:r>
        <w:rPr>
          <w:rFonts w:ascii="Arial" w:cs="Arial" w:eastAsia="Arial" w:hAnsi="Arial"/>
          <w:sz w:val="18"/>
          <w:szCs w:val="18"/>
          <w:b w:val="1"/>
          <w:bCs w:val="1"/>
          <w:color w:val="53C072"/>
        </w:rPr>
        <w:t xml:space="preserve"> </w:t>
      </w:r>
      <w:r>
        <w:rPr>
          <w:rFonts w:ascii="Arial" w:cs="Arial" w:eastAsia="Arial" w:hAnsi="Arial"/>
          <w:sz w:val="18"/>
          <w:szCs w:val="18"/>
          <w:color w:val="000000"/>
        </w:rPr>
        <w:t>summarizes the number of PSUs earned for the third tranche for fiscal 2025 and the total number of shares earned and vested by each NEO for all the three tranches. The total shares earned and vested under the plan for all three tranches was 62.11% of the total shares granted.</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93"/>
        </w:trPr>
        <w:tc>
          <w:tcPr>
            <w:tcW w:w="3500" w:type="dxa"/>
            <w:vAlign w:val="bottom"/>
            <w:shd w:val="clear" w:color="auto" w:fill="53C072"/>
          </w:tcPr>
          <w:p>
            <w:pPr>
              <w:spacing w:after="0"/>
              <w:rPr>
                <w:sz w:val="16"/>
                <w:szCs w:val="16"/>
                <w:color w:val="auto"/>
              </w:rPr>
            </w:pPr>
          </w:p>
        </w:tc>
        <w:tc>
          <w:tcPr>
            <w:tcW w:w="3280" w:type="dxa"/>
            <w:vAlign w:val="bottom"/>
            <w:shd w:val="clear" w:color="auto" w:fill="53C072"/>
          </w:tcPr>
          <w:p>
            <w:pPr>
              <w:jc w:val="center"/>
              <w:ind w:left="2460"/>
              <w:spacing w:after="0"/>
              <w:rPr>
                <w:sz w:val="20"/>
                <w:szCs w:val="20"/>
                <w:color w:val="auto"/>
              </w:rPr>
            </w:pPr>
            <w:r>
              <w:rPr>
                <w:rFonts w:ascii="Arial" w:cs="Arial" w:eastAsia="Arial" w:hAnsi="Arial"/>
                <w:sz w:val="14"/>
                <w:szCs w:val="14"/>
                <w:b w:val="1"/>
                <w:bCs w:val="1"/>
                <w:color w:val="FEFEFE"/>
                <w:w w:val="98"/>
              </w:rPr>
              <w:t>Target</w:t>
            </w:r>
          </w:p>
        </w:tc>
        <w:tc>
          <w:tcPr>
            <w:tcW w:w="660" w:type="dxa"/>
            <w:vAlign w:val="bottom"/>
            <w:shd w:val="clear" w:color="auto" w:fill="53C072"/>
          </w:tcPr>
          <w:p>
            <w:pPr>
              <w:spacing w:after="0"/>
              <w:rPr>
                <w:sz w:val="16"/>
                <w:szCs w:val="16"/>
                <w:color w:val="auto"/>
              </w:rPr>
            </w:pPr>
          </w:p>
        </w:tc>
        <w:tc>
          <w:tcPr>
            <w:tcW w:w="140" w:type="dxa"/>
            <w:vAlign w:val="bottom"/>
            <w:shd w:val="clear" w:color="auto" w:fill="53C072"/>
          </w:tcPr>
          <w:p>
            <w:pPr>
              <w:spacing w:after="0"/>
              <w:rPr>
                <w:sz w:val="16"/>
                <w:szCs w:val="16"/>
                <w:color w:val="auto"/>
              </w:rPr>
            </w:pPr>
          </w:p>
        </w:tc>
        <w:tc>
          <w:tcPr>
            <w:tcW w:w="10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Total</w:t>
            </w:r>
          </w:p>
        </w:tc>
        <w:tc>
          <w:tcPr>
            <w:tcW w:w="120" w:type="dxa"/>
            <w:vAlign w:val="bottom"/>
            <w:shd w:val="clear" w:color="auto" w:fill="53C072"/>
          </w:tcPr>
          <w:p>
            <w:pPr>
              <w:spacing w:after="0"/>
              <w:rPr>
                <w:sz w:val="16"/>
                <w:szCs w:val="16"/>
                <w:color w:val="auto"/>
              </w:rPr>
            </w:pPr>
          </w:p>
        </w:tc>
      </w:tr>
      <w:tr>
        <w:trPr>
          <w:trHeight w:val="162"/>
        </w:trPr>
        <w:tc>
          <w:tcPr>
            <w:tcW w:w="3500" w:type="dxa"/>
            <w:vAlign w:val="bottom"/>
            <w:shd w:val="clear" w:color="auto" w:fill="53C072"/>
          </w:tcPr>
          <w:p>
            <w:pPr>
              <w:spacing w:after="0"/>
              <w:rPr>
                <w:sz w:val="14"/>
                <w:szCs w:val="14"/>
                <w:color w:val="auto"/>
              </w:rPr>
            </w:pPr>
          </w:p>
        </w:tc>
        <w:tc>
          <w:tcPr>
            <w:tcW w:w="3280" w:type="dxa"/>
            <w:vAlign w:val="bottom"/>
            <w:shd w:val="clear" w:color="auto" w:fill="53C072"/>
          </w:tcPr>
          <w:p>
            <w:pPr>
              <w:jc w:val="right"/>
              <w:ind w:right="80"/>
              <w:spacing w:after="0"/>
              <w:rPr>
                <w:sz w:val="20"/>
                <w:szCs w:val="20"/>
                <w:color w:val="auto"/>
              </w:rPr>
            </w:pPr>
            <w:r>
              <w:rPr>
                <w:rFonts w:ascii="Arial" w:cs="Arial" w:eastAsia="Arial" w:hAnsi="Arial"/>
                <w:sz w:val="14"/>
                <w:szCs w:val="14"/>
                <w:b w:val="1"/>
                <w:bCs w:val="1"/>
                <w:color w:val="FEFEFE"/>
              </w:rPr>
              <w:t>PSUs</w:t>
            </w:r>
          </w:p>
        </w:tc>
        <w:tc>
          <w:tcPr>
            <w:tcW w:w="660" w:type="dxa"/>
            <w:vAlign w:val="bottom"/>
            <w:shd w:val="clear" w:color="auto" w:fill="53C072"/>
          </w:tcPr>
          <w:p>
            <w:pPr>
              <w:spacing w:after="0"/>
              <w:rPr>
                <w:sz w:val="14"/>
                <w:szCs w:val="14"/>
                <w:color w:val="auto"/>
              </w:rPr>
            </w:pPr>
          </w:p>
        </w:tc>
        <w:tc>
          <w:tcPr>
            <w:tcW w:w="140" w:type="dxa"/>
            <w:vAlign w:val="bottom"/>
            <w:shd w:val="clear" w:color="auto" w:fill="53C072"/>
          </w:tcPr>
          <w:p>
            <w:pPr>
              <w:spacing w:after="0"/>
              <w:rPr>
                <w:sz w:val="14"/>
                <w:szCs w:val="14"/>
                <w:color w:val="auto"/>
              </w:rPr>
            </w:pPr>
          </w:p>
        </w:tc>
        <w:tc>
          <w:tcPr>
            <w:tcW w:w="10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PSU’s Earned</w:t>
            </w:r>
          </w:p>
        </w:tc>
        <w:tc>
          <w:tcPr>
            <w:tcW w:w="120" w:type="dxa"/>
            <w:vAlign w:val="bottom"/>
            <w:shd w:val="clear" w:color="auto" w:fill="53C072"/>
          </w:tcPr>
          <w:p>
            <w:pPr>
              <w:spacing w:after="0"/>
              <w:rPr>
                <w:sz w:val="14"/>
                <w:szCs w:val="14"/>
                <w:color w:val="auto"/>
              </w:rPr>
            </w:pPr>
          </w:p>
        </w:tc>
      </w:tr>
      <w:tr>
        <w:trPr>
          <w:trHeight w:val="162"/>
        </w:trPr>
        <w:tc>
          <w:tcPr>
            <w:tcW w:w="3500" w:type="dxa"/>
            <w:vAlign w:val="bottom"/>
            <w:shd w:val="clear" w:color="auto" w:fill="53C072"/>
          </w:tcPr>
          <w:p>
            <w:pPr>
              <w:spacing w:after="0"/>
              <w:rPr>
                <w:sz w:val="14"/>
                <w:szCs w:val="14"/>
                <w:color w:val="auto"/>
              </w:rPr>
            </w:pPr>
          </w:p>
        </w:tc>
        <w:tc>
          <w:tcPr>
            <w:tcW w:w="3280" w:type="dxa"/>
            <w:vAlign w:val="bottom"/>
            <w:shd w:val="clear" w:color="auto" w:fill="53C072"/>
          </w:tcPr>
          <w:p>
            <w:pPr>
              <w:jc w:val="right"/>
              <w:ind w:right="80"/>
              <w:spacing w:after="0"/>
              <w:rPr>
                <w:sz w:val="20"/>
                <w:szCs w:val="20"/>
                <w:color w:val="auto"/>
              </w:rPr>
            </w:pPr>
            <w:r>
              <w:rPr>
                <w:rFonts w:ascii="Arial" w:cs="Arial" w:eastAsia="Arial" w:hAnsi="Arial"/>
                <w:sz w:val="14"/>
                <w:szCs w:val="14"/>
                <w:b w:val="1"/>
                <w:bCs w:val="1"/>
                <w:color w:val="FEFEFE"/>
              </w:rPr>
              <w:t>FY23</w:t>
            </w:r>
          </w:p>
        </w:tc>
        <w:tc>
          <w:tcPr>
            <w:tcW w:w="6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PSUs</w:t>
            </w:r>
          </w:p>
        </w:tc>
        <w:tc>
          <w:tcPr>
            <w:tcW w:w="140" w:type="dxa"/>
            <w:vAlign w:val="bottom"/>
            <w:shd w:val="clear" w:color="auto" w:fill="53C072"/>
          </w:tcPr>
          <w:p>
            <w:pPr>
              <w:spacing w:after="0"/>
              <w:rPr>
                <w:sz w:val="14"/>
                <w:szCs w:val="14"/>
                <w:color w:val="auto"/>
              </w:rPr>
            </w:pPr>
          </w:p>
        </w:tc>
        <w:tc>
          <w:tcPr>
            <w:tcW w:w="1060" w:type="dxa"/>
            <w:vAlign w:val="bottom"/>
            <w:shd w:val="clear" w:color="auto" w:fill="53C072"/>
          </w:tcPr>
          <w:p>
            <w:pPr>
              <w:ind w:left="260"/>
              <w:spacing w:after="0"/>
              <w:rPr>
                <w:sz w:val="20"/>
                <w:szCs w:val="20"/>
                <w:color w:val="auto"/>
              </w:rPr>
            </w:pPr>
            <w:r>
              <w:rPr>
                <w:rFonts w:ascii="Arial" w:cs="Arial" w:eastAsia="Arial" w:hAnsi="Arial"/>
                <w:sz w:val="14"/>
                <w:szCs w:val="14"/>
                <w:b w:val="1"/>
                <w:bCs w:val="1"/>
                <w:color w:val="FEFEFE"/>
              </w:rPr>
              <w:t>and Vested</w:t>
            </w:r>
          </w:p>
        </w:tc>
        <w:tc>
          <w:tcPr>
            <w:tcW w:w="120" w:type="dxa"/>
            <w:vAlign w:val="bottom"/>
            <w:shd w:val="clear" w:color="auto" w:fill="53C072"/>
          </w:tcPr>
          <w:p>
            <w:pPr>
              <w:spacing w:after="0"/>
              <w:rPr>
                <w:sz w:val="14"/>
                <w:szCs w:val="14"/>
                <w:color w:val="auto"/>
              </w:rPr>
            </w:pPr>
          </w:p>
        </w:tc>
      </w:tr>
      <w:tr>
        <w:trPr>
          <w:trHeight w:val="162"/>
        </w:trPr>
        <w:tc>
          <w:tcPr>
            <w:tcW w:w="3500" w:type="dxa"/>
            <w:vAlign w:val="bottom"/>
            <w:shd w:val="clear" w:color="auto" w:fill="53C072"/>
          </w:tcPr>
          <w:p>
            <w:pPr>
              <w:spacing w:after="0"/>
              <w:rPr>
                <w:sz w:val="14"/>
                <w:szCs w:val="14"/>
                <w:color w:val="auto"/>
              </w:rPr>
            </w:pPr>
          </w:p>
        </w:tc>
        <w:tc>
          <w:tcPr>
            <w:tcW w:w="3280" w:type="dxa"/>
            <w:vAlign w:val="bottom"/>
            <w:shd w:val="clear" w:color="auto" w:fill="53C072"/>
          </w:tcPr>
          <w:p>
            <w:pPr>
              <w:jc w:val="center"/>
              <w:ind w:left="2500"/>
              <w:spacing w:after="0"/>
              <w:rPr>
                <w:sz w:val="20"/>
                <w:szCs w:val="20"/>
                <w:color w:val="auto"/>
              </w:rPr>
            </w:pPr>
            <w:r>
              <w:rPr>
                <w:rFonts w:ascii="Arial" w:cs="Arial" w:eastAsia="Arial" w:hAnsi="Arial"/>
                <w:sz w:val="14"/>
                <w:szCs w:val="14"/>
                <w:b w:val="1"/>
                <w:bCs w:val="1"/>
                <w:color w:val="FEFEFE"/>
              </w:rPr>
              <w:t>Grant</w:t>
            </w:r>
          </w:p>
        </w:tc>
        <w:tc>
          <w:tcPr>
            <w:tcW w:w="660" w:type="dxa"/>
            <w:vAlign w:val="bottom"/>
            <w:shd w:val="clear" w:color="auto" w:fill="53C072"/>
          </w:tcPr>
          <w:p>
            <w:pPr>
              <w:jc w:val="center"/>
              <w:ind w:left="19"/>
              <w:spacing w:after="0"/>
              <w:rPr>
                <w:sz w:val="20"/>
                <w:szCs w:val="20"/>
                <w:color w:val="auto"/>
              </w:rPr>
            </w:pPr>
            <w:r>
              <w:rPr>
                <w:rFonts w:ascii="Arial" w:cs="Arial" w:eastAsia="Arial" w:hAnsi="Arial"/>
                <w:sz w:val="14"/>
                <w:szCs w:val="14"/>
                <w:b w:val="1"/>
                <w:bCs w:val="1"/>
                <w:color w:val="FEFEFE"/>
              </w:rPr>
              <w:t>Earned</w:t>
            </w:r>
          </w:p>
        </w:tc>
        <w:tc>
          <w:tcPr>
            <w:tcW w:w="140" w:type="dxa"/>
            <w:vAlign w:val="bottom"/>
            <w:shd w:val="clear" w:color="auto" w:fill="53C072"/>
          </w:tcPr>
          <w:p>
            <w:pPr>
              <w:spacing w:after="0"/>
              <w:rPr>
                <w:sz w:val="14"/>
                <w:szCs w:val="14"/>
                <w:color w:val="auto"/>
              </w:rPr>
            </w:pPr>
          </w:p>
        </w:tc>
        <w:tc>
          <w:tcPr>
            <w:tcW w:w="10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for the FY23</w:t>
            </w:r>
          </w:p>
        </w:tc>
        <w:tc>
          <w:tcPr>
            <w:tcW w:w="120" w:type="dxa"/>
            <w:vAlign w:val="bottom"/>
            <w:shd w:val="clear" w:color="auto" w:fill="53C072"/>
          </w:tcPr>
          <w:p>
            <w:pPr>
              <w:spacing w:after="0"/>
              <w:rPr>
                <w:sz w:val="14"/>
                <w:szCs w:val="14"/>
                <w:color w:val="auto"/>
              </w:rPr>
            </w:pPr>
          </w:p>
        </w:tc>
      </w:tr>
      <w:tr>
        <w:trPr>
          <w:trHeight w:val="162"/>
        </w:trPr>
        <w:tc>
          <w:tcPr>
            <w:tcW w:w="3500" w:type="dxa"/>
            <w:vAlign w:val="bottom"/>
            <w:shd w:val="clear" w:color="auto" w:fill="53C072"/>
          </w:tcPr>
          <w:p>
            <w:pPr>
              <w:spacing w:after="0"/>
              <w:rPr>
                <w:sz w:val="14"/>
                <w:szCs w:val="14"/>
                <w:color w:val="auto"/>
              </w:rPr>
            </w:pPr>
          </w:p>
        </w:tc>
        <w:tc>
          <w:tcPr>
            <w:tcW w:w="3280" w:type="dxa"/>
            <w:vAlign w:val="bottom"/>
            <w:shd w:val="clear" w:color="auto" w:fill="53C072"/>
          </w:tcPr>
          <w:p>
            <w:pPr>
              <w:jc w:val="right"/>
              <w:ind w:right="80"/>
              <w:spacing w:after="0"/>
              <w:rPr>
                <w:sz w:val="20"/>
                <w:szCs w:val="20"/>
                <w:color w:val="auto"/>
              </w:rPr>
            </w:pPr>
            <w:r>
              <w:rPr>
                <w:rFonts w:ascii="Arial" w:cs="Arial" w:eastAsia="Arial" w:hAnsi="Arial"/>
                <w:sz w:val="14"/>
                <w:szCs w:val="14"/>
                <w:b w:val="1"/>
                <w:bCs w:val="1"/>
                <w:color w:val="FEFEFE"/>
              </w:rPr>
              <w:t>Third</w:t>
            </w:r>
          </w:p>
        </w:tc>
        <w:tc>
          <w:tcPr>
            <w:tcW w:w="6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Third</w:t>
            </w:r>
          </w:p>
        </w:tc>
        <w:tc>
          <w:tcPr>
            <w:tcW w:w="140" w:type="dxa"/>
            <w:vAlign w:val="bottom"/>
            <w:shd w:val="clear" w:color="auto" w:fill="53C072"/>
          </w:tcPr>
          <w:p>
            <w:pPr>
              <w:spacing w:after="0"/>
              <w:rPr>
                <w:sz w:val="14"/>
                <w:szCs w:val="14"/>
                <w:color w:val="auto"/>
              </w:rPr>
            </w:pPr>
          </w:p>
        </w:tc>
        <w:tc>
          <w:tcPr>
            <w:tcW w:w="10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Grant at the</w:t>
            </w:r>
          </w:p>
        </w:tc>
        <w:tc>
          <w:tcPr>
            <w:tcW w:w="120" w:type="dxa"/>
            <w:vAlign w:val="bottom"/>
            <w:shd w:val="clear" w:color="auto" w:fill="53C072"/>
          </w:tcPr>
          <w:p>
            <w:pPr>
              <w:spacing w:after="0"/>
              <w:rPr>
                <w:sz w:val="14"/>
                <w:szCs w:val="14"/>
                <w:color w:val="auto"/>
              </w:rPr>
            </w:pPr>
          </w:p>
        </w:tc>
      </w:tr>
      <w:tr>
        <w:trPr>
          <w:trHeight w:val="185"/>
        </w:trPr>
        <w:tc>
          <w:tcPr>
            <w:tcW w:w="350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NEO</w:t>
            </w:r>
          </w:p>
        </w:tc>
        <w:tc>
          <w:tcPr>
            <w:tcW w:w="3280" w:type="dxa"/>
            <w:vAlign w:val="bottom"/>
            <w:shd w:val="clear" w:color="auto" w:fill="53C072"/>
          </w:tcPr>
          <w:p>
            <w:pPr>
              <w:jc w:val="center"/>
              <w:ind w:left="2400"/>
              <w:spacing w:after="0"/>
              <w:rPr>
                <w:sz w:val="20"/>
                <w:szCs w:val="20"/>
                <w:color w:val="auto"/>
              </w:rPr>
            </w:pPr>
            <w:r>
              <w:rPr>
                <w:rFonts w:ascii="Arial" w:cs="Arial" w:eastAsia="Arial" w:hAnsi="Arial"/>
                <w:sz w:val="14"/>
                <w:szCs w:val="14"/>
                <w:b w:val="1"/>
                <w:bCs w:val="1"/>
                <w:color w:val="FEFEFE"/>
              </w:rPr>
              <w:t>Tranche</w:t>
            </w:r>
          </w:p>
        </w:tc>
        <w:tc>
          <w:tcPr>
            <w:tcW w:w="660" w:type="dxa"/>
            <w:vAlign w:val="bottom"/>
            <w:shd w:val="clear" w:color="auto" w:fill="53C072"/>
          </w:tcPr>
          <w:p>
            <w:pPr>
              <w:jc w:val="center"/>
              <w:ind w:left="39"/>
              <w:spacing w:after="0"/>
              <w:rPr>
                <w:sz w:val="20"/>
                <w:szCs w:val="20"/>
                <w:color w:val="auto"/>
              </w:rPr>
            </w:pPr>
            <w:r>
              <w:rPr>
                <w:rFonts w:ascii="Arial" w:cs="Arial" w:eastAsia="Arial" w:hAnsi="Arial"/>
                <w:sz w:val="14"/>
                <w:szCs w:val="14"/>
                <w:b w:val="1"/>
                <w:bCs w:val="1"/>
                <w:color w:val="FEFEFE"/>
                <w:w w:val="99"/>
              </w:rPr>
              <w:t>Tranche</w:t>
            </w:r>
          </w:p>
        </w:tc>
        <w:tc>
          <w:tcPr>
            <w:tcW w:w="140" w:type="dxa"/>
            <w:vAlign w:val="bottom"/>
            <w:shd w:val="clear" w:color="auto" w:fill="53C072"/>
          </w:tcPr>
          <w:p>
            <w:pPr>
              <w:spacing w:after="0"/>
              <w:rPr>
                <w:sz w:val="16"/>
                <w:szCs w:val="16"/>
                <w:color w:val="auto"/>
              </w:rPr>
            </w:pPr>
          </w:p>
        </w:tc>
        <w:tc>
          <w:tcPr>
            <w:tcW w:w="1060" w:type="dxa"/>
            <w:vAlign w:val="bottom"/>
            <w:shd w:val="clear" w:color="auto" w:fill="53C072"/>
          </w:tcPr>
          <w:p>
            <w:pPr>
              <w:ind w:left="240"/>
              <w:spacing w:after="0"/>
              <w:rPr>
                <w:sz w:val="20"/>
                <w:szCs w:val="20"/>
                <w:color w:val="auto"/>
              </w:rPr>
            </w:pPr>
            <w:r>
              <w:rPr>
                <w:rFonts w:ascii="Arial" w:cs="Arial" w:eastAsia="Arial" w:hAnsi="Arial"/>
                <w:sz w:val="14"/>
                <w:szCs w:val="14"/>
                <w:b w:val="1"/>
                <w:bCs w:val="1"/>
                <w:color w:val="FEFEFE"/>
              </w:rPr>
              <w:t>end of FY25</w:t>
            </w:r>
          </w:p>
        </w:tc>
        <w:tc>
          <w:tcPr>
            <w:tcW w:w="120" w:type="dxa"/>
            <w:vAlign w:val="bottom"/>
            <w:shd w:val="clear" w:color="auto" w:fill="53C072"/>
          </w:tcPr>
          <w:p>
            <w:pPr>
              <w:spacing w:after="0"/>
              <w:rPr>
                <w:sz w:val="16"/>
                <w:szCs w:val="16"/>
                <w:color w:val="auto"/>
              </w:rPr>
            </w:pPr>
          </w:p>
        </w:tc>
      </w:tr>
      <w:tr>
        <w:trPr>
          <w:trHeight w:val="257"/>
        </w:trPr>
        <w:tc>
          <w:tcPr>
            <w:tcW w:w="3500" w:type="dxa"/>
            <w:vAlign w:val="bottom"/>
          </w:tcPr>
          <w:p>
            <w:pPr>
              <w:ind w:left="120"/>
              <w:spacing w:after="0"/>
              <w:rPr>
                <w:sz w:val="20"/>
                <w:szCs w:val="20"/>
                <w:color w:val="auto"/>
              </w:rPr>
            </w:pPr>
            <w:r>
              <w:rPr>
                <w:rFonts w:ascii="Arial" w:cs="Arial" w:eastAsia="Arial" w:hAnsi="Arial"/>
                <w:sz w:val="18"/>
                <w:szCs w:val="18"/>
                <w:color w:val="auto"/>
              </w:rPr>
              <w:t>Gallagher</w:t>
            </w:r>
          </w:p>
        </w:tc>
        <w:tc>
          <w:tcPr>
            <w:tcW w:w="3280" w:type="dxa"/>
            <w:vAlign w:val="bottom"/>
          </w:tcPr>
          <w:p>
            <w:pPr>
              <w:jc w:val="center"/>
              <w:ind w:left="2400"/>
              <w:spacing w:after="0"/>
              <w:rPr>
                <w:sz w:val="20"/>
                <w:szCs w:val="20"/>
                <w:color w:val="auto"/>
              </w:rPr>
            </w:pPr>
            <w:r>
              <w:rPr>
                <w:rFonts w:ascii="Arial" w:cs="Arial" w:eastAsia="Arial" w:hAnsi="Arial"/>
                <w:sz w:val="18"/>
                <w:szCs w:val="18"/>
                <w:color w:val="auto"/>
              </w:rPr>
              <w:t>​24,622</w:t>
            </w:r>
          </w:p>
        </w:tc>
        <w:tc>
          <w:tcPr>
            <w:tcW w:w="660" w:type="dxa"/>
            <w:vAlign w:val="bottom"/>
          </w:tcPr>
          <w:p>
            <w:pPr>
              <w:jc w:val="center"/>
              <w:ind w:left="19"/>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ind w:left="280"/>
              <w:spacing w:after="0"/>
              <w:rPr>
                <w:sz w:val="20"/>
                <w:szCs w:val="20"/>
                <w:color w:val="auto"/>
              </w:rPr>
            </w:pPr>
            <w:r>
              <w:rPr>
                <w:rFonts w:ascii="Arial" w:cs="Arial" w:eastAsia="Arial" w:hAnsi="Arial"/>
                <w:sz w:val="18"/>
                <w:szCs w:val="18"/>
                <w:color w:val="auto"/>
              </w:rPr>
              <w:t>​45,876</w:t>
            </w:r>
          </w:p>
        </w:tc>
        <w:tc>
          <w:tcPr>
            <w:tcW w:w="120" w:type="dxa"/>
            <w:vAlign w:val="bottom"/>
          </w:tcPr>
          <w:p>
            <w:pPr>
              <w:spacing w:after="0"/>
              <w:rPr>
                <w:sz w:val="20"/>
                <w:szCs w:val="20"/>
                <w:color w:val="auto"/>
              </w:rPr>
            </w:pPr>
            <w:r>
              <w:rPr>
                <w:rFonts w:ascii="Arial" w:cs="Arial" w:eastAsia="Arial" w:hAnsi="Arial"/>
                <w:sz w:val="18"/>
                <w:szCs w:val="18"/>
                <w:color w:val="auto"/>
              </w:rPr>
              <w:t>​</w:t>
            </w:r>
          </w:p>
        </w:tc>
      </w:tr>
      <w:tr>
        <w:trPr>
          <w:trHeight w:val="256"/>
        </w:trPr>
        <w:tc>
          <w:tcPr>
            <w:tcW w:w="3500" w:type="dxa"/>
            <w:vAlign w:val="bottom"/>
            <w:shd w:val="clear" w:color="auto" w:fill="CBECD5"/>
          </w:tcPr>
          <w:p>
            <w:pPr>
              <w:ind w:left="120"/>
              <w:spacing w:after="0"/>
              <w:rPr>
                <w:sz w:val="20"/>
                <w:szCs w:val="20"/>
                <w:color w:val="auto"/>
              </w:rPr>
            </w:pPr>
            <w:r>
              <w:rPr>
                <w:rFonts w:ascii="Arial" w:cs="Arial" w:eastAsia="Arial" w:hAnsi="Arial"/>
                <w:sz w:val="18"/>
                <w:szCs w:val="18"/>
                <w:color w:val="auto"/>
              </w:rPr>
              <w:t>Jacobson</w:t>
            </w:r>
          </w:p>
        </w:tc>
        <w:tc>
          <w:tcPr>
            <w:tcW w:w="3280" w:type="dxa"/>
            <w:vAlign w:val="bottom"/>
            <w:shd w:val="clear" w:color="auto" w:fill="CBECD5"/>
          </w:tcPr>
          <w:p>
            <w:pPr>
              <w:jc w:val="center"/>
              <w:ind w:left="2400"/>
              <w:spacing w:after="0"/>
              <w:rPr>
                <w:sz w:val="20"/>
                <w:szCs w:val="20"/>
                <w:color w:val="auto"/>
              </w:rPr>
            </w:pPr>
            <w:r>
              <w:rPr>
                <w:rFonts w:ascii="Arial" w:cs="Arial" w:eastAsia="Arial" w:hAnsi="Arial"/>
                <w:sz w:val="18"/>
                <w:szCs w:val="18"/>
                <w:color w:val="auto"/>
              </w:rPr>
              <w:t>​ 4,735</w:t>
            </w:r>
          </w:p>
        </w:tc>
        <w:tc>
          <w:tcPr>
            <w:tcW w:w="660" w:type="dxa"/>
            <w:vAlign w:val="bottom"/>
            <w:shd w:val="clear" w:color="auto" w:fill="CBECD5"/>
          </w:tcPr>
          <w:p>
            <w:pPr>
              <w:jc w:val="center"/>
              <w:ind w:left="19"/>
              <w:spacing w:after="0"/>
              <w:rPr>
                <w:sz w:val="20"/>
                <w:szCs w:val="20"/>
                <w:color w:val="auto"/>
              </w:rPr>
            </w:pPr>
            <w:r>
              <w:rPr>
                <w:rFonts w:ascii="Arial" w:cs="Arial" w:eastAsia="Arial" w:hAnsi="Arial"/>
                <w:sz w:val="18"/>
                <w:szCs w:val="18"/>
                <w:color w:val="auto"/>
              </w:rPr>
              <w:t>​0</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BECD5"/>
          </w:tcPr>
          <w:p>
            <w:pPr>
              <w:ind w:left="280"/>
              <w:spacing w:after="0"/>
              <w:rPr>
                <w:sz w:val="20"/>
                <w:szCs w:val="20"/>
                <w:color w:val="auto"/>
              </w:rPr>
            </w:pPr>
            <w:r>
              <w:rPr>
                <w:rFonts w:ascii="Arial" w:cs="Arial" w:eastAsia="Arial" w:hAnsi="Arial"/>
                <w:sz w:val="18"/>
                <w:szCs w:val="18"/>
                <w:color w:val="auto"/>
              </w:rPr>
              <w:t>​ 8,823</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r>
      <w:tr>
        <w:trPr>
          <w:trHeight w:val="257"/>
        </w:trPr>
        <w:tc>
          <w:tcPr>
            <w:tcW w:w="3500" w:type="dxa"/>
            <w:vAlign w:val="bottom"/>
          </w:tcPr>
          <w:p>
            <w:pPr>
              <w:ind w:left="120"/>
              <w:spacing w:after="0"/>
              <w:rPr>
                <w:sz w:val="20"/>
                <w:szCs w:val="20"/>
                <w:color w:val="auto"/>
              </w:rPr>
            </w:pPr>
            <w:r>
              <w:rPr>
                <w:rFonts w:ascii="Arial" w:cs="Arial" w:eastAsia="Arial" w:hAnsi="Arial"/>
                <w:sz w:val="18"/>
                <w:szCs w:val="18"/>
                <w:color w:val="auto"/>
              </w:rPr>
              <w:t>Arnold</w:t>
            </w:r>
          </w:p>
        </w:tc>
        <w:tc>
          <w:tcPr>
            <w:tcW w:w="3280" w:type="dxa"/>
            <w:vAlign w:val="bottom"/>
          </w:tcPr>
          <w:p>
            <w:pPr>
              <w:jc w:val="center"/>
              <w:ind w:left="2400"/>
              <w:spacing w:after="0"/>
              <w:rPr>
                <w:sz w:val="20"/>
                <w:szCs w:val="20"/>
                <w:color w:val="auto"/>
              </w:rPr>
            </w:pPr>
            <w:r>
              <w:rPr>
                <w:rFonts w:ascii="Arial" w:cs="Arial" w:eastAsia="Arial" w:hAnsi="Arial"/>
                <w:sz w:val="18"/>
                <w:szCs w:val="18"/>
                <w:color w:val="auto"/>
              </w:rPr>
              <w:t>​ 3,599</w:t>
            </w:r>
          </w:p>
        </w:tc>
        <w:tc>
          <w:tcPr>
            <w:tcW w:w="660" w:type="dxa"/>
            <w:vAlign w:val="bottom"/>
          </w:tcPr>
          <w:p>
            <w:pPr>
              <w:jc w:val="center"/>
              <w:ind w:left="19"/>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ind w:left="280"/>
              <w:spacing w:after="0"/>
              <w:rPr>
                <w:sz w:val="20"/>
                <w:szCs w:val="20"/>
                <w:color w:val="auto"/>
              </w:rPr>
            </w:pPr>
            <w:r>
              <w:rPr>
                <w:rFonts w:ascii="Arial" w:cs="Arial" w:eastAsia="Arial" w:hAnsi="Arial"/>
                <w:sz w:val="18"/>
                <w:szCs w:val="18"/>
                <w:color w:val="auto"/>
              </w:rPr>
              <w:t>​ 6,703</w:t>
            </w:r>
          </w:p>
        </w:tc>
        <w:tc>
          <w:tcPr>
            <w:tcW w:w="12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3500" w:type="dxa"/>
            <w:vAlign w:val="bottom"/>
            <w:shd w:val="clear" w:color="auto" w:fill="CBECD5"/>
          </w:tcPr>
          <w:p>
            <w:pPr>
              <w:ind w:left="120"/>
              <w:spacing w:after="0"/>
              <w:rPr>
                <w:sz w:val="20"/>
                <w:szCs w:val="20"/>
                <w:color w:val="auto"/>
              </w:rPr>
            </w:pPr>
            <w:r>
              <w:rPr>
                <w:rFonts w:ascii="Arial" w:cs="Arial" w:eastAsia="Arial" w:hAnsi="Arial"/>
                <w:sz w:val="18"/>
                <w:szCs w:val="18"/>
                <w:color w:val="auto"/>
              </w:rPr>
              <w:t>Chan</w:t>
            </w:r>
          </w:p>
        </w:tc>
        <w:tc>
          <w:tcPr>
            <w:tcW w:w="3280" w:type="dxa"/>
            <w:vAlign w:val="bottom"/>
            <w:shd w:val="clear" w:color="auto" w:fill="CBECD5"/>
          </w:tcPr>
          <w:p>
            <w:pPr>
              <w:jc w:val="center"/>
              <w:ind w:left="2400"/>
              <w:spacing w:after="0"/>
              <w:rPr>
                <w:sz w:val="20"/>
                <w:szCs w:val="20"/>
                <w:color w:val="auto"/>
              </w:rPr>
            </w:pPr>
            <w:r>
              <w:rPr>
                <w:rFonts w:ascii="Arial" w:cs="Arial" w:eastAsia="Arial" w:hAnsi="Arial"/>
                <w:sz w:val="18"/>
                <w:szCs w:val="18"/>
                <w:color w:val="auto"/>
              </w:rPr>
              <w:t>​ 1,894</w:t>
            </w:r>
          </w:p>
        </w:tc>
        <w:tc>
          <w:tcPr>
            <w:tcW w:w="660" w:type="dxa"/>
            <w:vAlign w:val="bottom"/>
            <w:shd w:val="clear" w:color="auto" w:fill="CBECD5"/>
          </w:tcPr>
          <w:p>
            <w:pPr>
              <w:jc w:val="center"/>
              <w:ind w:left="19"/>
              <w:spacing w:after="0"/>
              <w:rPr>
                <w:sz w:val="20"/>
                <w:szCs w:val="20"/>
                <w:color w:val="auto"/>
              </w:rPr>
            </w:pPr>
            <w:r>
              <w:rPr>
                <w:rFonts w:ascii="Arial" w:cs="Arial" w:eastAsia="Arial" w:hAnsi="Arial"/>
                <w:sz w:val="18"/>
                <w:szCs w:val="18"/>
                <w:color w:val="auto"/>
              </w:rPr>
              <w:t>​0</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BECD5"/>
          </w:tcPr>
          <w:p>
            <w:pPr>
              <w:ind w:left="280"/>
              <w:spacing w:after="0"/>
              <w:rPr>
                <w:sz w:val="20"/>
                <w:szCs w:val="20"/>
                <w:color w:val="auto"/>
              </w:rPr>
            </w:pPr>
            <w:r>
              <w:rPr>
                <w:rFonts w:ascii="Arial" w:cs="Arial" w:eastAsia="Arial" w:hAnsi="Arial"/>
                <w:sz w:val="18"/>
                <w:szCs w:val="18"/>
                <w:color w:val="auto"/>
              </w:rPr>
              <w:t>​ 3,529</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r>
      <w:tr>
        <w:trPr>
          <w:trHeight w:val="290"/>
        </w:trPr>
        <w:tc>
          <w:tcPr>
            <w:tcW w:w="3500" w:type="dxa"/>
            <w:vAlign w:val="bottom"/>
            <w:tcBorders>
              <w:bottom w:val="single" w:sz="8" w:color="53C072"/>
            </w:tcBorders>
          </w:tcPr>
          <w:p>
            <w:pPr>
              <w:ind w:left="120"/>
              <w:spacing w:after="0"/>
              <w:rPr>
                <w:sz w:val="20"/>
                <w:szCs w:val="20"/>
                <w:color w:val="auto"/>
              </w:rPr>
            </w:pPr>
            <w:r>
              <w:rPr>
                <w:rFonts w:ascii="Arial" w:cs="Arial" w:eastAsia="Arial" w:hAnsi="Arial"/>
                <w:sz w:val="18"/>
                <w:szCs w:val="18"/>
                <w:color w:val="auto"/>
              </w:rPr>
              <w:t>McCoy</w:t>
            </w:r>
          </w:p>
        </w:tc>
        <w:tc>
          <w:tcPr>
            <w:tcW w:w="3280" w:type="dxa"/>
            <w:vAlign w:val="bottom"/>
            <w:tcBorders>
              <w:bottom w:val="single" w:sz="8" w:color="53C072"/>
            </w:tcBorders>
          </w:tcPr>
          <w:p>
            <w:pPr>
              <w:jc w:val="center"/>
              <w:ind w:left="240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3,978</w:t>
            </w:r>
          </w:p>
        </w:tc>
        <w:tc>
          <w:tcPr>
            <w:tcW w:w="660" w:type="dxa"/>
            <w:vAlign w:val="bottom"/>
            <w:tcBorders>
              <w:bottom w:val="single" w:sz="8" w:color="53C072"/>
            </w:tcBorders>
          </w:tcPr>
          <w:p>
            <w:pPr>
              <w:jc w:val="center"/>
              <w:ind w:left="19"/>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0</w:t>
            </w:r>
          </w:p>
        </w:tc>
        <w:tc>
          <w:tcPr>
            <w:tcW w:w="14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53C072"/>
            </w:tcBorders>
          </w:tcPr>
          <w:p>
            <w:pPr>
              <w:ind w:left="28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7,411</w:t>
            </w:r>
          </w:p>
        </w:tc>
        <w:tc>
          <w:tcPr>
            <w:tcW w:w="12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r>
    </w:tbl>
    <w:p>
      <w:pPr>
        <w:spacing w:after="0" w:line="76" w:lineRule="exact"/>
        <w:rPr>
          <w:sz w:val="20"/>
          <w:szCs w:val="20"/>
          <w:color w:val="auto"/>
        </w:rPr>
      </w:pPr>
    </w:p>
    <w:p>
      <w:pPr>
        <w:ind w:left="1000" w:right="1120"/>
        <w:spacing w:after="0" w:line="271" w:lineRule="auto"/>
        <w:rPr>
          <w:sz w:val="20"/>
          <w:szCs w:val="20"/>
          <w:color w:val="auto"/>
        </w:rPr>
      </w:pPr>
      <w:r>
        <w:rPr>
          <w:rFonts w:ascii="Arial" w:cs="Arial" w:eastAsia="Arial" w:hAnsi="Arial"/>
          <w:sz w:val="17"/>
          <w:szCs w:val="17"/>
          <w:b w:val="1"/>
          <w:bCs w:val="1"/>
          <w:color w:val="53C072"/>
        </w:rPr>
        <w:t xml:space="preserve">Fiscal 2024 PSU Grant (second tranche): </w:t>
      </w:r>
      <w:r>
        <w:rPr>
          <w:rFonts w:ascii="Arial" w:cs="Arial" w:eastAsia="Arial" w:hAnsi="Arial"/>
          <w:sz w:val="17"/>
          <w:szCs w:val="17"/>
          <w:color w:val="000000"/>
        </w:rPr>
        <w:t>For PSU awards granted in fiscal 2024, the following table</w:t>
      </w:r>
      <w:r>
        <w:rPr>
          <w:rFonts w:ascii="Arial" w:cs="Arial" w:eastAsia="Arial" w:hAnsi="Arial"/>
          <w:sz w:val="17"/>
          <w:szCs w:val="17"/>
          <w:b w:val="1"/>
          <w:bCs w:val="1"/>
          <w:color w:val="53C072"/>
        </w:rPr>
        <w:t xml:space="preserve"> </w:t>
      </w:r>
      <w:r>
        <w:rPr>
          <w:rFonts w:ascii="Arial" w:cs="Arial" w:eastAsia="Arial" w:hAnsi="Arial"/>
          <w:sz w:val="17"/>
          <w:szCs w:val="17"/>
          <w:color w:val="000000"/>
        </w:rPr>
        <w:t>summarizes the number of PSUs earned for the second tranche for fiscal 2025 and the total number of shares earned for the first and second tranches under the plan. Earned PSUs will vest and become payable when the Committee certifies the results for the performance period for the third tranche, which ends on June 27, 2026.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0" w:type="dxa"/>
            <w:vAlign w:val="bottom"/>
          </w:tcPr>
          <w:p>
            <w:pPr>
              <w:spacing w:after="0"/>
              <w:rPr>
                <w:sz w:val="16"/>
                <w:szCs w:val="16"/>
                <w:color w:val="auto"/>
              </w:rPr>
            </w:pPr>
          </w:p>
        </w:tc>
        <w:tc>
          <w:tcPr>
            <w:tcW w:w="3240" w:type="dxa"/>
            <w:vAlign w:val="bottom"/>
            <w:shd w:val="clear" w:color="auto" w:fill="53C072"/>
          </w:tcPr>
          <w:p>
            <w:pPr>
              <w:spacing w:after="0"/>
              <w:rPr>
                <w:sz w:val="16"/>
                <w:szCs w:val="16"/>
                <w:color w:val="auto"/>
              </w:rPr>
            </w:pPr>
          </w:p>
        </w:tc>
        <w:tc>
          <w:tcPr>
            <w:tcW w:w="2080" w:type="dxa"/>
            <w:vAlign w:val="bottom"/>
            <w:shd w:val="clear" w:color="auto" w:fill="53C072"/>
          </w:tcPr>
          <w:p>
            <w:pPr>
              <w:spacing w:after="0"/>
              <w:rPr>
                <w:sz w:val="16"/>
                <w:szCs w:val="16"/>
                <w:color w:val="auto"/>
              </w:rPr>
            </w:pPr>
          </w:p>
        </w:tc>
        <w:tc>
          <w:tcPr>
            <w:tcW w:w="600" w:type="dxa"/>
            <w:vAlign w:val="bottom"/>
            <w:shd w:val="clear" w:color="auto" w:fill="53C072"/>
          </w:tcPr>
          <w:p>
            <w:pPr>
              <w:spacing w:after="0"/>
              <w:rPr>
                <w:sz w:val="16"/>
                <w:szCs w:val="16"/>
                <w:color w:val="auto"/>
              </w:rPr>
            </w:pPr>
          </w:p>
        </w:tc>
        <w:tc>
          <w:tcPr>
            <w:tcW w:w="400" w:type="dxa"/>
            <w:vAlign w:val="bottom"/>
            <w:shd w:val="clear" w:color="auto" w:fill="53C072"/>
          </w:tcPr>
          <w:p>
            <w:pPr>
              <w:spacing w:after="0"/>
              <w:rPr>
                <w:sz w:val="16"/>
                <w:szCs w:val="16"/>
                <w:color w:val="auto"/>
              </w:rPr>
            </w:pPr>
          </w:p>
        </w:tc>
        <w:tc>
          <w:tcPr>
            <w:tcW w:w="760" w:type="dxa"/>
            <w:vAlign w:val="bottom"/>
            <w:shd w:val="clear" w:color="auto" w:fill="53C072"/>
          </w:tcPr>
          <w:p>
            <w:pPr>
              <w:spacing w:after="0"/>
              <w:rPr>
                <w:sz w:val="16"/>
                <w:szCs w:val="16"/>
                <w:color w:val="auto"/>
              </w:rPr>
            </w:pPr>
          </w:p>
        </w:tc>
        <w:tc>
          <w:tcPr>
            <w:tcW w:w="1560" w:type="dxa"/>
            <w:vAlign w:val="bottom"/>
            <w:gridSpan w:val="2"/>
            <w:shd w:val="clear" w:color="auto" w:fill="53C072"/>
          </w:tcPr>
          <w:p>
            <w:pPr>
              <w:jc w:val="center"/>
              <w:ind w:left="136"/>
              <w:spacing w:after="0"/>
              <w:rPr>
                <w:sz w:val="20"/>
                <w:szCs w:val="20"/>
                <w:color w:val="auto"/>
              </w:rPr>
            </w:pPr>
            <w:r>
              <w:rPr>
                <w:rFonts w:ascii="Arial" w:cs="Arial" w:eastAsia="Arial" w:hAnsi="Arial"/>
                <w:sz w:val="14"/>
                <w:szCs w:val="14"/>
                <w:b w:val="1"/>
                <w:bCs w:val="1"/>
                <w:color w:val="FEFEFE"/>
              </w:rPr>
              <w:t>Total PSUs Earned</w:t>
            </w:r>
          </w:p>
        </w:tc>
        <w:tc>
          <w:tcPr>
            <w:tcW w:w="120" w:type="dxa"/>
            <w:vAlign w:val="bottom"/>
            <w:shd w:val="clear" w:color="auto" w:fill="53C072"/>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980" w:type="dxa"/>
            <w:vAlign w:val="bottom"/>
          </w:tcPr>
          <w:p>
            <w:pPr>
              <w:spacing w:after="0"/>
              <w:rPr>
                <w:sz w:val="14"/>
                <w:szCs w:val="14"/>
                <w:color w:val="auto"/>
              </w:rPr>
            </w:pPr>
          </w:p>
        </w:tc>
        <w:tc>
          <w:tcPr>
            <w:tcW w:w="3240" w:type="dxa"/>
            <w:vAlign w:val="bottom"/>
            <w:shd w:val="clear" w:color="auto" w:fill="53C072"/>
          </w:tcPr>
          <w:p>
            <w:pPr>
              <w:spacing w:after="0"/>
              <w:rPr>
                <w:sz w:val="14"/>
                <w:szCs w:val="14"/>
                <w:color w:val="auto"/>
              </w:rPr>
            </w:pPr>
          </w:p>
        </w:tc>
        <w:tc>
          <w:tcPr>
            <w:tcW w:w="2680" w:type="dxa"/>
            <w:vAlign w:val="bottom"/>
            <w:gridSpan w:val="2"/>
            <w:shd w:val="clear" w:color="auto" w:fill="53C072"/>
          </w:tcPr>
          <w:p>
            <w:pPr>
              <w:jc w:val="center"/>
              <w:ind w:left="1678"/>
              <w:spacing w:after="0"/>
              <w:rPr>
                <w:sz w:val="20"/>
                <w:szCs w:val="20"/>
                <w:color w:val="auto"/>
              </w:rPr>
            </w:pPr>
            <w:r>
              <w:rPr>
                <w:rFonts w:ascii="Arial" w:cs="Arial" w:eastAsia="Arial" w:hAnsi="Arial"/>
                <w:sz w:val="14"/>
                <w:szCs w:val="14"/>
                <w:b w:val="1"/>
                <w:bCs w:val="1"/>
                <w:color w:val="FEFEFE"/>
              </w:rPr>
              <w:t>Target PSUs</w:t>
            </w:r>
          </w:p>
        </w:tc>
        <w:tc>
          <w:tcPr>
            <w:tcW w:w="400" w:type="dxa"/>
            <w:vAlign w:val="bottom"/>
            <w:shd w:val="clear" w:color="auto" w:fill="53C072"/>
          </w:tcPr>
          <w:p>
            <w:pPr>
              <w:spacing w:after="0"/>
              <w:rPr>
                <w:sz w:val="14"/>
                <w:szCs w:val="14"/>
                <w:color w:val="auto"/>
              </w:rPr>
            </w:pPr>
          </w:p>
        </w:tc>
        <w:tc>
          <w:tcPr>
            <w:tcW w:w="760" w:type="dxa"/>
            <w:vAlign w:val="bottom"/>
            <w:shd w:val="clear" w:color="auto" w:fill="53C072"/>
          </w:tcPr>
          <w:p>
            <w:pPr>
              <w:spacing w:after="0"/>
              <w:rPr>
                <w:sz w:val="14"/>
                <w:szCs w:val="14"/>
                <w:color w:val="auto"/>
              </w:rPr>
            </w:pPr>
          </w:p>
        </w:tc>
        <w:tc>
          <w:tcPr>
            <w:tcW w:w="156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for FY24 Grant at</w:t>
            </w:r>
          </w:p>
        </w:tc>
        <w:tc>
          <w:tcPr>
            <w:tcW w:w="120" w:type="dxa"/>
            <w:vAlign w:val="bottom"/>
            <w:shd w:val="clear" w:color="auto" w:fill="53C072"/>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980" w:type="dxa"/>
            <w:vAlign w:val="bottom"/>
          </w:tcPr>
          <w:p>
            <w:pPr>
              <w:spacing w:after="0"/>
              <w:rPr>
                <w:sz w:val="14"/>
                <w:szCs w:val="14"/>
                <w:color w:val="auto"/>
              </w:rPr>
            </w:pPr>
          </w:p>
        </w:tc>
        <w:tc>
          <w:tcPr>
            <w:tcW w:w="3240" w:type="dxa"/>
            <w:vAlign w:val="bottom"/>
            <w:shd w:val="clear" w:color="auto" w:fill="53C072"/>
          </w:tcPr>
          <w:p>
            <w:pPr>
              <w:spacing w:after="0"/>
              <w:rPr>
                <w:sz w:val="14"/>
                <w:szCs w:val="14"/>
                <w:color w:val="auto"/>
              </w:rPr>
            </w:pPr>
          </w:p>
        </w:tc>
        <w:tc>
          <w:tcPr>
            <w:tcW w:w="268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FY24 Grant</w:t>
            </w:r>
          </w:p>
        </w:tc>
        <w:tc>
          <w:tcPr>
            <w:tcW w:w="1160" w:type="dxa"/>
            <w:vAlign w:val="bottom"/>
            <w:gridSpan w:val="2"/>
            <w:shd w:val="clear" w:color="auto" w:fill="53C072"/>
          </w:tcPr>
          <w:p>
            <w:pPr>
              <w:ind w:left="240"/>
              <w:spacing w:after="0"/>
              <w:rPr>
                <w:sz w:val="20"/>
                <w:szCs w:val="20"/>
                <w:color w:val="auto"/>
              </w:rPr>
            </w:pPr>
            <w:r>
              <w:rPr>
                <w:rFonts w:ascii="Arial" w:cs="Arial" w:eastAsia="Arial" w:hAnsi="Arial"/>
                <w:sz w:val="14"/>
                <w:szCs w:val="14"/>
                <w:b w:val="1"/>
                <w:bCs w:val="1"/>
                <w:color w:val="FEFEFE"/>
              </w:rPr>
              <w:t>PSUs Earned</w:t>
            </w:r>
          </w:p>
        </w:tc>
        <w:tc>
          <w:tcPr>
            <w:tcW w:w="156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the end of FY25</w:t>
            </w:r>
          </w:p>
        </w:tc>
        <w:tc>
          <w:tcPr>
            <w:tcW w:w="120" w:type="dxa"/>
            <w:vAlign w:val="bottom"/>
            <w:shd w:val="clear" w:color="auto" w:fill="53C072"/>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980" w:type="dxa"/>
            <w:vAlign w:val="bottom"/>
          </w:tcPr>
          <w:p>
            <w:pPr>
              <w:spacing w:after="0"/>
              <w:rPr>
                <w:sz w:val="14"/>
                <w:szCs w:val="14"/>
                <w:color w:val="auto"/>
              </w:rPr>
            </w:pPr>
          </w:p>
        </w:tc>
        <w:tc>
          <w:tcPr>
            <w:tcW w:w="3240" w:type="dxa"/>
            <w:vAlign w:val="bottom"/>
            <w:shd w:val="clear" w:color="auto" w:fill="53C072"/>
          </w:tcPr>
          <w:p>
            <w:pPr>
              <w:spacing w:after="0"/>
              <w:rPr>
                <w:sz w:val="14"/>
                <w:szCs w:val="14"/>
                <w:color w:val="auto"/>
              </w:rPr>
            </w:pPr>
          </w:p>
        </w:tc>
        <w:tc>
          <w:tcPr>
            <w:tcW w:w="2080" w:type="dxa"/>
            <w:vAlign w:val="bottom"/>
            <w:shd w:val="clear" w:color="auto" w:fill="53C072"/>
          </w:tcPr>
          <w:p>
            <w:pPr>
              <w:spacing w:after="0"/>
              <w:rPr>
                <w:sz w:val="14"/>
                <w:szCs w:val="14"/>
                <w:color w:val="auto"/>
              </w:rPr>
            </w:pPr>
          </w:p>
        </w:tc>
        <w:tc>
          <w:tcPr>
            <w:tcW w:w="6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Second</w:t>
            </w:r>
          </w:p>
        </w:tc>
        <w:tc>
          <w:tcPr>
            <w:tcW w:w="400" w:type="dxa"/>
            <w:vAlign w:val="bottom"/>
            <w:shd w:val="clear" w:color="auto" w:fill="53C072"/>
          </w:tcPr>
          <w:p>
            <w:pPr>
              <w:spacing w:after="0"/>
              <w:rPr>
                <w:sz w:val="14"/>
                <w:szCs w:val="14"/>
                <w:color w:val="auto"/>
              </w:rPr>
            </w:pPr>
          </w:p>
        </w:tc>
        <w:tc>
          <w:tcPr>
            <w:tcW w:w="760" w:type="dxa"/>
            <w:vAlign w:val="bottom"/>
            <w:shd w:val="clear" w:color="auto" w:fill="53C072"/>
          </w:tcPr>
          <w:p>
            <w:pPr>
              <w:ind w:left="220"/>
              <w:spacing w:after="0"/>
              <w:rPr>
                <w:sz w:val="20"/>
                <w:szCs w:val="20"/>
                <w:color w:val="auto"/>
              </w:rPr>
            </w:pPr>
            <w:r>
              <w:rPr>
                <w:rFonts w:ascii="Arial" w:cs="Arial" w:eastAsia="Arial" w:hAnsi="Arial"/>
                <w:sz w:val="14"/>
                <w:szCs w:val="14"/>
                <w:b w:val="1"/>
                <w:bCs w:val="1"/>
                <w:color w:val="FEFEFE"/>
              </w:rPr>
              <w:t>Second</w:t>
            </w:r>
          </w:p>
        </w:tc>
        <w:tc>
          <w:tcPr>
            <w:tcW w:w="156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(First and Second</w:t>
            </w:r>
          </w:p>
        </w:tc>
        <w:tc>
          <w:tcPr>
            <w:tcW w:w="120" w:type="dxa"/>
            <w:vAlign w:val="bottom"/>
            <w:shd w:val="clear" w:color="auto" w:fill="53C072"/>
          </w:tcPr>
          <w:p>
            <w:pPr>
              <w:spacing w:after="0"/>
              <w:rPr>
                <w:sz w:val="14"/>
                <w:szCs w:val="14"/>
                <w:color w:val="auto"/>
              </w:rPr>
            </w:pPr>
          </w:p>
        </w:tc>
        <w:tc>
          <w:tcPr>
            <w:tcW w:w="980" w:type="dxa"/>
            <w:vAlign w:val="bottom"/>
          </w:tcPr>
          <w:p>
            <w:pPr>
              <w:spacing w:after="0"/>
              <w:rPr>
                <w:sz w:val="14"/>
                <w:szCs w:val="14"/>
                <w:color w:val="auto"/>
              </w:rPr>
            </w:pPr>
          </w:p>
        </w:tc>
      </w:tr>
      <w:tr>
        <w:trPr>
          <w:trHeight w:val="185"/>
        </w:trPr>
        <w:tc>
          <w:tcPr>
            <w:tcW w:w="980" w:type="dxa"/>
            <w:vAlign w:val="bottom"/>
          </w:tcPr>
          <w:p>
            <w:pPr>
              <w:spacing w:after="0"/>
              <w:rPr>
                <w:sz w:val="16"/>
                <w:szCs w:val="16"/>
                <w:color w:val="auto"/>
              </w:rPr>
            </w:pPr>
          </w:p>
        </w:tc>
        <w:tc>
          <w:tcPr>
            <w:tcW w:w="324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NEO</w:t>
            </w:r>
          </w:p>
        </w:tc>
        <w:tc>
          <w:tcPr>
            <w:tcW w:w="2080" w:type="dxa"/>
            <w:vAlign w:val="bottom"/>
            <w:shd w:val="clear" w:color="auto" w:fill="53C072"/>
          </w:tcPr>
          <w:p>
            <w:pPr>
              <w:spacing w:after="0"/>
              <w:rPr>
                <w:sz w:val="16"/>
                <w:szCs w:val="16"/>
                <w:color w:val="auto"/>
              </w:rPr>
            </w:pPr>
          </w:p>
        </w:tc>
        <w:tc>
          <w:tcPr>
            <w:tcW w:w="6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Tranche</w:t>
            </w:r>
          </w:p>
        </w:tc>
        <w:tc>
          <w:tcPr>
            <w:tcW w:w="400" w:type="dxa"/>
            <w:vAlign w:val="bottom"/>
            <w:shd w:val="clear" w:color="auto" w:fill="53C072"/>
          </w:tcPr>
          <w:p>
            <w:pPr>
              <w:spacing w:after="0"/>
              <w:rPr>
                <w:sz w:val="16"/>
                <w:szCs w:val="16"/>
                <w:color w:val="auto"/>
              </w:rPr>
            </w:pPr>
          </w:p>
        </w:tc>
        <w:tc>
          <w:tcPr>
            <w:tcW w:w="1420" w:type="dxa"/>
            <w:vAlign w:val="bottom"/>
            <w:gridSpan w:val="2"/>
            <w:shd w:val="clear" w:color="auto" w:fill="53C072"/>
          </w:tcPr>
          <w:p>
            <w:pPr>
              <w:ind w:left="240"/>
              <w:spacing w:after="0"/>
              <w:rPr>
                <w:sz w:val="20"/>
                <w:szCs w:val="20"/>
                <w:color w:val="auto"/>
              </w:rPr>
            </w:pPr>
            <w:r>
              <w:rPr>
                <w:rFonts w:ascii="Arial" w:cs="Arial" w:eastAsia="Arial" w:hAnsi="Arial"/>
                <w:sz w:val="14"/>
                <w:szCs w:val="14"/>
                <w:b w:val="1"/>
                <w:bCs w:val="1"/>
                <w:color w:val="FEFEFE"/>
              </w:rPr>
              <w:t>Tranche</w:t>
            </w:r>
          </w:p>
        </w:tc>
        <w:tc>
          <w:tcPr>
            <w:tcW w:w="900" w:type="dxa"/>
            <w:vAlign w:val="bottom"/>
            <w:shd w:val="clear" w:color="auto" w:fill="53C072"/>
          </w:tcPr>
          <w:p>
            <w:pPr>
              <w:jc w:val="center"/>
              <w:ind w:left="135"/>
              <w:spacing w:after="0"/>
              <w:rPr>
                <w:sz w:val="20"/>
                <w:szCs w:val="20"/>
                <w:color w:val="auto"/>
              </w:rPr>
            </w:pPr>
            <w:r>
              <w:rPr>
                <w:rFonts w:ascii="Arial" w:cs="Arial" w:eastAsia="Arial" w:hAnsi="Arial"/>
                <w:sz w:val="14"/>
                <w:szCs w:val="14"/>
                <w:b w:val="1"/>
                <w:bCs w:val="1"/>
                <w:color w:val="FEFEFE"/>
              </w:rPr>
              <w:t>Tranches)</w:t>
            </w:r>
          </w:p>
        </w:tc>
        <w:tc>
          <w:tcPr>
            <w:tcW w:w="120" w:type="dxa"/>
            <w:vAlign w:val="bottom"/>
            <w:shd w:val="clear" w:color="auto" w:fill="53C072"/>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980" w:type="dxa"/>
            <w:vAlign w:val="bottom"/>
          </w:tcPr>
          <w:p>
            <w:pPr>
              <w:spacing w:after="0"/>
              <w:rPr>
                <w:sz w:val="22"/>
                <w:szCs w:val="22"/>
                <w:color w:val="auto"/>
              </w:rPr>
            </w:pPr>
          </w:p>
        </w:tc>
        <w:tc>
          <w:tcPr>
            <w:tcW w:w="3240" w:type="dxa"/>
            <w:vAlign w:val="bottom"/>
          </w:tcPr>
          <w:p>
            <w:pPr>
              <w:ind w:left="120"/>
              <w:spacing w:after="0"/>
              <w:rPr>
                <w:sz w:val="20"/>
                <w:szCs w:val="20"/>
                <w:color w:val="auto"/>
              </w:rPr>
            </w:pPr>
            <w:r>
              <w:rPr>
                <w:rFonts w:ascii="Arial" w:cs="Arial" w:eastAsia="Arial" w:hAnsi="Arial"/>
                <w:sz w:val="18"/>
                <w:szCs w:val="18"/>
                <w:color w:val="auto"/>
              </w:rPr>
              <w:t>Gallagher</w:t>
            </w:r>
          </w:p>
        </w:tc>
        <w:tc>
          <w:tcPr>
            <w:tcW w:w="2680" w:type="dxa"/>
            <w:vAlign w:val="bottom"/>
            <w:gridSpan w:val="2"/>
          </w:tcPr>
          <w:p>
            <w:pPr>
              <w:jc w:val="center"/>
              <w:ind w:left="1738"/>
              <w:spacing w:after="0"/>
              <w:rPr>
                <w:sz w:val="20"/>
                <w:szCs w:val="20"/>
                <w:color w:val="auto"/>
              </w:rPr>
            </w:pPr>
            <w:r>
              <w:rPr>
                <w:rFonts w:ascii="Arial" w:cs="Arial" w:eastAsia="Arial" w:hAnsi="Arial"/>
                <w:sz w:val="18"/>
                <w:szCs w:val="18"/>
                <w:color w:val="auto"/>
              </w:rPr>
              <w:t>​23,329</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ind w:left="240"/>
              <w:spacing w:after="0"/>
              <w:rPr>
                <w:sz w:val="20"/>
                <w:szCs w:val="20"/>
                <w:color w:val="auto"/>
              </w:rPr>
            </w:pPr>
            <w:r>
              <w:rPr>
                <w:rFonts w:ascii="Arial" w:cs="Arial" w:eastAsia="Arial" w:hAnsi="Arial"/>
                <w:sz w:val="18"/>
                <w:szCs w:val="18"/>
                <w:color w:val="auto"/>
              </w:rPr>
              <w:t>​0</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right="335"/>
              <w:spacing w:after="0"/>
              <w:rPr>
                <w:sz w:val="20"/>
                <w:szCs w:val="20"/>
                <w:color w:val="auto"/>
              </w:rPr>
            </w:pPr>
            <w:r>
              <w:rPr>
                <w:rFonts w:ascii="Arial" w:cs="Arial" w:eastAsia="Arial" w:hAnsi="Arial"/>
                <w:sz w:val="18"/>
                <w:szCs w:val="18"/>
                <w:color w:val="auto"/>
              </w:rPr>
              <w:t>​9,742</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r>
      <w:tr>
        <w:trPr>
          <w:trHeight w:val="257"/>
        </w:trPr>
        <w:tc>
          <w:tcPr>
            <w:tcW w:w="980" w:type="dxa"/>
            <w:vAlign w:val="bottom"/>
          </w:tcPr>
          <w:p>
            <w:pPr>
              <w:spacing w:after="0"/>
              <w:rPr>
                <w:sz w:val="22"/>
                <w:szCs w:val="22"/>
                <w:color w:val="auto"/>
              </w:rPr>
            </w:pPr>
          </w:p>
        </w:tc>
        <w:tc>
          <w:tcPr>
            <w:tcW w:w="32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Jacobson</w:t>
            </w:r>
          </w:p>
        </w:tc>
        <w:tc>
          <w:tcPr>
            <w:tcW w:w="2680" w:type="dxa"/>
            <w:vAlign w:val="bottom"/>
            <w:gridSpan w:val="2"/>
            <w:shd w:val="clear" w:color="auto" w:fill="CBECD5"/>
          </w:tcPr>
          <w:p>
            <w:pPr>
              <w:jc w:val="center"/>
              <w:ind w:left="1738"/>
              <w:spacing w:after="0"/>
              <w:rPr>
                <w:sz w:val="20"/>
                <w:szCs w:val="20"/>
                <w:color w:val="auto"/>
              </w:rPr>
            </w:pPr>
            <w:r>
              <w:rPr>
                <w:rFonts w:ascii="Arial" w:cs="Arial" w:eastAsia="Arial" w:hAnsi="Arial"/>
                <w:sz w:val="18"/>
                <w:szCs w:val="18"/>
                <w:color w:val="auto"/>
              </w:rPr>
              <w:t>​ 4,999</w:t>
            </w:r>
          </w:p>
        </w:tc>
        <w:tc>
          <w:tcPr>
            <w:tcW w:w="4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BECD5"/>
          </w:tcPr>
          <w:p>
            <w:pPr>
              <w:ind w:left="240"/>
              <w:spacing w:after="0"/>
              <w:rPr>
                <w:sz w:val="20"/>
                <w:szCs w:val="20"/>
                <w:color w:val="auto"/>
              </w:rPr>
            </w:pPr>
            <w:r>
              <w:rPr>
                <w:rFonts w:ascii="Arial" w:cs="Arial" w:eastAsia="Arial" w:hAnsi="Arial"/>
                <w:sz w:val="18"/>
                <w:szCs w:val="18"/>
                <w:color w:val="auto"/>
              </w:rPr>
              <w:t>​0</w:t>
            </w:r>
          </w:p>
        </w:tc>
        <w:tc>
          <w:tcPr>
            <w:tcW w:w="6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BECD5"/>
          </w:tcPr>
          <w:p>
            <w:pPr>
              <w:jc w:val="center"/>
              <w:ind w:right="335"/>
              <w:spacing w:after="0"/>
              <w:rPr>
                <w:sz w:val="20"/>
                <w:szCs w:val="20"/>
                <w:color w:val="auto"/>
              </w:rPr>
            </w:pPr>
            <w:r>
              <w:rPr>
                <w:rFonts w:ascii="Arial" w:cs="Arial" w:eastAsia="Arial" w:hAnsi="Arial"/>
                <w:sz w:val="18"/>
                <w:szCs w:val="18"/>
                <w:color w:val="auto"/>
              </w:rPr>
              <w:t>​2,087</w:t>
            </w:r>
          </w:p>
        </w:tc>
        <w:tc>
          <w:tcPr>
            <w:tcW w:w="1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r>
      <w:tr>
        <w:trPr>
          <w:trHeight w:val="256"/>
        </w:trPr>
        <w:tc>
          <w:tcPr>
            <w:tcW w:w="980" w:type="dxa"/>
            <w:vAlign w:val="bottom"/>
          </w:tcPr>
          <w:p>
            <w:pPr>
              <w:spacing w:after="0"/>
              <w:rPr>
                <w:sz w:val="22"/>
                <w:szCs w:val="22"/>
                <w:color w:val="auto"/>
              </w:rPr>
            </w:pPr>
          </w:p>
        </w:tc>
        <w:tc>
          <w:tcPr>
            <w:tcW w:w="3240" w:type="dxa"/>
            <w:vAlign w:val="bottom"/>
          </w:tcPr>
          <w:p>
            <w:pPr>
              <w:ind w:left="120"/>
              <w:spacing w:after="0"/>
              <w:rPr>
                <w:sz w:val="20"/>
                <w:szCs w:val="20"/>
                <w:color w:val="auto"/>
              </w:rPr>
            </w:pPr>
            <w:r>
              <w:rPr>
                <w:rFonts w:ascii="Arial" w:cs="Arial" w:eastAsia="Arial" w:hAnsi="Arial"/>
                <w:sz w:val="18"/>
                <w:szCs w:val="18"/>
                <w:color w:val="auto"/>
              </w:rPr>
              <w:t>Arnold</w:t>
            </w:r>
          </w:p>
        </w:tc>
        <w:tc>
          <w:tcPr>
            <w:tcW w:w="2680" w:type="dxa"/>
            <w:vAlign w:val="bottom"/>
            <w:gridSpan w:val="2"/>
          </w:tcPr>
          <w:p>
            <w:pPr>
              <w:jc w:val="center"/>
              <w:ind w:left="1738"/>
              <w:spacing w:after="0"/>
              <w:rPr>
                <w:sz w:val="20"/>
                <w:szCs w:val="20"/>
                <w:color w:val="auto"/>
              </w:rPr>
            </w:pPr>
            <w:r>
              <w:rPr>
                <w:rFonts w:ascii="Arial" w:cs="Arial" w:eastAsia="Arial" w:hAnsi="Arial"/>
                <w:sz w:val="18"/>
                <w:szCs w:val="18"/>
                <w:color w:val="auto"/>
              </w:rPr>
              <w:t>​ 3,999</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ind w:left="240"/>
              <w:spacing w:after="0"/>
              <w:rPr>
                <w:sz w:val="20"/>
                <w:szCs w:val="20"/>
                <w:color w:val="auto"/>
              </w:rPr>
            </w:pPr>
            <w:r>
              <w:rPr>
                <w:rFonts w:ascii="Arial" w:cs="Arial" w:eastAsia="Arial" w:hAnsi="Arial"/>
                <w:sz w:val="18"/>
                <w:szCs w:val="18"/>
                <w:color w:val="auto"/>
              </w:rPr>
              <w:t>​0</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right="335"/>
              <w:spacing w:after="0"/>
              <w:rPr>
                <w:sz w:val="20"/>
                <w:szCs w:val="20"/>
                <w:color w:val="auto"/>
              </w:rPr>
            </w:pPr>
            <w:r>
              <w:rPr>
                <w:rFonts w:ascii="Arial" w:cs="Arial" w:eastAsia="Arial" w:hAnsi="Arial"/>
                <w:sz w:val="18"/>
                <w:szCs w:val="18"/>
                <w:color w:val="auto"/>
              </w:rPr>
              <w:t>​1,670</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r>
      <w:tr>
        <w:trPr>
          <w:trHeight w:val="257"/>
        </w:trPr>
        <w:tc>
          <w:tcPr>
            <w:tcW w:w="980" w:type="dxa"/>
            <w:vAlign w:val="bottom"/>
          </w:tcPr>
          <w:p>
            <w:pPr>
              <w:spacing w:after="0"/>
              <w:rPr>
                <w:sz w:val="22"/>
                <w:szCs w:val="22"/>
                <w:color w:val="auto"/>
              </w:rPr>
            </w:pPr>
          </w:p>
        </w:tc>
        <w:tc>
          <w:tcPr>
            <w:tcW w:w="32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Chan</w:t>
            </w:r>
          </w:p>
        </w:tc>
        <w:tc>
          <w:tcPr>
            <w:tcW w:w="2680" w:type="dxa"/>
            <w:vAlign w:val="bottom"/>
            <w:gridSpan w:val="2"/>
            <w:shd w:val="clear" w:color="auto" w:fill="CBECD5"/>
          </w:tcPr>
          <w:p>
            <w:pPr>
              <w:jc w:val="center"/>
              <w:ind w:left="1738"/>
              <w:spacing w:after="0"/>
              <w:rPr>
                <w:sz w:val="20"/>
                <w:szCs w:val="20"/>
                <w:color w:val="auto"/>
              </w:rPr>
            </w:pPr>
            <w:r>
              <w:rPr>
                <w:rFonts w:ascii="Arial" w:cs="Arial" w:eastAsia="Arial" w:hAnsi="Arial"/>
                <w:sz w:val="18"/>
                <w:szCs w:val="18"/>
                <w:color w:val="auto"/>
              </w:rPr>
              <w:t>​ 2,500</w:t>
            </w:r>
          </w:p>
        </w:tc>
        <w:tc>
          <w:tcPr>
            <w:tcW w:w="4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BECD5"/>
          </w:tcPr>
          <w:p>
            <w:pPr>
              <w:ind w:left="240"/>
              <w:spacing w:after="0"/>
              <w:rPr>
                <w:sz w:val="20"/>
                <w:szCs w:val="20"/>
                <w:color w:val="auto"/>
              </w:rPr>
            </w:pPr>
            <w:r>
              <w:rPr>
                <w:rFonts w:ascii="Arial" w:cs="Arial" w:eastAsia="Arial" w:hAnsi="Arial"/>
                <w:sz w:val="18"/>
                <w:szCs w:val="18"/>
                <w:color w:val="auto"/>
              </w:rPr>
              <w:t>​0</w:t>
            </w:r>
          </w:p>
        </w:tc>
        <w:tc>
          <w:tcPr>
            <w:tcW w:w="6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BECD5"/>
          </w:tcPr>
          <w:p>
            <w:pPr>
              <w:jc w:val="center"/>
              <w:ind w:right="335"/>
              <w:spacing w:after="0"/>
              <w:rPr>
                <w:sz w:val="20"/>
                <w:szCs w:val="20"/>
                <w:color w:val="auto"/>
              </w:rPr>
            </w:pPr>
            <w:r>
              <w:rPr>
                <w:rFonts w:ascii="Arial" w:cs="Arial" w:eastAsia="Arial" w:hAnsi="Arial"/>
                <w:sz w:val="18"/>
                <w:szCs w:val="18"/>
                <w:color w:val="auto"/>
              </w:rPr>
              <w:t>​1,044</w:t>
            </w:r>
          </w:p>
        </w:tc>
        <w:tc>
          <w:tcPr>
            <w:tcW w:w="1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r>
      <w:tr>
        <w:trPr>
          <w:trHeight w:val="290"/>
        </w:trPr>
        <w:tc>
          <w:tcPr>
            <w:tcW w:w="980" w:type="dxa"/>
            <w:vAlign w:val="bottom"/>
          </w:tcPr>
          <w:p>
            <w:pPr>
              <w:spacing w:after="0"/>
              <w:rPr>
                <w:sz w:val="24"/>
                <w:szCs w:val="24"/>
                <w:color w:val="auto"/>
              </w:rPr>
            </w:pPr>
          </w:p>
        </w:tc>
        <w:tc>
          <w:tcPr>
            <w:tcW w:w="3240" w:type="dxa"/>
            <w:vAlign w:val="bottom"/>
            <w:tcBorders>
              <w:bottom w:val="single" w:sz="8" w:color="53C072"/>
            </w:tcBorders>
          </w:tcPr>
          <w:p>
            <w:pPr>
              <w:ind w:left="120"/>
              <w:spacing w:after="0"/>
              <w:rPr>
                <w:sz w:val="20"/>
                <w:szCs w:val="20"/>
                <w:color w:val="auto"/>
              </w:rPr>
            </w:pPr>
            <w:r>
              <w:rPr>
                <w:rFonts w:ascii="Arial" w:cs="Arial" w:eastAsia="Arial" w:hAnsi="Arial"/>
                <w:sz w:val="18"/>
                <w:szCs w:val="18"/>
                <w:color w:val="auto"/>
              </w:rPr>
              <w:t>McCoy</w:t>
            </w:r>
          </w:p>
        </w:tc>
        <w:tc>
          <w:tcPr>
            <w:tcW w:w="2680" w:type="dxa"/>
            <w:vAlign w:val="bottom"/>
            <w:tcBorders>
              <w:bottom w:val="single" w:sz="8" w:color="53C072"/>
            </w:tcBorders>
            <w:gridSpan w:val="2"/>
          </w:tcPr>
          <w:p>
            <w:pPr>
              <w:jc w:val="center"/>
              <w:ind w:left="1738"/>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4,332</w:t>
            </w:r>
          </w:p>
        </w:tc>
        <w:tc>
          <w:tcPr>
            <w:tcW w:w="40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53C072"/>
            </w:tcBorders>
          </w:tcPr>
          <w:p>
            <w:pPr>
              <w:ind w:left="2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0</w:t>
            </w:r>
          </w:p>
        </w:tc>
        <w:tc>
          <w:tcPr>
            <w:tcW w:w="660" w:type="dxa"/>
            <w:vAlign w:val="bottom"/>
            <w:tcBorders>
              <w:bottom w:val="single" w:sz="8" w:color="53C072"/>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53C072"/>
            </w:tcBorders>
          </w:tcPr>
          <w:p>
            <w:pPr>
              <w:jc w:val="center"/>
              <w:ind w:right="335"/>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1,809</w:t>
            </w:r>
          </w:p>
        </w:tc>
        <w:tc>
          <w:tcPr>
            <w:tcW w:w="12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r>
      <w:tr>
        <w:trPr>
          <w:trHeight w:val="323"/>
        </w:trPr>
        <w:tc>
          <w:tcPr>
            <w:tcW w:w="980" w:type="dxa"/>
            <w:vAlign w:val="bottom"/>
          </w:tcPr>
          <w:p>
            <w:pPr>
              <w:spacing w:after="0"/>
              <w:rPr>
                <w:sz w:val="24"/>
                <w:szCs w:val="24"/>
                <w:color w:val="auto"/>
              </w:rPr>
            </w:pPr>
          </w:p>
        </w:tc>
        <w:tc>
          <w:tcPr>
            <w:tcW w:w="5920" w:type="dxa"/>
            <w:vAlign w:val="bottom"/>
            <w:gridSpan w:val="3"/>
          </w:tcPr>
          <w:p>
            <w:pPr>
              <w:ind w:left="20"/>
              <w:spacing w:after="0"/>
              <w:rPr>
                <w:sz w:val="20"/>
                <w:szCs w:val="20"/>
                <w:color w:val="auto"/>
              </w:rPr>
            </w:pPr>
            <w:r>
              <w:rPr>
                <w:rFonts w:ascii="Arial" w:cs="Arial" w:eastAsia="Arial" w:hAnsi="Arial"/>
                <w:sz w:val="18"/>
                <w:szCs w:val="18"/>
                <w:b w:val="1"/>
                <w:bCs w:val="1"/>
                <w:color w:val="53C072"/>
              </w:rPr>
              <w:t>Fiscal 2025 results for Fiscal 2025-2027 Performance Share Plan</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7"/>
        </w:trPr>
        <w:tc>
          <w:tcPr>
            <w:tcW w:w="9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3"/>
        </w:trPr>
        <w:tc>
          <w:tcPr>
            <w:tcW w:w="980" w:type="dxa"/>
            <w:vAlign w:val="bottom"/>
          </w:tcPr>
          <w:p>
            <w:pPr>
              <w:spacing w:after="0"/>
              <w:rPr>
                <w:sz w:val="16"/>
                <w:szCs w:val="16"/>
                <w:color w:val="auto"/>
              </w:rPr>
            </w:pPr>
          </w:p>
        </w:tc>
        <w:tc>
          <w:tcPr>
            <w:tcW w:w="3240" w:type="dxa"/>
            <w:vAlign w:val="bottom"/>
            <w:shd w:val="clear" w:color="auto" w:fill="53C072"/>
          </w:tcPr>
          <w:p>
            <w:pPr>
              <w:spacing w:after="0"/>
              <w:rPr>
                <w:sz w:val="16"/>
                <w:szCs w:val="16"/>
                <w:color w:val="auto"/>
              </w:rPr>
            </w:pPr>
          </w:p>
        </w:tc>
        <w:tc>
          <w:tcPr>
            <w:tcW w:w="2080" w:type="dxa"/>
            <w:vAlign w:val="bottom"/>
            <w:shd w:val="clear" w:color="auto" w:fill="53C072"/>
          </w:tcPr>
          <w:p>
            <w:pPr>
              <w:spacing w:after="0"/>
              <w:rPr>
                <w:sz w:val="16"/>
                <w:szCs w:val="16"/>
                <w:color w:val="auto"/>
              </w:rPr>
            </w:pPr>
          </w:p>
        </w:tc>
        <w:tc>
          <w:tcPr>
            <w:tcW w:w="600" w:type="dxa"/>
            <w:vAlign w:val="bottom"/>
            <w:shd w:val="clear" w:color="auto" w:fill="53C072"/>
          </w:tcPr>
          <w:p>
            <w:pPr>
              <w:spacing w:after="0"/>
              <w:rPr>
                <w:sz w:val="16"/>
                <w:szCs w:val="16"/>
                <w:color w:val="auto"/>
              </w:rPr>
            </w:pPr>
          </w:p>
        </w:tc>
        <w:tc>
          <w:tcPr>
            <w:tcW w:w="400" w:type="dxa"/>
            <w:vAlign w:val="bottom"/>
            <w:shd w:val="clear" w:color="auto" w:fill="53C072"/>
          </w:tcPr>
          <w:p>
            <w:pPr>
              <w:spacing w:after="0"/>
              <w:rPr>
                <w:sz w:val="16"/>
                <w:szCs w:val="16"/>
                <w:color w:val="auto"/>
              </w:rPr>
            </w:pPr>
          </w:p>
        </w:tc>
        <w:tc>
          <w:tcPr>
            <w:tcW w:w="760" w:type="dxa"/>
            <w:vAlign w:val="bottom"/>
            <w:shd w:val="clear" w:color="auto" w:fill="53C072"/>
          </w:tcPr>
          <w:p>
            <w:pPr>
              <w:spacing w:after="0"/>
              <w:rPr>
                <w:sz w:val="16"/>
                <w:szCs w:val="16"/>
                <w:color w:val="auto"/>
              </w:rPr>
            </w:pPr>
          </w:p>
        </w:tc>
        <w:tc>
          <w:tcPr>
            <w:tcW w:w="660" w:type="dxa"/>
            <w:vAlign w:val="bottom"/>
            <w:shd w:val="clear" w:color="auto" w:fill="53C072"/>
          </w:tcPr>
          <w:p>
            <w:pPr>
              <w:spacing w:after="0"/>
              <w:rPr>
                <w:sz w:val="16"/>
                <w:szCs w:val="16"/>
                <w:color w:val="auto"/>
              </w:rPr>
            </w:pPr>
          </w:p>
        </w:tc>
        <w:tc>
          <w:tcPr>
            <w:tcW w:w="900" w:type="dxa"/>
            <w:vAlign w:val="bottom"/>
            <w:shd w:val="clear" w:color="auto" w:fill="53C072"/>
          </w:tcPr>
          <w:p>
            <w:pPr>
              <w:jc w:val="center"/>
              <w:ind w:left="95"/>
              <w:spacing w:after="0"/>
              <w:rPr>
                <w:sz w:val="20"/>
                <w:szCs w:val="20"/>
                <w:color w:val="auto"/>
              </w:rPr>
            </w:pPr>
            <w:r>
              <w:rPr>
                <w:rFonts w:ascii="Arial" w:cs="Arial" w:eastAsia="Arial" w:hAnsi="Arial"/>
                <w:sz w:val="14"/>
                <w:szCs w:val="14"/>
                <w:b w:val="1"/>
                <w:bCs w:val="1"/>
                <w:color w:val="FEFEFE"/>
              </w:rPr>
              <w:t>Weighted</w:t>
            </w:r>
          </w:p>
        </w:tc>
        <w:tc>
          <w:tcPr>
            <w:tcW w:w="120" w:type="dxa"/>
            <w:vAlign w:val="bottom"/>
            <w:shd w:val="clear" w:color="auto" w:fill="53C072"/>
          </w:tcPr>
          <w:p>
            <w:pPr>
              <w:spacing w:after="0"/>
              <w:rPr>
                <w:sz w:val="16"/>
                <w:szCs w:val="16"/>
                <w:color w:val="auto"/>
              </w:rPr>
            </w:pPr>
          </w:p>
        </w:tc>
        <w:tc>
          <w:tcPr>
            <w:tcW w:w="980" w:type="dxa"/>
            <w:vAlign w:val="bottom"/>
          </w:tcPr>
          <w:p>
            <w:pPr>
              <w:spacing w:after="0"/>
              <w:rPr>
                <w:sz w:val="16"/>
                <w:szCs w:val="16"/>
                <w:color w:val="auto"/>
              </w:rPr>
            </w:pPr>
          </w:p>
        </w:tc>
      </w:tr>
      <w:tr>
        <w:trPr>
          <w:trHeight w:val="171"/>
        </w:trPr>
        <w:tc>
          <w:tcPr>
            <w:tcW w:w="980" w:type="dxa"/>
            <w:vAlign w:val="bottom"/>
          </w:tcPr>
          <w:p>
            <w:pPr>
              <w:spacing w:after="0"/>
              <w:rPr>
                <w:sz w:val="14"/>
                <w:szCs w:val="14"/>
                <w:color w:val="auto"/>
              </w:rPr>
            </w:pPr>
          </w:p>
        </w:tc>
        <w:tc>
          <w:tcPr>
            <w:tcW w:w="324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Goal*</w:t>
            </w:r>
          </w:p>
        </w:tc>
        <w:tc>
          <w:tcPr>
            <w:tcW w:w="2080" w:type="dxa"/>
            <w:vAlign w:val="bottom"/>
            <w:shd w:val="clear" w:color="auto" w:fill="53C072"/>
          </w:tcPr>
          <w:p>
            <w:pPr>
              <w:jc w:val="center"/>
              <w:ind w:left="1258"/>
              <w:spacing w:after="0"/>
              <w:rPr>
                <w:sz w:val="20"/>
                <w:szCs w:val="20"/>
                <w:color w:val="auto"/>
              </w:rPr>
            </w:pPr>
            <w:r>
              <w:rPr>
                <w:rFonts w:ascii="Arial" w:cs="Arial" w:eastAsia="Arial" w:hAnsi="Arial"/>
                <w:sz w:val="14"/>
                <w:szCs w:val="14"/>
                <w:b w:val="1"/>
                <w:bCs w:val="1"/>
                <w:color w:val="FEFEFE"/>
                <w:w w:val="98"/>
              </w:rPr>
              <w:t>Target</w:t>
            </w:r>
          </w:p>
        </w:tc>
        <w:tc>
          <w:tcPr>
            <w:tcW w:w="1000" w:type="dxa"/>
            <w:vAlign w:val="bottom"/>
            <w:gridSpan w:val="2"/>
            <w:shd w:val="clear" w:color="auto" w:fill="53C072"/>
          </w:tcPr>
          <w:p>
            <w:pPr>
              <w:jc w:val="center"/>
              <w:spacing w:after="0"/>
              <w:rPr>
                <w:sz w:val="20"/>
                <w:szCs w:val="20"/>
                <w:color w:val="auto"/>
              </w:rPr>
            </w:pPr>
            <w:r>
              <w:rPr>
                <w:rFonts w:ascii="Arial" w:cs="Arial" w:eastAsia="Arial" w:hAnsi="Arial"/>
                <w:sz w:val="14"/>
                <w:szCs w:val="14"/>
                <w:b w:val="1"/>
                <w:bCs w:val="1"/>
                <w:color w:val="FEFEFE"/>
              </w:rPr>
              <w:t>Actual</w:t>
            </w:r>
          </w:p>
        </w:tc>
        <w:tc>
          <w:tcPr>
            <w:tcW w:w="76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Payout</w:t>
            </w:r>
          </w:p>
        </w:tc>
        <w:tc>
          <w:tcPr>
            <w:tcW w:w="66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Weight</w:t>
            </w:r>
          </w:p>
        </w:tc>
        <w:tc>
          <w:tcPr>
            <w:tcW w:w="900" w:type="dxa"/>
            <w:vAlign w:val="bottom"/>
            <w:shd w:val="clear" w:color="auto" w:fill="53C072"/>
          </w:tcPr>
          <w:p>
            <w:pPr>
              <w:jc w:val="center"/>
              <w:ind w:left="135"/>
              <w:spacing w:after="0"/>
              <w:rPr>
                <w:sz w:val="20"/>
                <w:szCs w:val="20"/>
                <w:color w:val="auto"/>
              </w:rPr>
            </w:pPr>
            <w:r>
              <w:rPr>
                <w:rFonts w:ascii="Arial" w:cs="Arial" w:eastAsia="Arial" w:hAnsi="Arial"/>
                <w:sz w:val="14"/>
                <w:szCs w:val="14"/>
                <w:b w:val="1"/>
                <w:bCs w:val="1"/>
                <w:color w:val="FEFEFE"/>
              </w:rPr>
              <w:t>Payout</w:t>
            </w:r>
          </w:p>
        </w:tc>
        <w:tc>
          <w:tcPr>
            <w:tcW w:w="120" w:type="dxa"/>
            <w:vAlign w:val="bottom"/>
            <w:shd w:val="clear" w:color="auto" w:fill="53C072"/>
          </w:tcPr>
          <w:p>
            <w:pPr>
              <w:spacing w:after="0"/>
              <w:rPr>
                <w:sz w:val="14"/>
                <w:szCs w:val="14"/>
                <w:color w:val="auto"/>
              </w:rPr>
            </w:pPr>
          </w:p>
        </w:tc>
        <w:tc>
          <w:tcPr>
            <w:tcW w:w="980" w:type="dxa"/>
            <w:vAlign w:val="bottom"/>
          </w:tcPr>
          <w:p>
            <w:pPr>
              <w:spacing w:after="0"/>
              <w:rPr>
                <w:sz w:val="14"/>
                <w:szCs w:val="14"/>
                <w:color w:val="auto"/>
              </w:rPr>
            </w:pPr>
          </w:p>
        </w:tc>
      </w:tr>
      <w:tr>
        <w:trPr>
          <w:trHeight w:val="216"/>
        </w:trPr>
        <w:tc>
          <w:tcPr>
            <w:tcW w:w="980" w:type="dxa"/>
            <w:vAlign w:val="bottom"/>
          </w:tcPr>
          <w:p>
            <w:pPr>
              <w:spacing w:after="0"/>
              <w:rPr>
                <w:sz w:val="18"/>
                <w:szCs w:val="18"/>
                <w:color w:val="auto"/>
              </w:rPr>
            </w:pPr>
          </w:p>
        </w:tc>
        <w:tc>
          <w:tcPr>
            <w:tcW w:w="3240" w:type="dxa"/>
            <w:vAlign w:val="bottom"/>
          </w:tcPr>
          <w:p>
            <w:pPr>
              <w:ind w:left="120"/>
              <w:spacing w:after="0"/>
              <w:rPr>
                <w:sz w:val="20"/>
                <w:szCs w:val="20"/>
                <w:color w:val="auto"/>
              </w:rPr>
            </w:pPr>
            <w:r>
              <w:rPr>
                <w:rFonts w:ascii="Arial" w:cs="Arial" w:eastAsia="Arial" w:hAnsi="Arial"/>
                <w:sz w:val="18"/>
                <w:szCs w:val="18"/>
                <w:color w:val="auto"/>
              </w:rPr>
              <w:t>ROIC&gt;WACC</w:t>
            </w:r>
          </w:p>
        </w:tc>
        <w:tc>
          <w:tcPr>
            <w:tcW w:w="2080" w:type="dxa"/>
            <w:vAlign w:val="bottom"/>
          </w:tcPr>
          <w:p>
            <w:pPr>
              <w:jc w:val="center"/>
              <w:ind w:left="1238"/>
              <w:spacing w:after="0"/>
              <w:rPr>
                <w:sz w:val="20"/>
                <w:szCs w:val="20"/>
                <w:color w:val="auto"/>
              </w:rPr>
            </w:pPr>
            <w:r>
              <w:rPr>
                <w:rFonts w:ascii="Arial" w:cs="Arial" w:eastAsia="Arial" w:hAnsi="Arial"/>
                <w:sz w:val="18"/>
                <w:szCs w:val="18"/>
                <w:color w:val="auto"/>
                <w:w w:val="99"/>
              </w:rPr>
              <w:t>150 bps</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&lt;227 bps</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660" w:type="dxa"/>
            <w:vAlign w:val="bottom"/>
          </w:tcPr>
          <w:p>
            <w:pPr>
              <w:jc w:val="center"/>
              <w:spacing w:after="0"/>
              <w:rPr>
                <w:sz w:val="20"/>
                <w:szCs w:val="20"/>
                <w:color w:val="auto"/>
              </w:rPr>
            </w:pPr>
            <w:r>
              <w:rPr>
                <w:rFonts w:ascii="Arial" w:cs="Arial" w:eastAsia="Arial" w:hAnsi="Arial"/>
                <w:sz w:val="18"/>
                <w:szCs w:val="18"/>
                <w:color w:val="auto"/>
                <w:w w:val="98"/>
              </w:rPr>
              <w:t>50.00%</w:t>
            </w:r>
          </w:p>
        </w:tc>
        <w:tc>
          <w:tcPr>
            <w:tcW w:w="900" w:type="dxa"/>
            <w:vAlign w:val="bottom"/>
          </w:tcPr>
          <w:p>
            <w:pPr>
              <w:jc w:val="center"/>
              <w:ind w:left="155"/>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2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Adjusted EPS Growth</w:t>
            </w:r>
          </w:p>
        </w:tc>
        <w:tc>
          <w:tcPr>
            <w:tcW w:w="2080" w:type="dxa"/>
            <w:vAlign w:val="bottom"/>
            <w:shd w:val="clear" w:color="auto" w:fill="CBECD5"/>
          </w:tcPr>
          <w:p>
            <w:pPr>
              <w:jc w:val="center"/>
              <w:ind w:left="1238"/>
              <w:spacing w:after="0"/>
              <w:rPr>
                <w:sz w:val="20"/>
                <w:szCs w:val="20"/>
                <w:color w:val="auto"/>
              </w:rPr>
            </w:pPr>
            <w:r>
              <w:rPr>
                <w:rFonts w:ascii="Arial" w:cs="Arial" w:eastAsia="Arial" w:hAnsi="Arial"/>
                <w:sz w:val="18"/>
                <w:szCs w:val="18"/>
                <w:color w:val="auto"/>
                <w:w w:val="95"/>
              </w:rPr>
              <w:t>8th</w:t>
            </w:r>
          </w:p>
        </w:tc>
        <w:tc>
          <w:tcPr>
            <w:tcW w:w="1000" w:type="dxa"/>
            <w:vAlign w:val="bottom"/>
            <w:gridSpan w:val="2"/>
            <w:shd w:val="clear" w:color="auto" w:fill="CBECD5"/>
          </w:tcPr>
          <w:p>
            <w:pPr>
              <w:jc w:val="center"/>
              <w:spacing w:after="0"/>
              <w:rPr>
                <w:sz w:val="20"/>
                <w:szCs w:val="20"/>
                <w:color w:val="auto"/>
              </w:rPr>
            </w:pPr>
            <w:r>
              <w:rPr>
                <w:rFonts w:ascii="Arial" w:cs="Arial" w:eastAsia="Arial" w:hAnsi="Arial"/>
                <w:sz w:val="18"/>
                <w:szCs w:val="18"/>
                <w:color w:val="auto"/>
                <w:w w:val="96"/>
              </w:rPr>
              <w:t>15th</w:t>
            </w:r>
          </w:p>
        </w:tc>
        <w:tc>
          <w:tcPr>
            <w:tcW w:w="76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92"/>
              </w:rPr>
              <w:t>0%</w:t>
            </w:r>
          </w:p>
        </w:tc>
        <w:tc>
          <w:tcPr>
            <w:tcW w:w="66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98"/>
              </w:rPr>
              <w:t>50.00%</w:t>
            </w:r>
          </w:p>
        </w:tc>
        <w:tc>
          <w:tcPr>
            <w:tcW w:w="900" w:type="dxa"/>
            <w:vAlign w:val="bottom"/>
            <w:shd w:val="clear" w:color="auto" w:fill="CBECD5"/>
          </w:tcPr>
          <w:p>
            <w:pPr>
              <w:jc w:val="center"/>
              <w:ind w:left="155"/>
              <w:spacing w:after="0"/>
              <w:rPr>
                <w:sz w:val="20"/>
                <w:szCs w:val="20"/>
                <w:color w:val="auto"/>
              </w:rPr>
            </w:pPr>
            <w:r>
              <w:rPr>
                <w:rFonts w:ascii="Arial" w:cs="Arial" w:eastAsia="Arial" w:hAnsi="Arial"/>
                <w:sz w:val="18"/>
                <w:szCs w:val="18"/>
                <w:color w:val="auto"/>
                <w:w w:val="99"/>
              </w:rPr>
              <w:t>0%</w:t>
            </w:r>
          </w:p>
        </w:tc>
        <w:tc>
          <w:tcPr>
            <w:tcW w:w="120" w:type="dxa"/>
            <w:vAlign w:val="bottom"/>
            <w:shd w:val="clear" w:color="auto" w:fill="CBECD5"/>
          </w:tcPr>
          <w:p>
            <w:pPr>
              <w:spacing w:after="0"/>
              <w:rPr>
                <w:sz w:val="18"/>
                <w:szCs w:val="18"/>
                <w:color w:val="auto"/>
              </w:rPr>
            </w:pPr>
          </w:p>
        </w:tc>
        <w:tc>
          <w:tcPr>
            <w:tcW w:w="980" w:type="dxa"/>
            <w:vAlign w:val="bottom"/>
          </w:tcPr>
          <w:p>
            <w:pPr>
              <w:spacing w:after="0"/>
              <w:rPr>
                <w:sz w:val="18"/>
                <w:szCs w:val="18"/>
                <w:color w:val="auto"/>
              </w:rPr>
            </w:pPr>
          </w:p>
        </w:tc>
      </w:tr>
      <w:tr>
        <w:trPr>
          <w:trHeight w:val="257"/>
        </w:trPr>
        <w:tc>
          <w:tcPr>
            <w:tcW w:w="980" w:type="dxa"/>
            <w:vAlign w:val="bottom"/>
          </w:tcPr>
          <w:p>
            <w:pPr>
              <w:spacing w:after="0"/>
              <w:rPr>
                <w:sz w:val="22"/>
                <w:szCs w:val="22"/>
                <w:color w:val="auto"/>
              </w:rPr>
            </w:pPr>
          </w:p>
        </w:tc>
        <w:tc>
          <w:tcPr>
            <w:tcW w:w="3240" w:type="dxa"/>
            <w:vAlign w:val="bottom"/>
          </w:tcPr>
          <w:p>
            <w:pPr>
              <w:ind w:left="120"/>
              <w:spacing w:after="0"/>
              <w:rPr>
                <w:sz w:val="20"/>
                <w:szCs w:val="20"/>
                <w:color w:val="auto"/>
              </w:rPr>
            </w:pPr>
            <w:r>
              <w:rPr>
                <w:rFonts w:ascii="Arial" w:cs="Arial" w:eastAsia="Arial" w:hAnsi="Arial"/>
                <w:sz w:val="18"/>
                <w:szCs w:val="18"/>
                <w:color w:val="auto"/>
              </w:rPr>
              <w:t>rTSR Modifier</w:t>
            </w:r>
          </w:p>
        </w:tc>
        <w:tc>
          <w:tcPr>
            <w:tcW w:w="2080" w:type="dxa"/>
            <w:vAlign w:val="bottom"/>
          </w:tcPr>
          <w:p>
            <w:pPr>
              <w:jc w:val="center"/>
              <w:ind w:left="1238"/>
              <w:spacing w:after="0" w:line="256" w:lineRule="exact"/>
              <w:rPr>
                <w:sz w:val="20"/>
                <w:szCs w:val="20"/>
                <w:color w:val="auto"/>
              </w:rPr>
            </w:pPr>
            <w:r>
              <w:rPr>
                <w:rFonts w:ascii="Arial" w:cs="Arial" w:eastAsia="Arial" w:hAnsi="Arial"/>
                <w:sz w:val="29"/>
                <w:szCs w:val="29"/>
                <w:color w:val="auto"/>
                <w:vertAlign w:val="subscript"/>
              </w:rPr>
              <w:t>8</w:t>
            </w:r>
            <w:r>
              <w:rPr>
                <w:rFonts w:ascii="Arial" w:cs="Arial" w:eastAsia="Arial" w:hAnsi="Arial"/>
                <w:sz w:val="11"/>
                <w:szCs w:val="11"/>
                <w:color w:val="auto"/>
              </w:rPr>
              <w:t>th</w:t>
            </w:r>
          </w:p>
        </w:tc>
        <w:tc>
          <w:tcPr>
            <w:tcW w:w="1000" w:type="dxa"/>
            <w:vAlign w:val="bottom"/>
            <w:gridSpan w:val="2"/>
          </w:tcPr>
          <w:p>
            <w:pPr>
              <w:jc w:val="center"/>
              <w:spacing w:after="0" w:line="256" w:lineRule="exact"/>
              <w:rPr>
                <w:sz w:val="20"/>
                <w:szCs w:val="20"/>
                <w:color w:val="auto"/>
              </w:rPr>
            </w:pPr>
            <w:r>
              <w:rPr>
                <w:rFonts w:ascii="Arial" w:cs="Arial" w:eastAsia="Arial" w:hAnsi="Arial"/>
                <w:sz w:val="29"/>
                <w:szCs w:val="29"/>
                <w:color w:val="auto"/>
                <w:w w:val="90"/>
                <w:vertAlign w:val="subscript"/>
              </w:rPr>
              <w:t>9</w:t>
            </w:r>
            <w:r>
              <w:rPr>
                <w:rFonts w:ascii="Arial" w:cs="Arial" w:eastAsia="Arial" w:hAnsi="Arial"/>
                <w:sz w:val="11"/>
                <w:szCs w:val="11"/>
                <w:color w:val="auto"/>
                <w:w w:val="90"/>
              </w:rPr>
              <w:t>th</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660" w:type="dxa"/>
            <w:vAlign w:val="bottom"/>
          </w:tcPr>
          <w:p>
            <w:pPr>
              <w:jc w:val="center"/>
              <w:ind w:left="36"/>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155"/>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980" w:type="dxa"/>
            <w:vAlign w:val="bottom"/>
          </w:tcPr>
          <w:p>
            <w:pPr>
              <w:spacing w:after="0"/>
              <w:rPr>
                <w:sz w:val="24"/>
                <w:szCs w:val="24"/>
                <w:color w:val="auto"/>
              </w:rPr>
            </w:pPr>
          </w:p>
        </w:tc>
        <w:tc>
          <w:tcPr>
            <w:tcW w:w="3240" w:type="dxa"/>
            <w:vAlign w:val="bottom"/>
            <w:tcBorders>
              <w:bottom w:val="single" w:sz="8" w:color="53C072"/>
            </w:tcBorders>
            <w:shd w:val="clear" w:color="auto" w:fill="CBECD5"/>
          </w:tcPr>
          <w:p>
            <w:pPr>
              <w:ind w:left="120"/>
              <w:spacing w:after="0"/>
              <w:rPr>
                <w:sz w:val="20"/>
                <w:szCs w:val="20"/>
                <w:color w:val="auto"/>
              </w:rPr>
            </w:pPr>
            <w:r>
              <w:rPr>
                <w:rFonts w:ascii="Arial" w:cs="Arial" w:eastAsia="Arial" w:hAnsi="Arial"/>
                <w:sz w:val="18"/>
                <w:szCs w:val="18"/>
                <w:color w:val="auto"/>
              </w:rPr>
              <w:t>Total Earned</w:t>
            </w:r>
          </w:p>
        </w:tc>
        <w:tc>
          <w:tcPr>
            <w:tcW w:w="2080" w:type="dxa"/>
            <w:vAlign w:val="bottom"/>
            <w:tcBorders>
              <w:bottom w:val="single" w:sz="8" w:color="53C072"/>
            </w:tcBorders>
            <w:shd w:val="clear" w:color="auto" w:fill="CBECD5"/>
          </w:tcPr>
          <w:p>
            <w:pPr>
              <w:jc w:val="center"/>
              <w:ind w:left="129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53C072"/>
            </w:tcBorders>
            <w:shd w:val="clear" w:color="auto" w:fill="CBECD5"/>
          </w:tcPr>
          <w:p>
            <w:pPr>
              <w:jc w:val="center"/>
              <w:ind w:left="42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53C072"/>
            </w:tcBorders>
            <w:shd w:val="clear" w:color="auto" w:fill="CBECD5"/>
          </w:tcPr>
          <w:p>
            <w:pPr>
              <w:spacing w:after="0"/>
              <w:rPr>
                <w:sz w:val="24"/>
                <w:szCs w:val="24"/>
                <w:color w:val="auto"/>
              </w:rPr>
            </w:pPr>
          </w:p>
        </w:tc>
        <w:tc>
          <w:tcPr>
            <w:tcW w:w="760" w:type="dxa"/>
            <w:vAlign w:val="bottom"/>
            <w:tcBorders>
              <w:bottom w:val="single" w:sz="8" w:color="53C072"/>
            </w:tcBorders>
            <w:shd w:val="clear" w:color="auto" w:fill="CBECD5"/>
          </w:tcPr>
          <w:p>
            <w:pPr>
              <w:spacing w:after="0"/>
              <w:rPr>
                <w:sz w:val="24"/>
                <w:szCs w:val="24"/>
                <w:color w:val="auto"/>
              </w:rPr>
            </w:pPr>
          </w:p>
        </w:tc>
        <w:tc>
          <w:tcPr>
            <w:tcW w:w="660" w:type="dxa"/>
            <w:vAlign w:val="bottom"/>
            <w:tcBorders>
              <w:bottom w:val="single" w:sz="8" w:color="53C072"/>
            </w:tcBorders>
            <w:shd w:val="clear" w:color="auto" w:fill="CBECD5"/>
          </w:tcPr>
          <w:p>
            <w:pPr>
              <w:jc w:val="center"/>
              <w:ind w:left="3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53C072"/>
            </w:tcBorders>
            <w:shd w:val="clear" w:color="auto" w:fill="CBECD5"/>
          </w:tcPr>
          <w:p>
            <w:pPr>
              <w:jc w:val="center"/>
              <w:ind w:left="155"/>
              <w:spacing w:after="0"/>
              <w:rPr>
                <w:sz w:val="20"/>
                <w:szCs w:val="20"/>
                <w:color w:val="auto"/>
              </w:rPr>
            </w:pPr>
            <w:r>
              <w:rPr>
                <w:rFonts w:ascii="Arial" w:cs="Arial" w:eastAsia="Arial" w:hAnsi="Arial"/>
                <w:sz w:val="18"/>
                <w:szCs w:val="18"/>
                <w:color w:val="auto"/>
                <w:w w:val="99"/>
              </w:rPr>
              <w:t>0%</w:t>
            </w:r>
          </w:p>
        </w:tc>
        <w:tc>
          <w:tcPr>
            <w:tcW w:w="120" w:type="dxa"/>
            <w:vAlign w:val="bottom"/>
            <w:tcBorders>
              <w:bottom w:val="single" w:sz="8" w:color="53C072"/>
            </w:tcBorders>
            <w:shd w:val="clear" w:color="auto" w:fill="CBECD5"/>
          </w:tcPr>
          <w:p>
            <w:pPr>
              <w:spacing w:after="0"/>
              <w:rPr>
                <w:sz w:val="24"/>
                <w:szCs w:val="24"/>
                <w:color w:val="auto"/>
              </w:rPr>
            </w:pPr>
          </w:p>
        </w:tc>
        <w:tc>
          <w:tcPr>
            <w:tcW w:w="980" w:type="dxa"/>
            <w:vAlign w:val="bottom"/>
          </w:tcPr>
          <w:p>
            <w:pPr>
              <w:spacing w:after="0"/>
              <w:rPr>
                <w:sz w:val="24"/>
                <w:szCs w:val="24"/>
                <w:color w:val="auto"/>
              </w:rPr>
            </w:pPr>
          </w:p>
        </w:tc>
      </w:tr>
      <w:tr>
        <w:trPr>
          <w:trHeight w:val="625"/>
        </w:trPr>
        <w:tc>
          <w:tcPr>
            <w:tcW w:w="9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980" w:type="dxa"/>
            <w:vAlign w:val="bottom"/>
          </w:tcPr>
          <w:p>
            <w:pPr>
              <w:spacing w:after="0"/>
              <w:rPr>
                <w:sz w:val="24"/>
                <w:szCs w:val="24"/>
                <w:color w:val="auto"/>
              </w:rPr>
            </w:pPr>
          </w:p>
        </w:tc>
      </w:tr>
      <w:tr>
        <w:trPr>
          <w:trHeight w:val="462"/>
        </w:trPr>
        <w:tc>
          <w:tcPr>
            <w:tcW w:w="9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-522605</wp:posOffset>
            </wp:positionV>
            <wp:extent cx="1243330" cy="2400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43330" cy="24003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43" w:lineRule="exact"/>
        <w:rPr>
          <w:sz w:val="20"/>
          <w:szCs w:val="20"/>
          <w:color w:val="auto"/>
        </w:rPr>
      </w:pPr>
    </w:p>
    <w:p>
      <w:pPr>
        <w:jc w:val="right"/>
        <w:ind w:right="139"/>
        <w:spacing w:after="0"/>
        <w:tabs>
          <w:tab w:leader="none" w:pos="2460" w:val="left"/>
        </w:tabs>
        <w:rPr>
          <w:sz w:val="20"/>
          <w:szCs w:val="20"/>
          <w:color w:val="auto"/>
        </w:rPr>
      </w:pPr>
      <w:r>
        <w:rPr>
          <w:rFonts w:ascii="Arial" w:cs="Arial" w:eastAsia="Arial" w:hAnsi="Arial"/>
          <w:sz w:val="28"/>
          <w:szCs w:val="28"/>
          <w:b w:val="1"/>
          <w:bCs w:val="1"/>
          <w:color w:val="53C072"/>
          <w:vertAlign w:val="superscript"/>
        </w:rPr>
        <w:t>2025 ANNUAL</w:t>
      </w:r>
      <w:r>
        <w:rPr>
          <w:rFonts w:ascii="Arial" w:cs="Arial" w:eastAsia="Arial" w:hAnsi="Arial"/>
          <w:sz w:val="28"/>
          <w:szCs w:val="28"/>
          <w:b w:val="1"/>
          <w:bCs w:val="1"/>
          <w:color w:val="auto"/>
          <w:vertAlign w:val="superscript"/>
        </w:rPr>
        <w:t xml:space="preserve"> </w:t>
      </w:r>
      <w:r>
        <w:rPr>
          <w:sz w:val="20"/>
          <w:szCs w:val="20"/>
          <w:color w:val="auto"/>
        </w:rPr>
        <w:tab/>
      </w:r>
      <w:r>
        <w:rPr>
          <w:rFonts w:ascii="Arial" w:cs="Arial" w:eastAsia="Arial" w:hAnsi="Arial"/>
          <w:sz w:val="14"/>
          <w:szCs w:val="14"/>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460" w:right="199" w:hanging="362"/>
        <w:spacing w:after="0" w:line="291" w:lineRule="auto"/>
        <w:tabs>
          <w:tab w:leader="none" w:pos="1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for a reconciliation of non-GAAP measures to the most directly comparable GAAP measures. For additional information regarding the fiscal 2025 performance of the Company, please refer to the Company’s Annual Report on Form 10-K for the year ended June 28, 2025.</w:t>
      </w:r>
    </w:p>
    <w:p>
      <w:pPr>
        <w:spacing w:after="0" w:line="72" w:lineRule="exact"/>
        <w:rPr>
          <w:sz w:val="20"/>
          <w:szCs w:val="20"/>
          <w:color w:val="auto"/>
        </w:rPr>
      </w:pPr>
    </w:p>
    <w:p>
      <w:pPr>
        <w:ind w:left="1000" w:right="239"/>
        <w:spacing w:after="0" w:line="283" w:lineRule="auto"/>
        <w:rPr>
          <w:sz w:val="20"/>
          <w:szCs w:val="20"/>
          <w:color w:val="auto"/>
        </w:rPr>
      </w:pPr>
      <w:r>
        <w:rPr>
          <w:rFonts w:ascii="Arial" w:cs="Arial" w:eastAsia="Arial" w:hAnsi="Arial"/>
          <w:sz w:val="17"/>
          <w:szCs w:val="17"/>
          <w:b w:val="1"/>
          <w:bCs w:val="1"/>
          <w:color w:val="53C072"/>
        </w:rPr>
        <w:t xml:space="preserve">Fiscal 2025 PSU Grant (first tranche): </w:t>
      </w:r>
      <w:r>
        <w:rPr>
          <w:rFonts w:ascii="Arial" w:cs="Arial" w:eastAsia="Arial" w:hAnsi="Arial"/>
          <w:sz w:val="17"/>
          <w:szCs w:val="17"/>
          <w:color w:val="000000"/>
        </w:rPr>
        <w:t>For PSU awards granted in fiscal 2025, the following table</w:t>
      </w:r>
      <w:r>
        <w:rPr>
          <w:rFonts w:ascii="Arial" w:cs="Arial" w:eastAsia="Arial" w:hAnsi="Arial"/>
          <w:sz w:val="17"/>
          <w:szCs w:val="17"/>
          <w:b w:val="1"/>
          <w:bCs w:val="1"/>
          <w:color w:val="53C072"/>
        </w:rPr>
        <w:t xml:space="preserve"> </w:t>
      </w:r>
      <w:r>
        <w:rPr>
          <w:rFonts w:ascii="Arial" w:cs="Arial" w:eastAsia="Arial" w:hAnsi="Arial"/>
          <w:sz w:val="17"/>
          <w:szCs w:val="17"/>
          <w:color w:val="000000"/>
        </w:rPr>
        <w:t>summarizes the number of PSUs earned for fiscal 2025. Earned PSUs will vest and become payable when the Committee certifies the results for the performance period for the third tranche, which ends on July 3, 2027</w:t>
      </w:r>
    </w:p>
    <w:p>
      <w:pPr>
        <w:spacing w:after="0" w:line="137" w:lineRule="exact"/>
        <w:rPr>
          <w:sz w:val="20"/>
          <w:szCs w:val="20"/>
          <w:color w:val="auto"/>
        </w:rPr>
      </w:pPr>
    </w:p>
    <w:tbl>
      <w:tblPr>
        <w:tblLayout w:type="fixed"/>
        <w:tblInd w:w="980" w:type="dxa"/>
        <w:tblCellMar>
          <w:top w:w="0" w:type="dxa"/>
          <w:left w:w="0" w:type="dxa"/>
          <w:bottom w:w="0" w:type="dxa"/>
          <w:right w:w="0" w:type="dxa"/>
        </w:tblCellMar>
      </w:tblPr>
      <w:tr>
        <w:trPr>
          <w:trHeight w:val="193"/>
        </w:trPr>
        <w:tc>
          <w:tcPr>
            <w:tcW w:w="3160" w:type="dxa"/>
            <w:vAlign w:val="bottom"/>
            <w:shd w:val="clear" w:color="auto" w:fill="53C072"/>
          </w:tcPr>
          <w:p>
            <w:pPr>
              <w:spacing w:after="0"/>
              <w:rPr>
                <w:sz w:val="16"/>
                <w:szCs w:val="16"/>
                <w:color w:val="auto"/>
              </w:rPr>
            </w:pPr>
          </w:p>
        </w:tc>
        <w:tc>
          <w:tcPr>
            <w:tcW w:w="3960" w:type="dxa"/>
            <w:vAlign w:val="bottom"/>
            <w:shd w:val="clear" w:color="auto" w:fill="53C072"/>
          </w:tcPr>
          <w:p>
            <w:pPr>
              <w:jc w:val="center"/>
              <w:ind w:left="2176"/>
              <w:spacing w:after="0"/>
              <w:rPr>
                <w:sz w:val="20"/>
                <w:szCs w:val="20"/>
                <w:color w:val="auto"/>
              </w:rPr>
            </w:pPr>
            <w:r>
              <w:rPr>
                <w:rFonts w:ascii="Arial" w:cs="Arial" w:eastAsia="Arial" w:hAnsi="Arial"/>
                <w:sz w:val="14"/>
                <w:szCs w:val="14"/>
                <w:b w:val="1"/>
                <w:bCs w:val="1"/>
                <w:color w:val="FEFEFE"/>
              </w:rPr>
              <w:t>Target PSUs FY25 Grant</w:t>
            </w:r>
          </w:p>
        </w:tc>
        <w:tc>
          <w:tcPr>
            <w:tcW w:w="160" w:type="dxa"/>
            <w:vAlign w:val="bottom"/>
            <w:shd w:val="clear" w:color="auto" w:fill="53C072"/>
          </w:tcPr>
          <w:p>
            <w:pPr>
              <w:spacing w:after="0"/>
              <w:rPr>
                <w:sz w:val="16"/>
                <w:szCs w:val="16"/>
                <w:color w:val="auto"/>
              </w:rPr>
            </w:pPr>
          </w:p>
        </w:tc>
        <w:tc>
          <w:tcPr>
            <w:tcW w:w="1360" w:type="dxa"/>
            <w:vAlign w:val="bottom"/>
            <w:shd w:val="clear" w:color="auto" w:fill="53C072"/>
          </w:tcPr>
          <w:p>
            <w:pPr>
              <w:ind w:left="200"/>
              <w:spacing w:after="0"/>
              <w:rPr>
                <w:sz w:val="20"/>
                <w:szCs w:val="20"/>
                <w:color w:val="auto"/>
              </w:rPr>
            </w:pPr>
            <w:r>
              <w:rPr>
                <w:rFonts w:ascii="Arial" w:cs="Arial" w:eastAsia="Arial" w:hAnsi="Arial"/>
                <w:sz w:val="14"/>
                <w:szCs w:val="14"/>
                <w:b w:val="1"/>
                <w:bCs w:val="1"/>
                <w:color w:val="FEFEFE"/>
              </w:rPr>
              <w:t>PSUs Earned for</w:t>
            </w:r>
          </w:p>
        </w:tc>
        <w:tc>
          <w:tcPr>
            <w:tcW w:w="120" w:type="dxa"/>
            <w:vAlign w:val="bottom"/>
            <w:shd w:val="clear" w:color="auto" w:fill="53C072"/>
          </w:tcPr>
          <w:p>
            <w:pPr>
              <w:spacing w:after="0"/>
              <w:rPr>
                <w:sz w:val="16"/>
                <w:szCs w:val="16"/>
                <w:color w:val="auto"/>
              </w:rPr>
            </w:pPr>
          </w:p>
        </w:tc>
      </w:tr>
      <w:tr>
        <w:trPr>
          <w:trHeight w:val="185"/>
        </w:trPr>
        <w:tc>
          <w:tcPr>
            <w:tcW w:w="316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NEO</w:t>
            </w:r>
          </w:p>
        </w:tc>
        <w:tc>
          <w:tcPr>
            <w:tcW w:w="3960" w:type="dxa"/>
            <w:vAlign w:val="bottom"/>
            <w:shd w:val="clear" w:color="auto" w:fill="53C072"/>
          </w:tcPr>
          <w:p>
            <w:pPr>
              <w:ind w:left="3080"/>
              <w:spacing w:after="0"/>
              <w:rPr>
                <w:sz w:val="20"/>
                <w:szCs w:val="20"/>
                <w:color w:val="auto"/>
              </w:rPr>
            </w:pPr>
            <w:r>
              <w:rPr>
                <w:rFonts w:ascii="Arial" w:cs="Arial" w:eastAsia="Arial" w:hAnsi="Arial"/>
                <w:sz w:val="14"/>
                <w:szCs w:val="14"/>
                <w:b w:val="1"/>
                <w:bCs w:val="1"/>
                <w:color w:val="FEFEFE"/>
                <w:w w:val="96"/>
              </w:rPr>
              <w:t>First Tranche</w:t>
            </w:r>
          </w:p>
        </w:tc>
        <w:tc>
          <w:tcPr>
            <w:tcW w:w="160" w:type="dxa"/>
            <w:vAlign w:val="bottom"/>
            <w:shd w:val="clear" w:color="auto" w:fill="53C072"/>
          </w:tcPr>
          <w:p>
            <w:pPr>
              <w:spacing w:after="0"/>
              <w:rPr>
                <w:sz w:val="16"/>
                <w:szCs w:val="16"/>
                <w:color w:val="auto"/>
              </w:rPr>
            </w:pPr>
          </w:p>
        </w:tc>
        <w:tc>
          <w:tcPr>
            <w:tcW w:w="136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FY25 First Tranche</w:t>
            </w:r>
          </w:p>
        </w:tc>
        <w:tc>
          <w:tcPr>
            <w:tcW w:w="120" w:type="dxa"/>
            <w:vAlign w:val="bottom"/>
            <w:shd w:val="clear" w:color="auto" w:fill="53C072"/>
          </w:tcPr>
          <w:p>
            <w:pPr>
              <w:spacing w:after="0"/>
              <w:rPr>
                <w:sz w:val="16"/>
                <w:szCs w:val="16"/>
                <w:color w:val="auto"/>
              </w:rPr>
            </w:pPr>
          </w:p>
        </w:tc>
      </w:tr>
      <w:tr>
        <w:trPr>
          <w:trHeight w:val="257"/>
        </w:trPr>
        <w:tc>
          <w:tcPr>
            <w:tcW w:w="3160" w:type="dxa"/>
            <w:vAlign w:val="bottom"/>
          </w:tcPr>
          <w:p>
            <w:pPr>
              <w:ind w:left="120"/>
              <w:spacing w:after="0"/>
              <w:rPr>
                <w:sz w:val="20"/>
                <w:szCs w:val="20"/>
                <w:color w:val="auto"/>
              </w:rPr>
            </w:pPr>
            <w:r>
              <w:rPr>
                <w:rFonts w:ascii="Arial" w:cs="Arial" w:eastAsia="Arial" w:hAnsi="Arial"/>
                <w:sz w:val="18"/>
                <w:szCs w:val="18"/>
                <w:color w:val="auto"/>
              </w:rPr>
              <w:t>Gallagher</w:t>
            </w:r>
          </w:p>
        </w:tc>
        <w:tc>
          <w:tcPr>
            <w:tcW w:w="3960" w:type="dxa"/>
            <w:vAlign w:val="bottom"/>
          </w:tcPr>
          <w:p>
            <w:pPr>
              <w:jc w:val="center"/>
              <w:ind w:left="2216"/>
              <w:spacing w:after="0"/>
              <w:rPr>
                <w:sz w:val="20"/>
                <w:szCs w:val="20"/>
                <w:color w:val="auto"/>
              </w:rPr>
            </w:pPr>
            <w:r>
              <w:rPr>
                <w:rFonts w:ascii="Arial" w:cs="Arial" w:eastAsia="Arial" w:hAnsi="Arial"/>
                <w:sz w:val="18"/>
                <w:szCs w:val="18"/>
                <w:color w:val="auto"/>
              </w:rPr>
              <w:t>​23,666</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r>
              <w:rPr>
                <w:rFonts w:ascii="Arial" w:cs="Arial" w:eastAsia="Arial" w:hAnsi="Arial"/>
                <w:sz w:val="18"/>
                <w:szCs w:val="18"/>
                <w:color w:val="auto"/>
              </w:rPr>
              <w:t>​</w:t>
            </w:r>
          </w:p>
        </w:tc>
      </w:tr>
      <w:tr>
        <w:trPr>
          <w:trHeight w:val="256"/>
        </w:trPr>
        <w:tc>
          <w:tcPr>
            <w:tcW w:w="3160" w:type="dxa"/>
            <w:vAlign w:val="bottom"/>
            <w:shd w:val="clear" w:color="auto" w:fill="CBECD5"/>
          </w:tcPr>
          <w:p>
            <w:pPr>
              <w:ind w:left="120"/>
              <w:spacing w:after="0"/>
              <w:rPr>
                <w:sz w:val="20"/>
                <w:szCs w:val="20"/>
                <w:color w:val="auto"/>
              </w:rPr>
            </w:pPr>
            <w:r>
              <w:rPr>
                <w:rFonts w:ascii="Arial" w:cs="Arial" w:eastAsia="Arial" w:hAnsi="Arial"/>
                <w:sz w:val="18"/>
                <w:szCs w:val="18"/>
                <w:color w:val="auto"/>
              </w:rPr>
              <w:t>Jacobson</w:t>
            </w:r>
          </w:p>
        </w:tc>
        <w:tc>
          <w:tcPr>
            <w:tcW w:w="3960" w:type="dxa"/>
            <w:vAlign w:val="bottom"/>
            <w:shd w:val="clear" w:color="auto" w:fill="CBECD5"/>
          </w:tcPr>
          <w:p>
            <w:pPr>
              <w:jc w:val="center"/>
              <w:ind w:left="2216"/>
              <w:spacing w:after="0"/>
              <w:rPr>
                <w:sz w:val="20"/>
                <w:szCs w:val="20"/>
                <w:color w:val="auto"/>
              </w:rPr>
            </w:pPr>
            <w:r>
              <w:rPr>
                <w:rFonts w:ascii="Arial" w:cs="Arial" w:eastAsia="Arial" w:hAnsi="Arial"/>
                <w:sz w:val="18"/>
                <w:szCs w:val="18"/>
                <w:color w:val="auto"/>
              </w:rPr>
              <w:t>​ 5,802</w:t>
            </w:r>
          </w:p>
        </w:tc>
        <w:tc>
          <w:tcPr>
            <w:tcW w:w="1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BECD5"/>
          </w:tcPr>
          <w:p>
            <w:pPr>
              <w:jc w:val="center"/>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r>
      <w:tr>
        <w:trPr>
          <w:trHeight w:val="257"/>
        </w:trPr>
        <w:tc>
          <w:tcPr>
            <w:tcW w:w="3160" w:type="dxa"/>
            <w:vAlign w:val="bottom"/>
          </w:tcPr>
          <w:p>
            <w:pPr>
              <w:ind w:left="120"/>
              <w:spacing w:after="0"/>
              <w:rPr>
                <w:sz w:val="20"/>
                <w:szCs w:val="20"/>
                <w:color w:val="auto"/>
              </w:rPr>
            </w:pPr>
            <w:r>
              <w:rPr>
                <w:rFonts w:ascii="Arial" w:cs="Arial" w:eastAsia="Arial" w:hAnsi="Arial"/>
                <w:sz w:val="18"/>
                <w:szCs w:val="18"/>
                <w:color w:val="auto"/>
              </w:rPr>
              <w:t>Arnold</w:t>
            </w:r>
          </w:p>
        </w:tc>
        <w:tc>
          <w:tcPr>
            <w:tcW w:w="3960" w:type="dxa"/>
            <w:vAlign w:val="bottom"/>
          </w:tcPr>
          <w:p>
            <w:pPr>
              <w:jc w:val="center"/>
              <w:ind w:left="2216"/>
              <w:spacing w:after="0"/>
              <w:rPr>
                <w:sz w:val="20"/>
                <w:szCs w:val="20"/>
                <w:color w:val="auto"/>
              </w:rPr>
            </w:pPr>
            <w:r>
              <w:rPr>
                <w:rFonts w:ascii="Arial" w:cs="Arial" w:eastAsia="Arial" w:hAnsi="Arial"/>
                <w:sz w:val="18"/>
                <w:szCs w:val="18"/>
                <w:color w:val="auto"/>
              </w:rPr>
              <w:t>​ 4,122</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3160" w:type="dxa"/>
            <w:vAlign w:val="bottom"/>
            <w:shd w:val="clear" w:color="auto" w:fill="CBECD5"/>
          </w:tcPr>
          <w:p>
            <w:pPr>
              <w:ind w:left="120"/>
              <w:spacing w:after="0"/>
              <w:rPr>
                <w:sz w:val="20"/>
                <w:szCs w:val="20"/>
                <w:color w:val="auto"/>
              </w:rPr>
            </w:pPr>
            <w:r>
              <w:rPr>
                <w:rFonts w:ascii="Arial" w:cs="Arial" w:eastAsia="Arial" w:hAnsi="Arial"/>
                <w:sz w:val="18"/>
                <w:szCs w:val="18"/>
                <w:color w:val="auto"/>
              </w:rPr>
              <w:t>Chan</w:t>
            </w:r>
          </w:p>
        </w:tc>
        <w:tc>
          <w:tcPr>
            <w:tcW w:w="3960" w:type="dxa"/>
            <w:vAlign w:val="bottom"/>
            <w:shd w:val="clear" w:color="auto" w:fill="CBECD5"/>
          </w:tcPr>
          <w:p>
            <w:pPr>
              <w:jc w:val="center"/>
              <w:ind w:left="2216"/>
              <w:spacing w:after="0"/>
              <w:rPr>
                <w:sz w:val="20"/>
                <w:szCs w:val="20"/>
                <w:color w:val="auto"/>
              </w:rPr>
            </w:pPr>
            <w:r>
              <w:rPr>
                <w:rFonts w:ascii="Arial" w:cs="Arial" w:eastAsia="Arial" w:hAnsi="Arial"/>
                <w:sz w:val="18"/>
                <w:szCs w:val="18"/>
                <w:color w:val="auto"/>
              </w:rPr>
              <w:t>​ 2,596</w:t>
            </w:r>
          </w:p>
        </w:tc>
        <w:tc>
          <w:tcPr>
            <w:tcW w:w="1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BECD5"/>
          </w:tcPr>
          <w:p>
            <w:pPr>
              <w:jc w:val="center"/>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r>
      <w:tr>
        <w:trPr>
          <w:trHeight w:val="291"/>
        </w:trPr>
        <w:tc>
          <w:tcPr>
            <w:tcW w:w="3160" w:type="dxa"/>
            <w:vAlign w:val="bottom"/>
            <w:tcBorders>
              <w:bottom w:val="single" w:sz="8" w:color="53C072"/>
            </w:tcBorders>
          </w:tcPr>
          <w:p>
            <w:pPr>
              <w:ind w:left="120"/>
              <w:spacing w:after="0"/>
              <w:rPr>
                <w:sz w:val="20"/>
                <w:szCs w:val="20"/>
                <w:color w:val="auto"/>
              </w:rPr>
            </w:pPr>
            <w:r>
              <w:rPr>
                <w:rFonts w:ascii="Arial" w:cs="Arial" w:eastAsia="Arial" w:hAnsi="Arial"/>
                <w:sz w:val="18"/>
                <w:szCs w:val="18"/>
                <w:color w:val="auto"/>
              </w:rPr>
              <w:t>McCoy</w:t>
            </w:r>
          </w:p>
        </w:tc>
        <w:tc>
          <w:tcPr>
            <w:tcW w:w="3960" w:type="dxa"/>
            <w:vAlign w:val="bottom"/>
            <w:tcBorders>
              <w:bottom w:val="single" w:sz="8" w:color="53C072"/>
            </w:tcBorders>
          </w:tcPr>
          <w:p>
            <w:pPr>
              <w:jc w:val="center"/>
              <w:ind w:left="2216"/>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4,474</w:t>
            </w:r>
          </w:p>
        </w:tc>
        <w:tc>
          <w:tcPr>
            <w:tcW w:w="160" w:type="dxa"/>
            <w:vAlign w:val="bottom"/>
            <w:tcBorders>
              <w:bottom w:val="single" w:sz="8" w:color="53C072"/>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53C072"/>
            </w:tcBorders>
          </w:tcPr>
          <w:p>
            <w:pPr>
              <w:jc w:val="center"/>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0</w:t>
            </w:r>
          </w:p>
        </w:tc>
        <w:tc>
          <w:tcPr>
            <w:tcW w:w="12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r>
    </w:tbl>
    <w:p>
      <w:pPr>
        <w:spacing w:after="0" w:line="71"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Additional Compensation Elements</w:t>
      </w:r>
    </w:p>
    <w:p>
      <w:pPr>
        <w:spacing w:after="0" w:line="153" w:lineRule="exact"/>
        <w:rPr>
          <w:sz w:val="20"/>
          <w:szCs w:val="20"/>
          <w:color w:val="auto"/>
        </w:rPr>
      </w:pPr>
    </w:p>
    <w:p>
      <w:pPr>
        <w:ind w:left="1000" w:right="319"/>
        <w:spacing w:after="0" w:line="246" w:lineRule="auto"/>
        <w:rPr>
          <w:sz w:val="20"/>
          <w:szCs w:val="20"/>
          <w:color w:val="auto"/>
        </w:rPr>
      </w:pPr>
      <w:r>
        <w:rPr>
          <w:rFonts w:ascii="Arial" w:cs="Arial" w:eastAsia="Arial" w:hAnsi="Arial"/>
          <w:sz w:val="18"/>
          <w:szCs w:val="18"/>
          <w:b w:val="1"/>
          <w:bCs w:val="1"/>
          <w:color w:val="53C072"/>
        </w:rPr>
        <w:t xml:space="preserve">Qualified Pension Plan. </w:t>
      </w:r>
      <w:r>
        <w:rPr>
          <w:rFonts w:ascii="Arial" w:cs="Arial" w:eastAsia="Arial" w:hAnsi="Arial"/>
          <w:sz w:val="18"/>
          <w:szCs w:val="18"/>
          <w:color w:val="000000"/>
        </w:rPr>
        <w:t>The Company provides a retirement benefit to certain employees under a tax-qualified retirement plan (a type of tax-qualified defined-benefit plan commonly referred to as a cash balance plan). Cash balance plans are similar to a defined-contribution plan in that a participant’s benefit is a stated account balance. As a cash balance plan, the Pension Plan allows the Company to apply any earnings on the Plan’s investments beyond the fixed return provided to participants toward the Company’s future cash funding obligations. The Pension Plan, including NEO participation, is more fully described in the “Pension Benefits” section.</w:t>
      </w:r>
    </w:p>
    <w:p>
      <w:pPr>
        <w:spacing w:after="0" w:line="108" w:lineRule="exact"/>
        <w:rPr>
          <w:sz w:val="20"/>
          <w:szCs w:val="20"/>
          <w:color w:val="auto"/>
        </w:rPr>
      </w:pPr>
    </w:p>
    <w:p>
      <w:pPr>
        <w:ind w:left="1000" w:right="199"/>
        <w:spacing w:after="0" w:line="248" w:lineRule="auto"/>
        <w:rPr>
          <w:sz w:val="20"/>
          <w:szCs w:val="20"/>
          <w:color w:val="auto"/>
        </w:rPr>
      </w:pPr>
      <w:r>
        <w:rPr>
          <w:rFonts w:ascii="Arial" w:cs="Arial" w:eastAsia="Arial" w:hAnsi="Arial"/>
          <w:sz w:val="18"/>
          <w:szCs w:val="18"/>
          <w:b w:val="1"/>
          <w:bCs w:val="1"/>
          <w:color w:val="53C072"/>
        </w:rPr>
        <w:t xml:space="preserve">401(k) Plan. </w:t>
      </w:r>
      <w:r>
        <w:rPr>
          <w:rFonts w:ascii="Arial" w:cs="Arial" w:eastAsia="Arial" w:hAnsi="Arial"/>
          <w:sz w:val="18"/>
          <w:szCs w:val="18"/>
          <w:color w:val="000000"/>
        </w:rPr>
        <w:t>The Company provides a tax-qualified defined-contribution 401(k) Plan for employees after a 30-day waiting period. The plan allows eligible employees to make contributions on a pre- and post-tax basis through payroll deductions (up to IRS limits) and invest their contributions in one or more investment options. New employees are automatically enrolled for a 3% pre-tax contribution but have the ability to opt out before the effective date. The plan does not provide a Company match. Instead, the Company provides retirement contributions to eligible employees through the Pension Plan.</w:t>
      </w:r>
    </w:p>
    <w:p>
      <w:pPr>
        <w:spacing w:after="0" w:line="107" w:lineRule="exact"/>
        <w:rPr>
          <w:sz w:val="20"/>
          <w:szCs w:val="20"/>
          <w:color w:val="auto"/>
        </w:rPr>
      </w:pPr>
    </w:p>
    <w:p>
      <w:pPr>
        <w:ind w:left="1000" w:right="159"/>
        <w:spacing w:after="0" w:line="243" w:lineRule="auto"/>
        <w:rPr>
          <w:sz w:val="20"/>
          <w:szCs w:val="20"/>
          <w:color w:val="auto"/>
        </w:rPr>
      </w:pPr>
      <w:r>
        <w:rPr>
          <w:rFonts w:ascii="Arial" w:cs="Arial" w:eastAsia="Arial" w:hAnsi="Arial"/>
          <w:sz w:val="18"/>
          <w:szCs w:val="18"/>
          <w:b w:val="1"/>
          <w:bCs w:val="1"/>
          <w:color w:val="53C072"/>
        </w:rPr>
        <w:t xml:space="preserve">Nonqualified Retirement Plans. </w:t>
      </w:r>
      <w:r>
        <w:rPr>
          <w:rFonts w:ascii="Arial" w:cs="Arial" w:eastAsia="Arial" w:hAnsi="Arial"/>
          <w:sz w:val="18"/>
          <w:szCs w:val="18"/>
          <w:color w:val="000000"/>
        </w:rPr>
        <w:t>The Company provides a retirement benefit to certain employees under the</w:t>
      </w:r>
      <w:r>
        <w:rPr>
          <w:rFonts w:ascii="Arial" w:cs="Arial" w:eastAsia="Arial" w:hAnsi="Arial"/>
          <w:sz w:val="18"/>
          <w:szCs w:val="18"/>
          <w:b w:val="1"/>
          <w:bCs w:val="1"/>
          <w:color w:val="53C072"/>
        </w:rPr>
        <w:t xml:space="preserve"> </w:t>
      </w:r>
      <w:r>
        <w:rPr>
          <w:rFonts w:ascii="Arial" w:cs="Arial" w:eastAsia="Arial" w:hAnsi="Arial"/>
          <w:sz w:val="18"/>
          <w:szCs w:val="18"/>
          <w:color w:val="000000"/>
        </w:rPr>
        <w:t>following nonqualified retirement plans: (1) the restoration pension plan (the “Restoration Plan”) and (2) the supplemental executive officers’ retirement plan (the “SERP”). The SERP was closed to new participants effective December 31, 2011, and the Restoration Plan was adopted effective January 1, 2012. Any benefit payable under the Restoration Plan reduces the benefit payable under the SERP. A retirement plan is an important retention tool in the Company’s compensation program because the receipt of benefits is contingent on certain age and service requirements. Additionally, the nonqualified retirement plans include a performance-based element, because they are based in part on a participant’s yearly cash compensation. The Company balances the effectiveness of these plans as a compensation and retention tool with the cost of these plans. The SERP and Restoration Plan, including NEO participation, are more fully described in the “Pension Benefits” section.</w:t>
      </w:r>
    </w:p>
    <w:p>
      <w:pPr>
        <w:spacing w:after="0" w:line="111" w:lineRule="exact"/>
        <w:rPr>
          <w:sz w:val="20"/>
          <w:szCs w:val="20"/>
          <w:color w:val="auto"/>
        </w:rPr>
      </w:pPr>
    </w:p>
    <w:p>
      <w:pPr>
        <w:ind w:left="1000" w:right="239"/>
        <w:spacing w:after="0" w:line="247" w:lineRule="auto"/>
        <w:rPr>
          <w:sz w:val="20"/>
          <w:szCs w:val="20"/>
          <w:color w:val="auto"/>
        </w:rPr>
      </w:pPr>
      <w:r>
        <w:rPr>
          <w:rFonts w:ascii="Arial" w:cs="Arial" w:eastAsia="Arial" w:hAnsi="Arial"/>
          <w:sz w:val="18"/>
          <w:szCs w:val="18"/>
          <w:b w:val="1"/>
          <w:bCs w:val="1"/>
          <w:color w:val="53C072"/>
        </w:rPr>
        <w:t xml:space="preserve">Executive Benefits. </w:t>
      </w:r>
      <w:r>
        <w:rPr>
          <w:rFonts w:ascii="Arial" w:cs="Arial" w:eastAsia="Arial" w:hAnsi="Arial"/>
          <w:sz w:val="18"/>
          <w:szCs w:val="18"/>
          <w:color w:val="000000"/>
        </w:rPr>
        <w:t>The Company provides NEOs with a limited number of perquisites that the Company</w:t>
      </w:r>
      <w:r>
        <w:rPr>
          <w:rFonts w:ascii="Arial" w:cs="Arial" w:eastAsia="Arial" w:hAnsi="Arial"/>
          <w:sz w:val="18"/>
          <w:szCs w:val="18"/>
          <w:b w:val="1"/>
          <w:bCs w:val="1"/>
          <w:color w:val="53C072"/>
        </w:rPr>
        <w:t xml:space="preserve"> </w:t>
      </w:r>
      <w:r>
        <w:rPr>
          <w:rFonts w:ascii="Arial" w:cs="Arial" w:eastAsia="Arial" w:hAnsi="Arial"/>
          <w:sz w:val="18"/>
          <w:szCs w:val="18"/>
          <w:color w:val="000000"/>
        </w:rPr>
        <w:t>and the Committee believe are reasonable, consistent with the Company’s overall compensation program, and necessary to remain competitive. Perquisites include automobile program and cost of annual physical exams. Costs associated with the perquisites provided by the Company are included in the “All Other Compensation” column in the Summary Compensation Table.</w:t>
      </w:r>
    </w:p>
    <w:p>
      <w:pPr>
        <w:spacing w:after="0" w:line="109" w:lineRule="exact"/>
        <w:rPr>
          <w:sz w:val="20"/>
          <w:szCs w:val="20"/>
          <w:color w:val="auto"/>
        </w:rPr>
      </w:pPr>
    </w:p>
    <w:p>
      <w:pPr>
        <w:ind w:left="1000" w:right="159"/>
        <w:spacing w:after="0" w:line="251" w:lineRule="auto"/>
        <w:rPr>
          <w:sz w:val="20"/>
          <w:szCs w:val="20"/>
          <w:color w:val="auto"/>
        </w:rPr>
      </w:pPr>
      <w:r>
        <w:rPr>
          <w:rFonts w:ascii="Arial" w:cs="Arial" w:eastAsia="Arial" w:hAnsi="Arial"/>
          <w:sz w:val="18"/>
          <w:szCs w:val="18"/>
          <w:b w:val="1"/>
          <w:bCs w:val="1"/>
          <w:color w:val="53C072"/>
        </w:rPr>
        <w:t xml:space="preserve">Change of Control Agreements. </w:t>
      </w:r>
      <w:r>
        <w:rPr>
          <w:rFonts w:ascii="Arial" w:cs="Arial" w:eastAsia="Arial" w:hAnsi="Arial"/>
          <w:sz w:val="18"/>
          <w:szCs w:val="18"/>
          <w:color w:val="000000"/>
        </w:rPr>
        <w:t>The Company has entered into a change of control agreement with each of</w:t>
      </w:r>
      <w:r>
        <w:rPr>
          <w:rFonts w:ascii="Arial" w:cs="Arial" w:eastAsia="Arial" w:hAnsi="Arial"/>
          <w:sz w:val="18"/>
          <w:szCs w:val="18"/>
          <w:b w:val="1"/>
          <w:bCs w:val="1"/>
          <w:color w:val="53C072"/>
        </w:rPr>
        <w:t xml:space="preserve"> </w:t>
      </w:r>
      <w:r>
        <w:rPr>
          <w:rFonts w:ascii="Arial" w:cs="Arial" w:eastAsia="Arial" w:hAnsi="Arial"/>
          <w:sz w:val="18"/>
          <w:szCs w:val="18"/>
          <w:color w:val="000000"/>
        </w:rPr>
        <w:t>the NEOs. The change of control agreements encourage retention in the face of the disruptive impact of an actual or attempted change of control of the Company. The agreements also align NEO and shareholder interests by enabling the NEOs to consider corporate transactions that are in the best interests of the shareholders and other Company constituents without undue concern about their own employment. The</w:t>
      </w:r>
    </w:p>
    <w:p>
      <w:pPr>
        <w:spacing w:after="0" w:line="11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54     </w:t>
      </w:r>
      <w:r>
        <w:rPr>
          <w:sz w:val="1"/>
          <w:szCs w:val="1"/>
          <w:color w:val="auto"/>
        </w:rPr>
        <w:drawing>
          <wp:inline distT="0" distB="0" distL="0" distR="0">
            <wp:extent cx="1242695" cy="24003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43" w:lineRule="exact"/>
        <w:rPr>
          <w:sz w:val="20"/>
          <w:szCs w:val="20"/>
          <w:color w:val="auto"/>
        </w:rPr>
      </w:pPr>
    </w:p>
    <w:p>
      <w:pPr>
        <w:jc w:val="right"/>
        <w:ind w:right="139"/>
        <w:spacing w:after="0"/>
        <w:tabs>
          <w:tab w:leader="none" w:pos="2460" w:val="left"/>
        </w:tabs>
        <w:rPr>
          <w:sz w:val="20"/>
          <w:szCs w:val="20"/>
          <w:color w:val="auto"/>
        </w:rPr>
      </w:pPr>
      <w:r>
        <w:rPr>
          <w:rFonts w:ascii="Arial" w:cs="Arial" w:eastAsia="Arial" w:hAnsi="Arial"/>
          <w:sz w:val="28"/>
          <w:szCs w:val="28"/>
          <w:b w:val="1"/>
          <w:bCs w:val="1"/>
          <w:color w:val="53C072"/>
          <w:vertAlign w:val="superscript"/>
        </w:rPr>
        <w:t>2025 ANNUAL</w:t>
      </w:r>
      <w:r>
        <w:rPr>
          <w:rFonts w:ascii="Arial" w:cs="Arial" w:eastAsia="Arial" w:hAnsi="Arial"/>
          <w:sz w:val="28"/>
          <w:szCs w:val="28"/>
          <w:b w:val="1"/>
          <w:bCs w:val="1"/>
          <w:color w:val="auto"/>
          <w:vertAlign w:val="superscript"/>
        </w:rPr>
        <w:t xml:space="preserve"> </w:t>
      </w:r>
      <w:r>
        <w:rPr>
          <w:sz w:val="20"/>
          <w:szCs w:val="20"/>
          <w:color w:val="auto"/>
        </w:rPr>
        <w:tab/>
      </w:r>
      <w:r>
        <w:rPr>
          <w:rFonts w:ascii="Arial" w:cs="Arial" w:eastAsia="Arial" w:hAnsi="Arial"/>
          <w:sz w:val="14"/>
          <w:szCs w:val="14"/>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000" w:right="599"/>
        <w:spacing w:after="0" w:line="271" w:lineRule="auto"/>
        <w:rPr>
          <w:sz w:val="20"/>
          <w:szCs w:val="20"/>
          <w:color w:val="auto"/>
        </w:rPr>
      </w:pPr>
      <w:r>
        <w:rPr>
          <w:rFonts w:ascii="Arial" w:cs="Arial" w:eastAsia="Arial" w:hAnsi="Arial"/>
          <w:sz w:val="18"/>
          <w:szCs w:val="18"/>
          <w:color w:val="auto"/>
        </w:rPr>
        <w:t>change of control agreements do not provide for excise tax reimbursements to any of the NEOs. For more information, see “Potential Payouts Upon Termination and Change of Control” section.</w:t>
      </w:r>
    </w:p>
    <w:p>
      <w:pPr>
        <w:spacing w:after="0" w:line="86" w:lineRule="exact"/>
        <w:rPr>
          <w:sz w:val="20"/>
          <w:szCs w:val="20"/>
          <w:color w:val="auto"/>
        </w:rPr>
      </w:pPr>
    </w:p>
    <w:p>
      <w:pPr>
        <w:ind w:left="1000" w:right="219"/>
        <w:spacing w:after="0" w:line="260" w:lineRule="auto"/>
        <w:rPr>
          <w:sz w:val="20"/>
          <w:szCs w:val="20"/>
          <w:color w:val="auto"/>
        </w:rPr>
      </w:pPr>
      <w:r>
        <w:rPr>
          <w:rFonts w:ascii="Arial" w:cs="Arial" w:eastAsia="Arial" w:hAnsi="Arial"/>
          <w:sz w:val="17"/>
          <w:szCs w:val="17"/>
          <w:b w:val="1"/>
          <w:bCs w:val="1"/>
          <w:color w:val="53C072"/>
        </w:rPr>
        <w:t xml:space="preserve">Severance Benefits. </w:t>
      </w:r>
      <w:r>
        <w:rPr>
          <w:rFonts w:ascii="Arial" w:cs="Arial" w:eastAsia="Arial" w:hAnsi="Arial"/>
          <w:sz w:val="17"/>
          <w:szCs w:val="17"/>
          <w:color w:val="000000"/>
        </w:rPr>
        <w:t>The Company approved an Executive Severance Plan on August 10, 2017, whereby</w:t>
      </w:r>
      <w:r>
        <w:rPr>
          <w:rFonts w:ascii="Arial" w:cs="Arial" w:eastAsia="Arial" w:hAnsi="Arial"/>
          <w:sz w:val="17"/>
          <w:szCs w:val="17"/>
          <w:b w:val="1"/>
          <w:bCs w:val="1"/>
          <w:color w:val="53C072"/>
        </w:rPr>
        <w:t xml:space="preserve"> </w:t>
      </w:r>
      <w:r>
        <w:rPr>
          <w:rFonts w:ascii="Arial" w:cs="Arial" w:eastAsia="Arial" w:hAnsi="Arial"/>
          <w:sz w:val="17"/>
          <w:szCs w:val="17"/>
          <w:color w:val="000000"/>
        </w:rPr>
        <w:t>executive officers may be eligible to receive severance benefits if they are not entitled to severance payments under any other employment agreement. Under the Executive Severance Plan, if the Company terminates an executive’s employment without cause, the executive will receive: (1) one times their annual base salary, or in the case of the CEO two times their annual base salary; (2) health care benefit continuation for the duration of the severance period; and (3) the incentive payment based on the relevant performance factors in the year of termination. “Cause” generally includes gross misconduct, breach of any material term of the agreement, willful breach, habitual neglect or wanton disregard of the executive’s duties, or conviction of certain criminal acts.</w:t>
      </w:r>
    </w:p>
    <w:p>
      <w:pPr>
        <w:spacing w:after="0" w:line="101" w:lineRule="exact"/>
        <w:rPr>
          <w:sz w:val="20"/>
          <w:szCs w:val="20"/>
          <w:color w:val="auto"/>
        </w:rPr>
      </w:pPr>
    </w:p>
    <w:p>
      <w:pPr>
        <w:ind w:left="1000" w:right="159"/>
        <w:spacing w:after="0" w:line="248" w:lineRule="auto"/>
        <w:rPr>
          <w:sz w:val="20"/>
          <w:szCs w:val="20"/>
          <w:color w:val="auto"/>
        </w:rPr>
      </w:pPr>
      <w:r>
        <w:rPr>
          <w:rFonts w:ascii="Arial" w:cs="Arial" w:eastAsia="Arial" w:hAnsi="Arial"/>
          <w:sz w:val="18"/>
          <w:szCs w:val="18"/>
          <w:color w:val="auto"/>
        </w:rPr>
        <w:t>The NEOs who are not covered by the Executive Severance Plan, are eligible for severance benefits under their employment agreements. Those agreements provide that, if the Company terminates their employment without cause, they will receive a lump sum equal to: (1) base annual salary, and (2) target bonus for the year in which the termination occurs. “Cause” generally includes gross misconduct, breach of any material term of the agreement, willful breach, habitual neglect or wanton disregard of the executive’s duties, or conviction of any criminal act.</w:t>
      </w:r>
    </w:p>
    <w:p>
      <w:pPr>
        <w:spacing w:after="0" w:line="10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more information, see “Potential Payouts Upon Termination and Change of Control” section.</w:t>
      </w:r>
    </w:p>
    <w:p>
      <w:pPr>
        <w:spacing w:after="0" w:line="144" w:lineRule="exact"/>
        <w:rPr>
          <w:sz w:val="20"/>
          <w:szCs w:val="20"/>
          <w:color w:val="auto"/>
        </w:rPr>
      </w:pPr>
    </w:p>
    <w:p>
      <w:pPr>
        <w:ind w:left="1000" w:right="259"/>
        <w:spacing w:after="0" w:line="251" w:lineRule="auto"/>
        <w:rPr>
          <w:sz w:val="20"/>
          <w:szCs w:val="20"/>
          <w:color w:val="auto"/>
        </w:rPr>
      </w:pPr>
      <w:r>
        <w:rPr>
          <w:rFonts w:ascii="Arial" w:cs="Arial" w:eastAsia="Arial" w:hAnsi="Arial"/>
          <w:sz w:val="18"/>
          <w:szCs w:val="18"/>
          <w:b w:val="1"/>
          <w:bCs w:val="1"/>
          <w:color w:val="53C072"/>
        </w:rPr>
        <w:t xml:space="preserve">Employee Stock Purchase Plan (ESPP). </w:t>
      </w:r>
      <w:r>
        <w:rPr>
          <w:rFonts w:ascii="Arial" w:cs="Arial" w:eastAsia="Arial" w:hAnsi="Arial"/>
          <w:sz w:val="18"/>
          <w:szCs w:val="18"/>
          <w:color w:val="000000"/>
        </w:rPr>
        <w:t>The Company maintains the ESPP, which is a tax-qualified plan</w:t>
      </w:r>
      <w:r>
        <w:rPr>
          <w:rFonts w:ascii="Arial" w:cs="Arial" w:eastAsia="Arial" w:hAnsi="Arial"/>
          <w:sz w:val="18"/>
          <w:szCs w:val="18"/>
          <w:b w:val="1"/>
          <w:bCs w:val="1"/>
          <w:color w:val="53C072"/>
        </w:rPr>
        <w:t xml:space="preserve"> </w:t>
      </w:r>
      <w:r>
        <w:rPr>
          <w:rFonts w:ascii="Arial" w:cs="Arial" w:eastAsia="Arial" w:hAnsi="Arial"/>
          <w:sz w:val="18"/>
          <w:szCs w:val="18"/>
          <w:color w:val="000000"/>
        </w:rPr>
        <w:t>available to all employees of the Company and designated U.S. and Canadian subsidiaries who have been employed for at least three continuous months for at least 20 hours per week. The ESPP provides an opportunity to acquire an ownership interest in the Company through the purchase of the Company’s Common Stock at a 5% discount through payroll deductions.</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ADDITIONAL PRACTICES, POLICIES AND GUIDELINES</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Stock Ownership Guidelines</w:t>
      </w:r>
    </w:p>
    <w:p>
      <w:pPr>
        <w:spacing w:after="0" w:line="153" w:lineRule="exact"/>
        <w:rPr>
          <w:sz w:val="20"/>
          <w:szCs w:val="20"/>
          <w:color w:val="auto"/>
        </w:rPr>
      </w:pPr>
    </w:p>
    <w:p>
      <w:pPr>
        <w:ind w:left="1000" w:right="179"/>
        <w:spacing w:after="0" w:line="251" w:lineRule="auto"/>
        <w:rPr>
          <w:sz w:val="20"/>
          <w:szCs w:val="20"/>
          <w:color w:val="auto"/>
        </w:rPr>
      </w:pPr>
      <w:r>
        <w:rPr>
          <w:rFonts w:ascii="Arial" w:cs="Arial" w:eastAsia="Arial" w:hAnsi="Arial"/>
          <w:sz w:val="18"/>
          <w:szCs w:val="18"/>
          <w:color w:val="auto"/>
        </w:rPr>
        <w:t>With a significant portion of each NEO’s total compensation in equity-based incentives, NEOs have a substantial interest to ensure profitable growth of the Company and to drive long-term shareholder value. To further reinforce this focus, the Committee has established stock ownership guidelines for all NEOs. The guidelines provide that NEOs are required to hold shares of the Company’s Common Stock with a market value equal to a multiple of each NEO’s base salary, as set forth below:</w:t>
      </w:r>
    </w:p>
    <w:p>
      <w:pPr>
        <w:spacing w:after="0" w:line="132" w:lineRule="exact"/>
        <w:rPr>
          <w:sz w:val="20"/>
          <w:szCs w:val="20"/>
          <w:color w:val="auto"/>
        </w:rPr>
      </w:pPr>
    </w:p>
    <w:tbl>
      <w:tblPr>
        <w:tblLayout w:type="fixed"/>
        <w:tblInd w:w="980" w:type="dxa"/>
        <w:tblCellMar>
          <w:top w:w="0" w:type="dxa"/>
          <w:left w:w="0" w:type="dxa"/>
          <w:bottom w:w="0" w:type="dxa"/>
          <w:right w:w="0" w:type="dxa"/>
        </w:tblCellMar>
      </w:tblPr>
      <w:tr>
        <w:trPr>
          <w:trHeight w:val="290"/>
        </w:trPr>
        <w:tc>
          <w:tcPr>
            <w:tcW w:w="4480" w:type="dxa"/>
            <w:vAlign w:val="bottom"/>
            <w:tcBorders>
              <w:top w:val="single" w:sz="8" w:color="53C072"/>
              <w:bottom w:val="single" w:sz="8" w:color="CBECD5"/>
            </w:tcBorders>
            <w:shd w:val="clear" w:color="auto" w:fill="CBECD5"/>
          </w:tcPr>
          <w:p>
            <w:pPr>
              <w:ind w:left="60"/>
              <w:spacing w:after="0"/>
              <w:rPr>
                <w:sz w:val="20"/>
                <w:szCs w:val="20"/>
                <w:color w:val="auto"/>
              </w:rPr>
            </w:pPr>
            <w:r>
              <w:rPr>
                <w:rFonts w:ascii="Arial" w:cs="Arial" w:eastAsia="Arial" w:hAnsi="Arial"/>
                <w:sz w:val="18"/>
                <w:szCs w:val="18"/>
                <w:color w:val="404040"/>
              </w:rPr>
              <w:t>CEO</w:t>
            </w:r>
          </w:p>
        </w:tc>
        <w:tc>
          <w:tcPr>
            <w:tcW w:w="4280" w:type="dxa"/>
            <w:vAlign w:val="bottom"/>
            <w:tcBorders>
              <w:top w:val="single" w:sz="8" w:color="53C072"/>
              <w:bottom w:val="single" w:sz="8" w:color="CBECD5"/>
            </w:tcBorders>
            <w:shd w:val="clear" w:color="auto" w:fill="CBECD5"/>
          </w:tcPr>
          <w:p>
            <w:pPr>
              <w:ind w:left="2280"/>
              <w:spacing w:after="0"/>
              <w:rPr>
                <w:sz w:val="20"/>
                <w:szCs w:val="20"/>
                <w:color w:val="auto"/>
              </w:rPr>
            </w:pPr>
            <w:r>
              <w:rPr>
                <w:rFonts w:ascii="Arial" w:cs="Arial" w:eastAsia="Arial" w:hAnsi="Arial"/>
                <w:sz w:val="18"/>
                <w:szCs w:val="18"/>
                <w:color w:val="404040"/>
              </w:rPr>
              <w:t>5x base salary</w:t>
            </w:r>
          </w:p>
        </w:tc>
      </w:tr>
      <w:tr>
        <w:trPr>
          <w:trHeight w:val="248"/>
        </w:trPr>
        <w:tc>
          <w:tcPr>
            <w:tcW w:w="4480" w:type="dxa"/>
            <w:vAlign w:val="bottom"/>
          </w:tcPr>
          <w:p>
            <w:pPr>
              <w:ind w:left="60"/>
              <w:spacing w:after="0"/>
              <w:rPr>
                <w:sz w:val="20"/>
                <w:szCs w:val="20"/>
                <w:color w:val="auto"/>
              </w:rPr>
            </w:pPr>
            <w:r>
              <w:rPr>
                <w:rFonts w:ascii="Arial" w:cs="Arial" w:eastAsia="Arial" w:hAnsi="Arial"/>
                <w:sz w:val="18"/>
                <w:szCs w:val="18"/>
                <w:color w:val="404040"/>
              </w:rPr>
              <w:t>CFO and General Counsel</w:t>
            </w:r>
          </w:p>
        </w:tc>
        <w:tc>
          <w:tcPr>
            <w:tcW w:w="4280" w:type="dxa"/>
            <w:vAlign w:val="bottom"/>
          </w:tcPr>
          <w:p>
            <w:pPr>
              <w:ind w:left="2280"/>
              <w:spacing w:after="0"/>
              <w:rPr>
                <w:sz w:val="20"/>
                <w:szCs w:val="20"/>
                <w:color w:val="auto"/>
              </w:rPr>
            </w:pPr>
            <w:r>
              <w:rPr>
                <w:rFonts w:ascii="Arial" w:cs="Arial" w:eastAsia="Arial" w:hAnsi="Arial"/>
                <w:sz w:val="18"/>
                <w:szCs w:val="18"/>
                <w:color w:val="404040"/>
              </w:rPr>
              <w:t>3x base salary</w:t>
            </w:r>
          </w:p>
        </w:tc>
      </w:tr>
      <w:tr>
        <w:trPr>
          <w:trHeight w:val="259"/>
        </w:trPr>
        <w:tc>
          <w:tcPr>
            <w:tcW w:w="4480" w:type="dxa"/>
            <w:vAlign w:val="bottom"/>
            <w:tcBorders>
              <w:bottom w:val="single" w:sz="8" w:color="53C072"/>
            </w:tcBorders>
            <w:shd w:val="clear" w:color="auto" w:fill="CBECD5"/>
          </w:tcPr>
          <w:p>
            <w:pPr>
              <w:ind w:left="60"/>
              <w:spacing w:after="0"/>
              <w:rPr>
                <w:sz w:val="20"/>
                <w:szCs w:val="20"/>
                <w:color w:val="auto"/>
              </w:rPr>
            </w:pPr>
            <w:r>
              <w:rPr>
                <w:rFonts w:ascii="Arial" w:cs="Arial" w:eastAsia="Arial" w:hAnsi="Arial"/>
                <w:sz w:val="18"/>
                <w:szCs w:val="18"/>
                <w:color w:val="404040"/>
              </w:rPr>
              <w:t>Other Officers</w:t>
            </w:r>
          </w:p>
        </w:tc>
        <w:tc>
          <w:tcPr>
            <w:tcW w:w="4280" w:type="dxa"/>
            <w:vAlign w:val="bottom"/>
            <w:tcBorders>
              <w:bottom w:val="single" w:sz="8" w:color="53C072"/>
            </w:tcBorders>
            <w:shd w:val="clear" w:color="auto" w:fill="CBECD5"/>
          </w:tcPr>
          <w:p>
            <w:pPr>
              <w:ind w:left="2280"/>
              <w:spacing w:after="0"/>
              <w:rPr>
                <w:sz w:val="20"/>
                <w:szCs w:val="20"/>
                <w:color w:val="auto"/>
              </w:rPr>
            </w:pPr>
            <w:r>
              <w:rPr>
                <w:rFonts w:ascii="Arial" w:cs="Arial" w:eastAsia="Arial" w:hAnsi="Arial"/>
                <w:sz w:val="18"/>
                <w:szCs w:val="18"/>
                <w:color w:val="404040"/>
              </w:rPr>
              <w:t>1x base salary</w:t>
            </w:r>
          </w:p>
        </w:tc>
      </w:tr>
    </w:tbl>
    <w:p>
      <w:pPr>
        <w:spacing w:after="0" w:line="89" w:lineRule="exact"/>
        <w:rPr>
          <w:sz w:val="20"/>
          <w:szCs w:val="20"/>
          <w:color w:val="auto"/>
        </w:rPr>
      </w:pPr>
    </w:p>
    <w:p>
      <w:pPr>
        <w:ind w:left="1000" w:right="419"/>
        <w:spacing w:after="0" w:line="271" w:lineRule="auto"/>
        <w:rPr>
          <w:sz w:val="20"/>
          <w:szCs w:val="20"/>
          <w:color w:val="auto"/>
        </w:rPr>
      </w:pPr>
      <w:r>
        <w:rPr>
          <w:rFonts w:ascii="Arial" w:cs="Arial" w:eastAsia="Arial" w:hAnsi="Arial"/>
          <w:sz w:val="18"/>
          <w:szCs w:val="18"/>
          <w:color w:val="auto"/>
        </w:rPr>
        <w:t>Shares that count towards the guidelines include shares actually owned, vested and unvested RSUs, vested PSUs, and shares acquired from the exercise of stock options.</w:t>
      </w:r>
    </w:p>
    <w:p>
      <w:pPr>
        <w:spacing w:after="0" w:line="86" w:lineRule="exact"/>
        <w:rPr>
          <w:sz w:val="20"/>
          <w:szCs w:val="20"/>
          <w:color w:val="auto"/>
        </w:rPr>
      </w:pPr>
    </w:p>
    <w:p>
      <w:pPr>
        <w:ind w:left="1000" w:right="139"/>
        <w:spacing w:after="0" w:line="252" w:lineRule="auto"/>
        <w:rPr>
          <w:sz w:val="20"/>
          <w:szCs w:val="20"/>
          <w:color w:val="auto"/>
        </w:rPr>
      </w:pPr>
      <w:r>
        <w:rPr>
          <w:rFonts w:ascii="Arial" w:cs="Arial" w:eastAsia="Arial" w:hAnsi="Arial"/>
          <w:sz w:val="18"/>
          <w:szCs w:val="18"/>
          <w:color w:val="auto"/>
        </w:rPr>
        <w:t>The guidelines do not provide a time frame by which ownership must be achieved. However, until the ownership level under the guidelines is met, the NEO must hold at least 50% of any net shares he or she receives upon the exercise of stock options or upon the delivery of any RSU or PSU awards. As of June 28, 2025, all NEOs satisfy these requirements.</w:t>
      </w:r>
    </w:p>
    <w:p>
      <w:pPr>
        <w:spacing w:after="0" w:line="98"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Recoupment Policy</w:t>
      </w:r>
    </w:p>
    <w:p>
      <w:pPr>
        <w:spacing w:after="0" w:line="153" w:lineRule="exact"/>
        <w:rPr>
          <w:sz w:val="20"/>
          <w:szCs w:val="20"/>
          <w:color w:val="auto"/>
        </w:rPr>
      </w:pPr>
    </w:p>
    <w:p>
      <w:pPr>
        <w:ind w:left="1000" w:right="159"/>
        <w:spacing w:after="0" w:line="270" w:lineRule="auto"/>
        <w:rPr>
          <w:sz w:val="20"/>
          <w:szCs w:val="20"/>
          <w:color w:val="auto"/>
        </w:rPr>
      </w:pPr>
      <w:r>
        <w:rPr>
          <w:rFonts w:ascii="Arial" w:cs="Arial" w:eastAsia="Arial" w:hAnsi="Arial"/>
          <w:sz w:val="17"/>
          <w:szCs w:val="17"/>
          <w:color w:val="auto"/>
        </w:rPr>
        <w:t>Under the Company’s Incentive-Based Compensation Recoupment Policy, also known as a clawback policy, the Company is required to recoup incentive-based compensation erroneously received by any current or former executive officer in the case of a restatement of the Company’s financial results. The Company may also seek to recover all or part of incentive-based compensation if a current or former executive officer: (i) engaged in misconduct, (ii) knew or should have known about misconduct and failed to report it to the Company, or</w:t>
      </w:r>
    </w:p>
    <w:p>
      <w:pPr>
        <w:spacing w:after="0" w:line="96"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43" w:lineRule="exact"/>
        <w:rPr>
          <w:sz w:val="20"/>
          <w:szCs w:val="20"/>
          <w:color w:val="auto"/>
        </w:rPr>
      </w:pPr>
    </w:p>
    <w:p>
      <w:pPr>
        <w:jc w:val="right"/>
        <w:ind w:right="139"/>
        <w:spacing w:after="0"/>
        <w:tabs>
          <w:tab w:leader="none" w:pos="2460" w:val="left"/>
        </w:tabs>
        <w:rPr>
          <w:sz w:val="20"/>
          <w:szCs w:val="20"/>
          <w:color w:val="auto"/>
        </w:rPr>
      </w:pPr>
      <w:r>
        <w:rPr>
          <w:rFonts w:ascii="Arial" w:cs="Arial" w:eastAsia="Arial" w:hAnsi="Arial"/>
          <w:sz w:val="28"/>
          <w:szCs w:val="28"/>
          <w:b w:val="1"/>
          <w:bCs w:val="1"/>
          <w:color w:val="53C072"/>
          <w:vertAlign w:val="superscript"/>
        </w:rPr>
        <w:t>2025 ANNUAL</w:t>
      </w:r>
      <w:r>
        <w:rPr>
          <w:rFonts w:ascii="Arial" w:cs="Arial" w:eastAsia="Arial" w:hAnsi="Arial"/>
          <w:sz w:val="28"/>
          <w:szCs w:val="28"/>
          <w:b w:val="1"/>
          <w:bCs w:val="1"/>
          <w:color w:val="auto"/>
          <w:vertAlign w:val="superscript"/>
        </w:rPr>
        <w:t xml:space="preserve"> </w:t>
      </w:r>
      <w:r>
        <w:rPr>
          <w:sz w:val="20"/>
          <w:szCs w:val="20"/>
          <w:color w:val="auto"/>
        </w:rPr>
        <w:tab/>
      </w:r>
      <w:r>
        <w:rPr>
          <w:rFonts w:ascii="Arial" w:cs="Arial" w:eastAsia="Arial" w:hAnsi="Arial"/>
          <w:sz w:val="14"/>
          <w:szCs w:val="14"/>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000" w:right="219" w:hanging="10"/>
        <w:spacing w:after="0" w:line="267" w:lineRule="auto"/>
        <w:tabs>
          <w:tab w:leader="none" w:pos="1282" w:val="left"/>
        </w:tabs>
        <w:numPr>
          <w:ilvl w:val="0"/>
          <w:numId w:val="52"/>
        </w:numPr>
        <w:rPr>
          <w:rFonts w:ascii="Arial" w:cs="Arial" w:eastAsia="Arial" w:hAnsi="Arial"/>
          <w:sz w:val="17"/>
          <w:szCs w:val="17"/>
          <w:color w:val="auto"/>
        </w:rPr>
      </w:pPr>
      <w:r>
        <w:rPr>
          <w:rFonts w:ascii="Arial" w:cs="Arial" w:eastAsia="Arial" w:hAnsi="Arial"/>
          <w:sz w:val="17"/>
          <w:szCs w:val="17"/>
          <w:color w:val="auto"/>
        </w:rPr>
        <w:t>was in a position, including a supervisory role, to reasonably prevent the misconduct. Further, the Company is authorized to recover compensation paid to any current or former employee to the extent required by law or applicable exchange’s listing standards. Incentive-based compensation includes any cash or stock-based award which is granted, earned, or vested based wholly or in part upon the attainment of financial reporting measures, including measures derived from financial reporting measures, stock price, and total shareholder returns. The policy defines misconduct as willfully or grossly negligent conduct or omission resulting in, or constituting, a criminal conviction (including a guilty plea, plea of nolo contendere, plea of no contest, or other similar admission of guilt), theft, fraud, material violation of the Company’s Code of Conduct, material reputational or financial harm to the Company, or material responsibility for the Company issuing a restatement of its financial results. In determining whether to take action in the case of misconduct, the Independent Directors may consider: (i) any benefit received by the executive officer, (ii) the seriousness of the misconduct,</w:t>
      </w:r>
    </w:p>
    <w:p>
      <w:pPr>
        <w:spacing w:after="0" w:line="1" w:lineRule="exact"/>
        <w:rPr>
          <w:rFonts w:ascii="Arial" w:cs="Arial" w:eastAsia="Arial" w:hAnsi="Arial"/>
          <w:sz w:val="17"/>
          <w:szCs w:val="17"/>
          <w:color w:val="auto"/>
        </w:rPr>
      </w:pPr>
    </w:p>
    <w:p>
      <w:pPr>
        <w:ind w:left="1000" w:right="539" w:hanging="10"/>
        <w:spacing w:after="0" w:line="255" w:lineRule="auto"/>
        <w:tabs>
          <w:tab w:leader="none" w:pos="128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of the misconduct on the Company, and (iv) any other factors that the Independent Directors consider relevant. The Company does not reimburse executive officers for recouped incentive- based compensation or indemnify or insure executive officers in connection with recoupment of incentive- based compensation under this policy.</w:t>
      </w:r>
    </w:p>
    <w:p>
      <w:pPr>
        <w:spacing w:after="0" w:line="97"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Equity Grant Practices</w:t>
      </w:r>
    </w:p>
    <w:p>
      <w:pPr>
        <w:spacing w:after="0" w:line="153" w:lineRule="exact"/>
        <w:rPr>
          <w:sz w:val="20"/>
          <w:szCs w:val="20"/>
          <w:color w:val="auto"/>
        </w:rPr>
      </w:pPr>
    </w:p>
    <w:p>
      <w:pPr>
        <w:ind w:left="1000" w:right="179"/>
        <w:spacing w:after="0" w:line="274" w:lineRule="auto"/>
        <w:rPr>
          <w:sz w:val="20"/>
          <w:szCs w:val="20"/>
          <w:color w:val="auto"/>
        </w:rPr>
      </w:pPr>
      <w:r>
        <w:rPr>
          <w:rFonts w:ascii="Arial" w:cs="Arial" w:eastAsia="Arial" w:hAnsi="Arial"/>
          <w:sz w:val="17"/>
          <w:szCs w:val="17"/>
          <w:color w:val="auto"/>
        </w:rPr>
        <w:t>Equity incentive compensation decisions are generally made at the Board’s or Committee’s regularly scheduled meetings in August, which are generally scheduled at least one year in advance. Pursuant to the Company’s equity incentive plans, the exercise price of each stock option awarded to the executive officers is the closing price of the Company’s Common Stock on the date of grant. Options and other equity-based compensation may be granted in connection with a new hire or a promotion, in which case equity compensation may be granted at the Compensation Committee meeting at or about the time of hiring or promotion. Grants are made without regard to anticipated earnings or major announcements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56     </w:t>
      </w:r>
      <w:r>
        <w:rPr>
          <w:sz w:val="1"/>
          <w:szCs w:val="1"/>
          <w:color w:val="auto"/>
        </w:rPr>
        <w:drawing>
          <wp:inline distT="0" distB="0" distL="0" distR="0">
            <wp:extent cx="1242695" cy="24003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43" w:lineRule="exact"/>
        <w:rPr>
          <w:sz w:val="20"/>
          <w:szCs w:val="20"/>
          <w:color w:val="auto"/>
        </w:rPr>
      </w:pPr>
    </w:p>
    <w:p>
      <w:pPr>
        <w:jc w:val="right"/>
        <w:ind w:right="139"/>
        <w:spacing w:after="0"/>
        <w:tabs>
          <w:tab w:leader="none" w:pos="2460" w:val="left"/>
        </w:tabs>
        <w:rPr>
          <w:sz w:val="20"/>
          <w:szCs w:val="20"/>
          <w:color w:val="auto"/>
        </w:rPr>
      </w:pPr>
      <w:r>
        <w:rPr>
          <w:rFonts w:ascii="Arial" w:cs="Arial" w:eastAsia="Arial" w:hAnsi="Arial"/>
          <w:sz w:val="28"/>
          <w:szCs w:val="28"/>
          <w:b w:val="1"/>
          <w:bCs w:val="1"/>
          <w:color w:val="53C072"/>
          <w:vertAlign w:val="superscript"/>
        </w:rPr>
        <w:t>2025 ANNUAL</w:t>
      </w:r>
      <w:r>
        <w:rPr>
          <w:rFonts w:ascii="Arial" w:cs="Arial" w:eastAsia="Arial" w:hAnsi="Arial"/>
          <w:sz w:val="28"/>
          <w:szCs w:val="28"/>
          <w:b w:val="1"/>
          <w:bCs w:val="1"/>
          <w:color w:val="auto"/>
          <w:vertAlign w:val="superscript"/>
        </w:rPr>
        <w:t xml:space="preserve"> </w:t>
      </w:r>
      <w:r>
        <w:rPr>
          <w:sz w:val="20"/>
          <w:szCs w:val="20"/>
          <w:color w:val="auto"/>
        </w:rPr>
        <w:tab/>
      </w:r>
      <w:r>
        <w:rPr>
          <w:rFonts w:ascii="Arial" w:cs="Arial" w:eastAsia="Arial" w:hAnsi="Arial"/>
          <w:sz w:val="14"/>
          <w:szCs w:val="14"/>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323215</wp:posOffset>
            </wp:positionV>
            <wp:extent cx="5554980" cy="6858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2020"/>
        <w:spacing w:after="0"/>
        <w:rPr>
          <w:sz w:val="20"/>
          <w:szCs w:val="20"/>
          <w:color w:val="auto"/>
        </w:rPr>
      </w:pPr>
      <w:r>
        <w:rPr>
          <w:rFonts w:ascii="Arial" w:cs="Arial" w:eastAsia="Arial" w:hAnsi="Arial"/>
          <w:sz w:val="40"/>
          <w:szCs w:val="40"/>
          <w:b w:val="1"/>
          <w:bCs w:val="1"/>
          <w:color w:val="FEFEFE"/>
        </w:rPr>
        <w:t>COMPENSATION AND LEADERSHIP</w:t>
      </w:r>
    </w:p>
    <w:p>
      <w:pPr>
        <w:spacing w:after="0" w:line="53" w:lineRule="exact"/>
        <w:rPr>
          <w:sz w:val="20"/>
          <w:szCs w:val="20"/>
          <w:color w:val="auto"/>
        </w:rPr>
      </w:pPr>
    </w:p>
    <w:p>
      <w:pPr>
        <w:ind w:left="1800"/>
        <w:spacing w:after="0"/>
        <w:rPr>
          <w:sz w:val="20"/>
          <w:szCs w:val="20"/>
          <w:color w:val="auto"/>
        </w:rPr>
      </w:pPr>
      <w:r>
        <w:rPr>
          <w:rFonts w:ascii="Arial" w:cs="Arial" w:eastAsia="Arial" w:hAnsi="Arial"/>
          <w:sz w:val="40"/>
          <w:szCs w:val="40"/>
          <w:b w:val="1"/>
          <w:bCs w:val="1"/>
          <w:color w:val="FEFEFE"/>
        </w:rPr>
        <w:t>DEVELOPMENT COMMITTEE REPORT</w:t>
      </w:r>
      <w:r>
        <w:rPr>
          <w:rFonts w:ascii="Times New Roman" w:cs="Times New Roman" w:eastAsia="Times New Roman" w:hAnsi="Times New Roman"/>
          <w:sz w:val="17"/>
          <w:szCs w:val="17"/>
          <w:color w:val="FEFEFE"/>
        </w:rPr>
        <w:t>​</w:t>
      </w:r>
    </w:p>
    <w:p>
      <w:pPr>
        <w:spacing w:after="0" w:line="379" w:lineRule="exact"/>
        <w:rPr>
          <w:sz w:val="20"/>
          <w:szCs w:val="20"/>
          <w:color w:val="auto"/>
        </w:rPr>
      </w:pPr>
    </w:p>
    <w:p>
      <w:pPr>
        <w:ind w:left="1000" w:right="199"/>
        <w:spacing w:after="0" w:line="259" w:lineRule="auto"/>
        <w:rPr>
          <w:sz w:val="20"/>
          <w:szCs w:val="20"/>
          <w:color w:val="auto"/>
        </w:rPr>
      </w:pPr>
      <w:r>
        <w:rPr>
          <w:rFonts w:ascii="Arial" w:cs="Arial" w:eastAsia="Arial" w:hAnsi="Arial"/>
          <w:sz w:val="18"/>
          <w:szCs w:val="18"/>
          <w:color w:val="auto"/>
        </w:rPr>
        <w:t>The Compensation and Leadership Development Committee has reviewed the Compensation Discussion and Analysis (“CD&amp;A”) and discussed it with management. Based on its review and discussion with management, the Committee recommended to the Board of Directors that the CD&amp;A be included in the Company’s 2025 Proxy Statement and incorporated by reference into the Company’s annual report on Form 10-K. This Report is provided by the following Independent Directors, who comprise the Committee:</w:t>
      </w:r>
    </w:p>
    <w:p>
      <w:pPr>
        <w:spacing w:after="0" w:line="9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Jo Ann Jenkins, Chair</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Brenda Freeman</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Avid Modjtabai</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Adalio T. Sanchez</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80"/>
        <w:spacing w:after="0"/>
        <w:rPr>
          <w:sz w:val="20"/>
          <w:szCs w:val="20"/>
          <w:color w:val="auto"/>
        </w:rPr>
      </w:pPr>
      <w:r>
        <w:rPr>
          <w:rFonts w:ascii="Arial" w:cs="Arial" w:eastAsia="Arial" w:hAnsi="Arial"/>
          <w:sz w:val="40"/>
          <w:szCs w:val="40"/>
          <w:b w:val="1"/>
          <w:bCs w:val="1"/>
          <w:color w:val="FEFEFE"/>
        </w:rPr>
        <w:t>COMPENSATION OF EXECUTIVE OFFICERS</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ind w:left="1000" w:right="319"/>
        <w:spacing w:after="0" w:line="287" w:lineRule="auto"/>
        <w:rPr>
          <w:sz w:val="20"/>
          <w:szCs w:val="20"/>
          <w:color w:val="auto"/>
        </w:rPr>
      </w:pPr>
      <w:r>
        <w:rPr>
          <w:rFonts w:ascii="Arial" w:cs="Arial" w:eastAsia="Arial" w:hAnsi="Arial"/>
          <w:sz w:val="18"/>
          <w:szCs w:val="18"/>
          <w:color w:val="auto"/>
        </w:rPr>
        <w:t>The following table sets forth information concerning the compensation provided to NEOs by the Company for fiscal years 2023 through 2025.</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132080</wp:posOffset>
            </wp:positionV>
            <wp:extent cx="5554980" cy="7969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54980" cy="796925"/>
                    </a:xfrm>
                    <a:prstGeom prst="rect">
                      <a:avLst/>
                    </a:prstGeom>
                    <a:noFill/>
                  </pic:spPr>
                </pic:pic>
              </a:graphicData>
            </a:graphic>
          </wp:anchor>
        </w:drawing>
      </w:r>
    </w:p>
    <w:p>
      <w:pPr>
        <w:spacing w:after="0" w:line="200" w:lineRule="exact"/>
        <w:rPr>
          <w:sz w:val="20"/>
          <w:szCs w:val="20"/>
          <w:color w:val="auto"/>
        </w:rPr>
      </w:pPr>
    </w:p>
    <w:p>
      <w:pPr>
        <w:jc w:val="right"/>
        <w:ind w:right="1999"/>
        <w:spacing w:after="0"/>
        <w:rPr>
          <w:sz w:val="20"/>
          <w:szCs w:val="20"/>
          <w:color w:val="auto"/>
        </w:rPr>
      </w:pPr>
      <w:r>
        <w:rPr>
          <w:rFonts w:ascii="Arial" w:cs="Arial" w:eastAsia="Arial" w:hAnsi="Arial"/>
          <w:sz w:val="13"/>
          <w:szCs w:val="13"/>
          <w:b w:val="1"/>
          <w:bCs w:val="1"/>
          <w:color w:val="FEFEFE"/>
        </w:rPr>
        <w:t>Change in</w:t>
      </w:r>
    </w:p>
    <w:p>
      <w:pPr>
        <w:spacing w:after="0" w:line="13" w:lineRule="exact"/>
        <w:rPr>
          <w:sz w:val="20"/>
          <w:szCs w:val="20"/>
          <w:color w:val="auto"/>
        </w:rPr>
      </w:pPr>
    </w:p>
    <w:p>
      <w:pPr>
        <w:jc w:val="right"/>
        <w:ind w:right="1999"/>
        <w:spacing w:after="0"/>
        <w:rPr>
          <w:sz w:val="20"/>
          <w:szCs w:val="20"/>
          <w:color w:val="auto"/>
        </w:rPr>
      </w:pPr>
      <w:r>
        <w:rPr>
          <w:rFonts w:ascii="Arial" w:cs="Arial" w:eastAsia="Arial" w:hAnsi="Arial"/>
          <w:sz w:val="13"/>
          <w:szCs w:val="13"/>
          <w:b w:val="1"/>
          <w:bCs w:val="1"/>
          <w:color w:val="FEFEFE"/>
        </w:rPr>
        <w:t>Pension</w:t>
      </w:r>
    </w:p>
    <w:tbl>
      <w:tblPr>
        <w:tblLayout w:type="fixed"/>
        <w:tblInd w:w="980" w:type="dxa"/>
        <w:tblCellMar>
          <w:top w:w="0" w:type="dxa"/>
          <w:left w:w="0" w:type="dxa"/>
          <w:bottom w:w="0" w:type="dxa"/>
          <w:right w:w="0" w:type="dxa"/>
        </w:tblCellMar>
      </w:tblPr>
      <w:tr>
        <w:trPr>
          <w:trHeight w:val="147"/>
        </w:trPr>
        <w:tc>
          <w:tcPr>
            <w:tcW w:w="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FEFEFE"/>
              </w:rPr>
              <w:t>Value and</w:t>
            </w: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FEFEFE"/>
              </w:rPr>
              <w:t>Non-Equity</w:t>
            </w:r>
          </w:p>
        </w:tc>
        <w:tc>
          <w:tcPr>
            <w:tcW w:w="1060" w:type="dxa"/>
            <w:vAlign w:val="bottom"/>
          </w:tcPr>
          <w:p>
            <w:pPr>
              <w:jc w:val="right"/>
              <w:ind w:right="13"/>
              <w:spacing w:after="0"/>
              <w:rPr>
                <w:sz w:val="20"/>
                <w:szCs w:val="20"/>
                <w:color w:val="auto"/>
              </w:rPr>
            </w:pPr>
            <w:r>
              <w:rPr>
                <w:rFonts w:ascii="Arial" w:cs="Arial" w:eastAsia="Arial" w:hAnsi="Arial"/>
                <w:sz w:val="13"/>
                <w:szCs w:val="13"/>
                <w:b w:val="1"/>
                <w:bCs w:val="1"/>
                <w:color w:val="FEFEFE"/>
              </w:rPr>
              <w:t>Nonqualified</w:t>
            </w: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FEFEFE"/>
              </w:rPr>
              <w:t>Stock</w:t>
            </w:r>
          </w:p>
        </w:tc>
        <w:tc>
          <w:tcPr>
            <w:tcW w:w="62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FEFEFE"/>
              </w:rPr>
              <w:t>Option</w:t>
            </w:r>
          </w:p>
        </w:tc>
        <w:tc>
          <w:tcPr>
            <w:tcW w:w="1060" w:type="dxa"/>
            <w:vAlign w:val="bottom"/>
            <w:vMerge w:val="continue"/>
          </w:tcPr>
          <w:p>
            <w:pPr>
              <w:spacing w:after="0"/>
              <w:rPr>
                <w:sz w:val="12"/>
                <w:szCs w:val="12"/>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b w:val="1"/>
                <w:bCs w:val="1"/>
                <w:color w:val="FEFEFE"/>
              </w:rPr>
              <w:t>Deferred</w:t>
            </w:r>
          </w:p>
        </w:tc>
        <w:tc>
          <w:tcPr>
            <w:tcW w:w="108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FEFEFE"/>
              </w:rPr>
              <w:t>All Other</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b w:val="1"/>
                <w:bCs w:val="1"/>
                <w:color w:val="FEFEFE"/>
              </w:rPr>
              <w:t>Incentive Plan</w:t>
            </w:r>
          </w:p>
        </w:tc>
        <w:tc>
          <w:tcPr>
            <w:tcW w:w="1060" w:type="dxa"/>
            <w:vAlign w:val="bottom"/>
          </w:tcPr>
          <w:p>
            <w:pPr>
              <w:jc w:val="right"/>
              <w:ind w:right="13"/>
              <w:spacing w:after="0"/>
              <w:rPr>
                <w:sz w:val="20"/>
                <w:szCs w:val="20"/>
                <w:color w:val="auto"/>
              </w:rPr>
            </w:pPr>
            <w:r>
              <w:rPr>
                <w:rFonts w:ascii="Arial" w:cs="Arial" w:eastAsia="Arial" w:hAnsi="Arial"/>
                <w:sz w:val="13"/>
                <w:szCs w:val="13"/>
                <w:b w:val="1"/>
                <w:bCs w:val="1"/>
                <w:color w:val="FEFEFE"/>
              </w:rPr>
              <w:t>Compensation</w:t>
            </w:r>
          </w:p>
        </w:tc>
        <w:tc>
          <w:tcPr>
            <w:tcW w:w="10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1940" w:type="dxa"/>
            <w:vAlign w:val="bottom"/>
            <w:vMerge w:val="restart"/>
          </w:tcPr>
          <w:p>
            <w:pPr>
              <w:spacing w:after="0"/>
              <w:rPr>
                <w:sz w:val="20"/>
                <w:szCs w:val="20"/>
                <w:color w:val="auto"/>
              </w:rPr>
            </w:pPr>
            <w:r>
              <w:rPr>
                <w:rFonts w:ascii="Arial" w:cs="Arial" w:eastAsia="Arial" w:hAnsi="Arial"/>
                <w:sz w:val="13"/>
                <w:szCs w:val="13"/>
                <w:b w:val="1"/>
                <w:bCs w:val="1"/>
                <w:color w:val="FEFEFE"/>
              </w:rPr>
              <w:t>Name and Principal Position</w:t>
            </w:r>
          </w:p>
        </w:tc>
        <w:tc>
          <w:tcPr>
            <w:tcW w:w="380" w:type="dxa"/>
            <w:vAlign w:val="bottom"/>
            <w:vMerge w:val="restart"/>
          </w:tcPr>
          <w:p>
            <w:pPr>
              <w:jc w:val="right"/>
              <w:spacing w:after="0"/>
              <w:rPr>
                <w:sz w:val="20"/>
                <w:szCs w:val="20"/>
                <w:color w:val="auto"/>
              </w:rPr>
            </w:pPr>
            <w:r>
              <w:rPr>
                <w:rFonts w:ascii="Arial" w:cs="Arial" w:eastAsia="Arial" w:hAnsi="Arial"/>
                <w:sz w:val="13"/>
                <w:szCs w:val="13"/>
                <w:b w:val="1"/>
                <w:bCs w:val="1"/>
                <w:color w:val="FEFEFE"/>
              </w:rPr>
              <w:t>Year</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FEFEFE"/>
              </w:rPr>
              <w:t>Salary</w:t>
            </w:r>
          </w:p>
        </w:tc>
        <w:tc>
          <w:tcPr>
            <w:tcW w:w="580" w:type="dxa"/>
            <w:vAlign w:val="bottom"/>
          </w:tcPr>
          <w:p>
            <w:pPr>
              <w:ind w:left="40"/>
              <w:spacing w:after="0"/>
              <w:rPr>
                <w:sz w:val="20"/>
                <w:szCs w:val="20"/>
                <w:color w:val="auto"/>
              </w:rPr>
            </w:pPr>
            <w:r>
              <w:rPr>
                <w:rFonts w:ascii="Arial" w:cs="Arial" w:eastAsia="Arial" w:hAnsi="Arial"/>
                <w:sz w:val="13"/>
                <w:szCs w:val="13"/>
                <w:b w:val="1"/>
                <w:bCs w:val="1"/>
                <w:color w:val="FEFEFE"/>
              </w:rPr>
              <w:t>Bonus</w:t>
            </w:r>
          </w:p>
        </w:tc>
        <w:tc>
          <w:tcPr>
            <w:tcW w:w="620" w:type="dxa"/>
            <w:vAlign w:val="bottom"/>
          </w:tcPr>
          <w:p>
            <w:pPr>
              <w:jc w:val="right"/>
              <w:ind w:right="13"/>
              <w:spacing w:after="0"/>
              <w:rPr>
                <w:sz w:val="20"/>
                <w:szCs w:val="20"/>
                <w:color w:val="auto"/>
              </w:rPr>
            </w:pPr>
            <w:r>
              <w:rPr>
                <w:rFonts w:ascii="Arial" w:cs="Arial" w:eastAsia="Arial" w:hAnsi="Arial"/>
                <w:sz w:val="13"/>
                <w:szCs w:val="13"/>
                <w:b w:val="1"/>
                <w:bCs w:val="1"/>
                <w:color w:val="FEFEFE"/>
              </w:rPr>
              <w:t>Awards</w:t>
            </w:r>
          </w:p>
        </w:tc>
        <w:tc>
          <w:tcPr>
            <w:tcW w:w="620" w:type="dxa"/>
            <w:vAlign w:val="bottom"/>
          </w:tcPr>
          <w:p>
            <w:pPr>
              <w:jc w:val="right"/>
              <w:ind w:right="13"/>
              <w:spacing w:after="0"/>
              <w:rPr>
                <w:sz w:val="20"/>
                <w:szCs w:val="20"/>
                <w:color w:val="auto"/>
              </w:rPr>
            </w:pPr>
            <w:r>
              <w:rPr>
                <w:rFonts w:ascii="Arial" w:cs="Arial" w:eastAsia="Arial" w:hAnsi="Arial"/>
                <w:sz w:val="13"/>
                <w:szCs w:val="13"/>
                <w:b w:val="1"/>
                <w:bCs w:val="1"/>
                <w:color w:val="FEFEFE"/>
              </w:rPr>
              <w:t>Awards</w:t>
            </w:r>
          </w:p>
        </w:tc>
        <w:tc>
          <w:tcPr>
            <w:tcW w:w="1060" w:type="dxa"/>
            <w:vAlign w:val="bottom"/>
          </w:tcPr>
          <w:p>
            <w:pPr>
              <w:jc w:val="right"/>
              <w:ind w:right="13"/>
              <w:spacing w:after="0"/>
              <w:rPr>
                <w:sz w:val="20"/>
                <w:szCs w:val="20"/>
                <w:color w:val="auto"/>
              </w:rPr>
            </w:pPr>
            <w:r>
              <w:rPr>
                <w:rFonts w:ascii="Arial" w:cs="Arial" w:eastAsia="Arial" w:hAnsi="Arial"/>
                <w:sz w:val="13"/>
                <w:szCs w:val="13"/>
                <w:b w:val="1"/>
                <w:bCs w:val="1"/>
                <w:color w:val="FEFEFE"/>
              </w:rPr>
              <w:t>Compensation</w:t>
            </w:r>
          </w:p>
        </w:tc>
        <w:tc>
          <w:tcPr>
            <w:tcW w:w="1060" w:type="dxa"/>
            <w:vAlign w:val="bottom"/>
          </w:tcPr>
          <w:p>
            <w:pPr>
              <w:jc w:val="right"/>
              <w:ind w:right="13"/>
              <w:spacing w:after="0"/>
              <w:rPr>
                <w:sz w:val="20"/>
                <w:szCs w:val="20"/>
                <w:color w:val="auto"/>
              </w:rPr>
            </w:pPr>
            <w:r>
              <w:rPr>
                <w:rFonts w:ascii="Arial" w:cs="Arial" w:eastAsia="Arial" w:hAnsi="Arial"/>
                <w:sz w:val="13"/>
                <w:szCs w:val="13"/>
                <w:b w:val="1"/>
                <w:bCs w:val="1"/>
                <w:color w:val="FEFEFE"/>
              </w:rPr>
              <w:t>Earnings</w:t>
            </w:r>
          </w:p>
        </w:tc>
        <w:tc>
          <w:tcPr>
            <w:tcW w:w="1080" w:type="dxa"/>
            <w:vAlign w:val="bottom"/>
          </w:tcPr>
          <w:p>
            <w:pPr>
              <w:jc w:val="right"/>
              <w:ind w:right="33"/>
              <w:spacing w:after="0"/>
              <w:rPr>
                <w:sz w:val="20"/>
                <w:szCs w:val="20"/>
                <w:color w:val="auto"/>
              </w:rPr>
            </w:pPr>
            <w:r>
              <w:rPr>
                <w:rFonts w:ascii="Arial" w:cs="Arial" w:eastAsia="Arial" w:hAnsi="Arial"/>
                <w:sz w:val="13"/>
                <w:szCs w:val="13"/>
                <w:b w:val="1"/>
                <w:bCs w:val="1"/>
                <w:color w:val="FEFEFE"/>
              </w:rPr>
              <w:t>Compensation</w:t>
            </w:r>
          </w:p>
        </w:tc>
        <w:tc>
          <w:tcPr>
            <w:tcW w:w="700" w:type="dxa"/>
            <w:vAlign w:val="bottom"/>
          </w:tcPr>
          <w:p>
            <w:pPr>
              <w:jc w:val="right"/>
              <w:ind w:right="33"/>
              <w:spacing w:after="0"/>
              <w:rPr>
                <w:sz w:val="20"/>
                <w:szCs w:val="20"/>
                <w:color w:val="auto"/>
              </w:rPr>
            </w:pPr>
            <w:r>
              <w:rPr>
                <w:rFonts w:ascii="Arial" w:cs="Arial" w:eastAsia="Arial" w:hAnsi="Arial"/>
                <w:sz w:val="13"/>
                <w:szCs w:val="13"/>
                <w:b w:val="1"/>
                <w:bCs w:val="1"/>
                <w:color w:val="FEFEFE"/>
              </w:rPr>
              <w:t>Total</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FEFEFE"/>
              </w:rPr>
              <w:t>($)</w:t>
            </w:r>
          </w:p>
        </w:tc>
        <w:tc>
          <w:tcPr>
            <w:tcW w:w="580" w:type="dxa"/>
            <w:vAlign w:val="bottom"/>
          </w:tcPr>
          <w:p>
            <w:pPr>
              <w:ind w:left="340"/>
              <w:spacing w:after="0"/>
              <w:rPr>
                <w:sz w:val="20"/>
                <w:szCs w:val="20"/>
                <w:color w:val="auto"/>
              </w:rPr>
            </w:pPr>
            <w:r>
              <w:rPr>
                <w:rFonts w:ascii="Arial" w:cs="Arial" w:eastAsia="Arial" w:hAnsi="Arial"/>
                <w:sz w:val="13"/>
                <w:szCs w:val="13"/>
                <w:b w:val="1"/>
                <w:bCs w:val="1"/>
                <w:color w:val="FEFEFE"/>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FEFEFE"/>
              </w:rPr>
              <w:t>($)(1)</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FEFEFE"/>
              </w:rPr>
              <w:t>($)(2)</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FEFEFE"/>
              </w:rPr>
              <w:t>($)</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FEFEFE"/>
              </w:rPr>
              <w:t>($)(3)</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FEFEFE"/>
              </w:rPr>
              <w:t>($)(4)</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3"/>
                <w:szCs w:val="13"/>
                <w:color w:val="auto"/>
              </w:rPr>
              <w:t>Philip R. Gallagher</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2025 1,200,000</w:t>
            </w:r>
          </w:p>
        </w:tc>
        <w:tc>
          <w:tcPr>
            <w:tcW w:w="120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7,309,157</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1,296,000</w:t>
            </w:r>
          </w:p>
        </w:tc>
        <w:tc>
          <w:tcPr>
            <w:tcW w:w="1060" w:type="dxa"/>
            <w:vAlign w:val="bottom"/>
          </w:tcPr>
          <w:p>
            <w:pPr>
              <w:jc w:val="right"/>
              <w:spacing w:after="0"/>
              <w:rPr>
                <w:sz w:val="20"/>
                <w:szCs w:val="20"/>
                <w:color w:val="auto"/>
              </w:rPr>
            </w:pPr>
            <w:r>
              <w:rPr>
                <w:rFonts w:ascii="Arial" w:cs="Arial" w:eastAsia="Arial" w:hAnsi="Arial"/>
                <w:sz w:val="13"/>
                <w:szCs w:val="13"/>
                <w:color w:val="auto"/>
              </w:rPr>
              <w:t>37,429</w:t>
            </w:r>
          </w:p>
        </w:tc>
        <w:tc>
          <w:tcPr>
            <w:tcW w:w="1080" w:type="dxa"/>
            <w:vAlign w:val="bottom"/>
          </w:tcPr>
          <w:p>
            <w:pPr>
              <w:jc w:val="right"/>
              <w:spacing w:after="0"/>
              <w:rPr>
                <w:sz w:val="20"/>
                <w:szCs w:val="20"/>
                <w:color w:val="auto"/>
              </w:rPr>
            </w:pPr>
            <w:r>
              <w:rPr>
                <w:rFonts w:ascii="Arial" w:cs="Arial" w:eastAsia="Arial" w:hAnsi="Arial"/>
                <w:sz w:val="13"/>
                <w:szCs w:val="13"/>
                <w:color w:val="auto"/>
              </w:rPr>
              <w:t>51,546</w:t>
            </w:r>
          </w:p>
        </w:tc>
        <w:tc>
          <w:tcPr>
            <w:tcW w:w="700" w:type="dxa"/>
            <w:vAlign w:val="bottom"/>
          </w:tcPr>
          <w:p>
            <w:pPr>
              <w:jc w:val="right"/>
              <w:spacing w:after="0"/>
              <w:rPr>
                <w:sz w:val="20"/>
                <w:szCs w:val="20"/>
                <w:color w:val="auto"/>
              </w:rPr>
            </w:pPr>
            <w:r>
              <w:rPr>
                <w:rFonts w:ascii="Arial" w:cs="Arial" w:eastAsia="Arial" w:hAnsi="Arial"/>
                <w:sz w:val="13"/>
                <w:szCs w:val="13"/>
                <w:color w:val="auto"/>
              </w:rPr>
              <w:t>9,894,132</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3"/>
                <w:szCs w:val="13"/>
                <w:color w:val="auto"/>
              </w:rPr>
              <w:t>Chief Executive Officer</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2024 1,200,000</w:t>
            </w:r>
          </w:p>
        </w:tc>
        <w:tc>
          <w:tcPr>
            <w:tcW w:w="120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6,572,830</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936,000</w:t>
            </w:r>
          </w:p>
        </w:tc>
        <w:tc>
          <w:tcPr>
            <w:tcW w:w="1060" w:type="dxa"/>
            <w:vAlign w:val="bottom"/>
          </w:tcPr>
          <w:p>
            <w:pPr>
              <w:jc w:val="right"/>
              <w:spacing w:after="0"/>
              <w:rPr>
                <w:sz w:val="20"/>
                <w:szCs w:val="20"/>
                <w:color w:val="auto"/>
              </w:rPr>
            </w:pPr>
            <w:r>
              <w:rPr>
                <w:rFonts w:ascii="Arial" w:cs="Arial" w:eastAsia="Arial" w:hAnsi="Arial"/>
                <w:sz w:val="13"/>
                <w:szCs w:val="13"/>
                <w:color w:val="auto"/>
              </w:rPr>
              <w:t>34,126</w:t>
            </w:r>
          </w:p>
        </w:tc>
        <w:tc>
          <w:tcPr>
            <w:tcW w:w="1080" w:type="dxa"/>
            <w:vAlign w:val="bottom"/>
          </w:tcPr>
          <w:p>
            <w:pPr>
              <w:jc w:val="right"/>
              <w:spacing w:after="0"/>
              <w:rPr>
                <w:sz w:val="20"/>
                <w:szCs w:val="20"/>
                <w:color w:val="auto"/>
              </w:rPr>
            </w:pPr>
            <w:r>
              <w:rPr>
                <w:rFonts w:ascii="Arial" w:cs="Arial" w:eastAsia="Arial" w:hAnsi="Arial"/>
                <w:sz w:val="13"/>
                <w:szCs w:val="13"/>
                <w:color w:val="auto"/>
              </w:rPr>
              <w:t>33,022</w:t>
            </w:r>
          </w:p>
        </w:tc>
        <w:tc>
          <w:tcPr>
            <w:tcW w:w="700" w:type="dxa"/>
            <w:vAlign w:val="bottom"/>
          </w:tcPr>
          <w:p>
            <w:pPr>
              <w:jc w:val="right"/>
              <w:spacing w:after="0"/>
              <w:rPr>
                <w:sz w:val="20"/>
                <w:szCs w:val="20"/>
                <w:color w:val="auto"/>
              </w:rPr>
            </w:pPr>
            <w:r>
              <w:rPr>
                <w:rFonts w:ascii="Arial" w:cs="Arial" w:eastAsia="Arial" w:hAnsi="Arial"/>
                <w:sz w:val="13"/>
                <w:szCs w:val="13"/>
                <w:color w:val="auto"/>
              </w:rPr>
              <w:t>8,775,978</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2023</w:t>
            </w:r>
          </w:p>
        </w:tc>
        <w:tc>
          <w:tcPr>
            <w:tcW w:w="660" w:type="dxa"/>
            <w:vAlign w:val="bottom"/>
          </w:tcPr>
          <w:p>
            <w:pPr>
              <w:jc w:val="right"/>
              <w:spacing w:after="0"/>
              <w:rPr>
                <w:sz w:val="20"/>
                <w:szCs w:val="20"/>
                <w:color w:val="auto"/>
              </w:rPr>
            </w:pPr>
            <w:r>
              <w:rPr>
                <w:rFonts w:ascii="Arial" w:cs="Arial" w:eastAsia="Arial" w:hAnsi="Arial"/>
                <w:sz w:val="13"/>
                <w:szCs w:val="13"/>
                <w:color w:val="auto"/>
              </w:rPr>
              <w:t>1,150,000</w:t>
            </w:r>
          </w:p>
        </w:tc>
        <w:tc>
          <w:tcPr>
            <w:tcW w:w="1200" w:type="dxa"/>
            <w:vAlign w:val="bottom"/>
            <w:gridSpan w:val="2"/>
          </w:tcPr>
          <w:p>
            <w:pPr>
              <w:jc w:val="right"/>
              <w:spacing w:after="0" w:line="216"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6,078,268</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2,432,526</w:t>
            </w:r>
          </w:p>
        </w:tc>
        <w:tc>
          <w:tcPr>
            <w:tcW w:w="1060" w:type="dxa"/>
            <w:vAlign w:val="bottom"/>
          </w:tcPr>
          <w:p>
            <w:pPr>
              <w:jc w:val="right"/>
              <w:spacing w:after="0"/>
              <w:rPr>
                <w:sz w:val="20"/>
                <w:szCs w:val="20"/>
                <w:color w:val="auto"/>
              </w:rPr>
            </w:pPr>
            <w:r>
              <w:rPr>
                <w:rFonts w:ascii="Arial" w:cs="Arial" w:eastAsia="Arial" w:hAnsi="Arial"/>
                <w:sz w:val="13"/>
                <w:szCs w:val="13"/>
                <w:color w:val="auto"/>
              </w:rPr>
              <w:t>27,780</w:t>
            </w:r>
          </w:p>
        </w:tc>
        <w:tc>
          <w:tcPr>
            <w:tcW w:w="1080" w:type="dxa"/>
            <w:vAlign w:val="bottom"/>
          </w:tcPr>
          <w:p>
            <w:pPr>
              <w:jc w:val="right"/>
              <w:spacing w:after="0"/>
              <w:rPr>
                <w:sz w:val="20"/>
                <w:szCs w:val="20"/>
                <w:color w:val="auto"/>
              </w:rPr>
            </w:pPr>
            <w:r>
              <w:rPr>
                <w:rFonts w:ascii="Arial" w:cs="Arial" w:eastAsia="Arial" w:hAnsi="Arial"/>
                <w:sz w:val="13"/>
                <w:szCs w:val="13"/>
                <w:color w:val="auto"/>
              </w:rPr>
              <w:t>28,253</w:t>
            </w:r>
          </w:p>
        </w:tc>
        <w:tc>
          <w:tcPr>
            <w:tcW w:w="700" w:type="dxa"/>
            <w:vAlign w:val="bottom"/>
          </w:tcPr>
          <w:p>
            <w:pPr>
              <w:jc w:val="right"/>
              <w:spacing w:after="0"/>
              <w:rPr>
                <w:sz w:val="20"/>
                <w:szCs w:val="20"/>
                <w:color w:val="auto"/>
              </w:rPr>
            </w:pPr>
            <w:r>
              <w:rPr>
                <w:rFonts w:ascii="Arial" w:cs="Arial" w:eastAsia="Arial" w:hAnsi="Arial"/>
                <w:sz w:val="13"/>
                <w:szCs w:val="13"/>
                <w:color w:val="auto"/>
              </w:rPr>
              <w:t>9,716,827</w:t>
            </w:r>
          </w:p>
        </w:tc>
        <w:tc>
          <w:tcPr>
            <w:tcW w:w="0" w:type="dxa"/>
            <w:vAlign w:val="bottom"/>
          </w:tcPr>
          <w:p>
            <w:pPr>
              <w:spacing w:after="0"/>
              <w:rPr>
                <w:sz w:val="1"/>
                <w:szCs w:val="1"/>
                <w:color w:val="auto"/>
              </w:rPr>
            </w:pPr>
          </w:p>
        </w:tc>
      </w:tr>
      <w:tr>
        <w:trPr>
          <w:trHeight w:val="163"/>
        </w:trPr>
        <w:tc>
          <w:tcPr>
            <w:tcW w:w="60" w:type="dxa"/>
            <w:vAlign w:val="bottom"/>
            <w:shd w:val="clear" w:color="auto" w:fill="CBECD5"/>
          </w:tcPr>
          <w:p>
            <w:pPr>
              <w:spacing w:after="0"/>
              <w:rPr>
                <w:sz w:val="14"/>
                <w:szCs w:val="14"/>
                <w:color w:val="auto"/>
              </w:rPr>
            </w:pPr>
          </w:p>
        </w:tc>
        <w:tc>
          <w:tcPr>
            <w:tcW w:w="1940" w:type="dxa"/>
            <w:vAlign w:val="bottom"/>
            <w:shd w:val="clear" w:color="auto" w:fill="CBECD5"/>
          </w:tcPr>
          <w:p>
            <w:pPr>
              <w:spacing w:after="0"/>
              <w:rPr>
                <w:sz w:val="20"/>
                <w:szCs w:val="20"/>
                <w:color w:val="auto"/>
              </w:rPr>
            </w:pPr>
            <w:r>
              <w:rPr>
                <w:rFonts w:ascii="Arial" w:cs="Arial" w:eastAsia="Arial" w:hAnsi="Arial"/>
                <w:sz w:val="13"/>
                <w:szCs w:val="13"/>
                <w:color w:val="auto"/>
              </w:rPr>
              <w:t>Kenneth Jacobson</w:t>
            </w:r>
          </w:p>
        </w:tc>
        <w:tc>
          <w:tcPr>
            <w:tcW w:w="3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2025</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675,000</w:t>
            </w:r>
          </w:p>
        </w:tc>
        <w:tc>
          <w:tcPr>
            <w:tcW w:w="1200" w:type="dxa"/>
            <w:vAlign w:val="bottom"/>
            <w:gridSpan w:val="2"/>
            <w:shd w:val="clear" w:color="auto" w:fill="CBECD5"/>
          </w:tcPr>
          <w:p>
            <w:pPr>
              <w:jc w:val="right"/>
              <w:spacing w:after="0" w:line="163"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1,791,861</w:t>
            </w:r>
          </w:p>
        </w:tc>
        <w:tc>
          <w:tcPr>
            <w:tcW w:w="6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486,000</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45,598</w:t>
            </w:r>
          </w:p>
        </w:tc>
        <w:tc>
          <w:tcPr>
            <w:tcW w:w="10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27,707</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3,026,166</w:t>
            </w:r>
          </w:p>
        </w:tc>
        <w:tc>
          <w:tcPr>
            <w:tcW w:w="0" w:type="dxa"/>
            <w:vAlign w:val="bottom"/>
          </w:tcPr>
          <w:p>
            <w:pPr>
              <w:spacing w:after="0"/>
              <w:rPr>
                <w:sz w:val="1"/>
                <w:szCs w:val="1"/>
                <w:color w:val="auto"/>
              </w:rPr>
            </w:pPr>
          </w:p>
        </w:tc>
      </w:tr>
      <w:tr>
        <w:trPr>
          <w:trHeight w:val="189"/>
        </w:trPr>
        <w:tc>
          <w:tcPr>
            <w:tcW w:w="60" w:type="dxa"/>
            <w:vAlign w:val="bottom"/>
            <w:shd w:val="clear" w:color="auto" w:fill="CBECD5"/>
          </w:tcPr>
          <w:p>
            <w:pPr>
              <w:spacing w:after="0"/>
              <w:rPr>
                <w:sz w:val="16"/>
                <w:szCs w:val="16"/>
                <w:color w:val="auto"/>
              </w:rPr>
            </w:pPr>
          </w:p>
        </w:tc>
        <w:tc>
          <w:tcPr>
            <w:tcW w:w="1940" w:type="dxa"/>
            <w:vAlign w:val="bottom"/>
            <w:shd w:val="clear" w:color="auto" w:fill="CBECD5"/>
          </w:tcPr>
          <w:p>
            <w:pPr>
              <w:spacing w:after="0"/>
              <w:rPr>
                <w:sz w:val="20"/>
                <w:szCs w:val="20"/>
                <w:color w:val="auto"/>
              </w:rPr>
            </w:pPr>
            <w:r>
              <w:rPr>
                <w:rFonts w:ascii="Arial" w:cs="Arial" w:eastAsia="Arial" w:hAnsi="Arial"/>
                <w:sz w:val="13"/>
                <w:szCs w:val="13"/>
                <w:color w:val="auto"/>
              </w:rPr>
              <w:t>Chief Financial Officer</w:t>
            </w:r>
          </w:p>
        </w:tc>
        <w:tc>
          <w:tcPr>
            <w:tcW w:w="3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2024</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600,000</w:t>
            </w:r>
          </w:p>
        </w:tc>
        <w:tc>
          <w:tcPr>
            <w:tcW w:w="120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1,408,395</w:t>
            </w:r>
          </w:p>
        </w:tc>
        <w:tc>
          <w:tcPr>
            <w:tcW w:w="6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312,000</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39,965</w:t>
            </w:r>
          </w:p>
        </w:tc>
        <w:tc>
          <w:tcPr>
            <w:tcW w:w="10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28,402</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2,388,762</w:t>
            </w:r>
          </w:p>
        </w:tc>
        <w:tc>
          <w:tcPr>
            <w:tcW w:w="0" w:type="dxa"/>
            <w:vAlign w:val="bottom"/>
          </w:tcPr>
          <w:p>
            <w:pPr>
              <w:spacing w:after="0"/>
              <w:rPr>
                <w:sz w:val="1"/>
                <w:szCs w:val="1"/>
                <w:color w:val="auto"/>
              </w:rPr>
            </w:pPr>
          </w:p>
        </w:tc>
      </w:tr>
      <w:tr>
        <w:trPr>
          <w:trHeight w:val="215"/>
        </w:trPr>
        <w:tc>
          <w:tcPr>
            <w:tcW w:w="60" w:type="dxa"/>
            <w:vAlign w:val="bottom"/>
            <w:shd w:val="clear" w:color="auto" w:fill="CBECD5"/>
          </w:tcPr>
          <w:p>
            <w:pPr>
              <w:spacing w:after="0"/>
              <w:rPr>
                <w:sz w:val="18"/>
                <w:szCs w:val="18"/>
                <w:color w:val="auto"/>
              </w:rPr>
            </w:pPr>
          </w:p>
        </w:tc>
        <w:tc>
          <w:tcPr>
            <w:tcW w:w="1940" w:type="dxa"/>
            <w:vAlign w:val="bottom"/>
            <w:shd w:val="clear" w:color="auto" w:fill="CBECD5"/>
          </w:tcPr>
          <w:p>
            <w:pPr>
              <w:spacing w:after="0"/>
              <w:rPr>
                <w:sz w:val="18"/>
                <w:szCs w:val="18"/>
                <w:color w:val="auto"/>
              </w:rPr>
            </w:pPr>
          </w:p>
        </w:tc>
        <w:tc>
          <w:tcPr>
            <w:tcW w:w="3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2023</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482,081</w:t>
            </w:r>
          </w:p>
        </w:tc>
        <w:tc>
          <w:tcPr>
            <w:tcW w:w="1200" w:type="dxa"/>
            <w:vAlign w:val="bottom"/>
            <w:gridSpan w:val="2"/>
            <w:shd w:val="clear" w:color="auto" w:fill="CBECD5"/>
          </w:tcPr>
          <w:p>
            <w:pPr>
              <w:jc w:val="right"/>
              <w:spacing w:after="0" w:line="216"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1,168,888</w:t>
            </w:r>
          </w:p>
        </w:tc>
        <w:tc>
          <w:tcPr>
            <w:tcW w:w="6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618,113</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16,493</w:t>
            </w:r>
          </w:p>
        </w:tc>
        <w:tc>
          <w:tcPr>
            <w:tcW w:w="10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26,474</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2,312,049</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1940" w:type="dxa"/>
            <w:vAlign w:val="bottom"/>
          </w:tcPr>
          <w:p>
            <w:pPr>
              <w:spacing w:after="0"/>
              <w:rPr>
                <w:sz w:val="20"/>
                <w:szCs w:val="20"/>
                <w:color w:val="auto"/>
              </w:rPr>
            </w:pPr>
            <w:r>
              <w:rPr>
                <w:rFonts w:ascii="Arial" w:cs="Arial" w:eastAsia="Arial" w:hAnsi="Arial"/>
                <w:sz w:val="13"/>
                <w:szCs w:val="13"/>
                <w:color w:val="auto"/>
              </w:rPr>
              <w:t>Ken E. Arnold</w:t>
            </w:r>
          </w:p>
        </w:tc>
        <w:tc>
          <w:tcPr>
            <w:tcW w:w="380" w:type="dxa"/>
            <w:vAlign w:val="bottom"/>
          </w:tcPr>
          <w:p>
            <w:pPr>
              <w:jc w:val="right"/>
              <w:spacing w:after="0"/>
              <w:rPr>
                <w:sz w:val="20"/>
                <w:szCs w:val="20"/>
                <w:color w:val="auto"/>
              </w:rPr>
            </w:pPr>
            <w:r>
              <w:rPr>
                <w:rFonts w:ascii="Arial" w:cs="Arial" w:eastAsia="Arial" w:hAnsi="Arial"/>
                <w:sz w:val="13"/>
                <w:szCs w:val="13"/>
                <w:color w:val="auto"/>
              </w:rPr>
              <w:t>2025</w:t>
            </w:r>
          </w:p>
        </w:tc>
        <w:tc>
          <w:tcPr>
            <w:tcW w:w="660" w:type="dxa"/>
            <w:vAlign w:val="bottom"/>
          </w:tcPr>
          <w:p>
            <w:pPr>
              <w:jc w:val="right"/>
              <w:spacing w:after="0"/>
              <w:rPr>
                <w:sz w:val="20"/>
                <w:szCs w:val="20"/>
                <w:color w:val="auto"/>
              </w:rPr>
            </w:pPr>
            <w:r>
              <w:rPr>
                <w:rFonts w:ascii="Arial" w:cs="Arial" w:eastAsia="Arial" w:hAnsi="Arial"/>
                <w:sz w:val="13"/>
                <w:szCs w:val="13"/>
                <w:color w:val="auto"/>
              </w:rPr>
              <w:t>560,000</w:t>
            </w:r>
          </w:p>
        </w:tc>
        <w:tc>
          <w:tcPr>
            <w:tcW w:w="1200" w:type="dxa"/>
            <w:vAlign w:val="bottom"/>
            <w:gridSpan w:val="2"/>
          </w:tcPr>
          <w:p>
            <w:pPr>
              <w:jc w:val="right"/>
              <w:spacing w:after="0" w:line="163"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1,273,247</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302.400</w:t>
            </w:r>
          </w:p>
        </w:tc>
        <w:tc>
          <w:tcPr>
            <w:tcW w:w="1060" w:type="dxa"/>
            <w:vAlign w:val="bottom"/>
          </w:tcPr>
          <w:p>
            <w:pPr>
              <w:jc w:val="right"/>
              <w:spacing w:after="0"/>
              <w:rPr>
                <w:sz w:val="20"/>
                <w:szCs w:val="20"/>
                <w:color w:val="auto"/>
              </w:rPr>
            </w:pPr>
            <w:r>
              <w:rPr>
                <w:rFonts w:ascii="Arial" w:cs="Arial" w:eastAsia="Arial" w:hAnsi="Arial"/>
                <w:sz w:val="13"/>
                <w:szCs w:val="13"/>
                <w:color w:val="auto"/>
              </w:rPr>
              <w:t>87,152</w:t>
            </w:r>
          </w:p>
        </w:tc>
        <w:tc>
          <w:tcPr>
            <w:tcW w:w="1080" w:type="dxa"/>
            <w:vAlign w:val="bottom"/>
          </w:tcPr>
          <w:p>
            <w:pPr>
              <w:jc w:val="right"/>
              <w:spacing w:after="0"/>
              <w:rPr>
                <w:sz w:val="20"/>
                <w:szCs w:val="20"/>
                <w:color w:val="auto"/>
              </w:rPr>
            </w:pPr>
            <w:r>
              <w:rPr>
                <w:rFonts w:ascii="Arial" w:cs="Arial" w:eastAsia="Arial" w:hAnsi="Arial"/>
                <w:sz w:val="13"/>
                <w:szCs w:val="13"/>
                <w:color w:val="auto"/>
              </w:rPr>
              <w:t>23,599</w:t>
            </w:r>
          </w:p>
        </w:tc>
        <w:tc>
          <w:tcPr>
            <w:tcW w:w="700" w:type="dxa"/>
            <w:vAlign w:val="bottom"/>
          </w:tcPr>
          <w:p>
            <w:pPr>
              <w:jc w:val="right"/>
              <w:spacing w:after="0"/>
              <w:rPr>
                <w:sz w:val="20"/>
                <w:szCs w:val="20"/>
                <w:color w:val="auto"/>
              </w:rPr>
            </w:pPr>
            <w:r>
              <w:rPr>
                <w:rFonts w:ascii="Arial" w:cs="Arial" w:eastAsia="Arial" w:hAnsi="Arial"/>
                <w:sz w:val="13"/>
                <w:szCs w:val="13"/>
                <w:color w:val="auto"/>
              </w:rPr>
              <w:t>2,246,398</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3"/>
                <w:szCs w:val="13"/>
                <w:color w:val="auto"/>
              </w:rPr>
              <w:t>Chief People Officer</w:t>
            </w:r>
          </w:p>
        </w:tc>
        <w:tc>
          <w:tcPr>
            <w:tcW w:w="380" w:type="dxa"/>
            <w:vAlign w:val="bottom"/>
          </w:tcPr>
          <w:p>
            <w:pPr>
              <w:jc w:val="right"/>
              <w:spacing w:after="0"/>
              <w:rPr>
                <w:sz w:val="20"/>
                <w:szCs w:val="20"/>
                <w:color w:val="auto"/>
              </w:rPr>
            </w:pPr>
            <w:r>
              <w:rPr>
                <w:rFonts w:ascii="Arial" w:cs="Arial" w:eastAsia="Arial" w:hAnsi="Arial"/>
                <w:sz w:val="13"/>
                <w:szCs w:val="13"/>
                <w:color w:val="auto"/>
              </w:rPr>
              <w:t>2024</w:t>
            </w:r>
          </w:p>
        </w:tc>
        <w:tc>
          <w:tcPr>
            <w:tcW w:w="660" w:type="dxa"/>
            <w:vAlign w:val="bottom"/>
          </w:tcPr>
          <w:p>
            <w:pPr>
              <w:jc w:val="right"/>
              <w:spacing w:after="0"/>
              <w:rPr>
                <w:sz w:val="20"/>
                <w:szCs w:val="20"/>
                <w:color w:val="auto"/>
              </w:rPr>
            </w:pPr>
            <w:r>
              <w:rPr>
                <w:rFonts w:ascii="Arial" w:cs="Arial" w:eastAsia="Arial" w:hAnsi="Arial"/>
                <w:sz w:val="13"/>
                <w:szCs w:val="13"/>
                <w:color w:val="auto"/>
              </w:rPr>
              <w:t>560,000</w:t>
            </w:r>
          </w:p>
        </w:tc>
        <w:tc>
          <w:tcPr>
            <w:tcW w:w="120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1,126,697</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218.400</w:t>
            </w:r>
          </w:p>
        </w:tc>
        <w:tc>
          <w:tcPr>
            <w:tcW w:w="1060" w:type="dxa"/>
            <w:vAlign w:val="bottom"/>
          </w:tcPr>
          <w:p>
            <w:pPr>
              <w:jc w:val="right"/>
              <w:spacing w:after="0"/>
              <w:rPr>
                <w:sz w:val="20"/>
                <w:szCs w:val="20"/>
                <w:color w:val="auto"/>
              </w:rPr>
            </w:pPr>
            <w:r>
              <w:rPr>
                <w:rFonts w:ascii="Arial" w:cs="Arial" w:eastAsia="Arial" w:hAnsi="Arial"/>
                <w:sz w:val="13"/>
                <w:szCs w:val="13"/>
                <w:color w:val="auto"/>
              </w:rPr>
              <w:t>97,467</w:t>
            </w:r>
          </w:p>
        </w:tc>
        <w:tc>
          <w:tcPr>
            <w:tcW w:w="1080" w:type="dxa"/>
            <w:vAlign w:val="bottom"/>
          </w:tcPr>
          <w:p>
            <w:pPr>
              <w:jc w:val="right"/>
              <w:spacing w:after="0"/>
              <w:rPr>
                <w:sz w:val="20"/>
                <w:szCs w:val="20"/>
                <w:color w:val="auto"/>
              </w:rPr>
            </w:pPr>
            <w:r>
              <w:rPr>
                <w:rFonts w:ascii="Arial" w:cs="Arial" w:eastAsia="Arial" w:hAnsi="Arial"/>
                <w:sz w:val="13"/>
                <w:szCs w:val="13"/>
                <w:color w:val="auto"/>
              </w:rPr>
              <w:t>18,590</w:t>
            </w:r>
          </w:p>
        </w:tc>
        <w:tc>
          <w:tcPr>
            <w:tcW w:w="700" w:type="dxa"/>
            <w:vAlign w:val="bottom"/>
          </w:tcPr>
          <w:p>
            <w:pPr>
              <w:jc w:val="right"/>
              <w:spacing w:after="0"/>
              <w:rPr>
                <w:sz w:val="20"/>
                <w:szCs w:val="20"/>
                <w:color w:val="auto"/>
              </w:rPr>
            </w:pPr>
            <w:r>
              <w:rPr>
                <w:rFonts w:ascii="Arial" w:cs="Arial" w:eastAsia="Arial" w:hAnsi="Arial"/>
                <w:sz w:val="13"/>
                <w:szCs w:val="13"/>
                <w:color w:val="auto"/>
              </w:rPr>
              <w:t>2,021,154</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2023</w:t>
            </w:r>
          </w:p>
        </w:tc>
        <w:tc>
          <w:tcPr>
            <w:tcW w:w="660" w:type="dxa"/>
            <w:vAlign w:val="bottom"/>
          </w:tcPr>
          <w:p>
            <w:pPr>
              <w:jc w:val="right"/>
              <w:spacing w:after="0"/>
              <w:rPr>
                <w:sz w:val="20"/>
                <w:szCs w:val="20"/>
                <w:color w:val="auto"/>
              </w:rPr>
            </w:pPr>
            <w:r>
              <w:rPr>
                <w:rFonts w:ascii="Arial" w:cs="Arial" w:eastAsia="Arial" w:hAnsi="Arial"/>
                <w:sz w:val="13"/>
                <w:szCs w:val="13"/>
                <w:color w:val="auto"/>
              </w:rPr>
              <w:t>525,000</w:t>
            </w:r>
          </w:p>
        </w:tc>
        <w:tc>
          <w:tcPr>
            <w:tcW w:w="580" w:type="dxa"/>
            <w:vAlign w:val="bottom"/>
          </w:tcPr>
          <w:p>
            <w:pPr>
              <w:ind w:left="5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888,362</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555,251</w:t>
            </w:r>
          </w:p>
        </w:tc>
        <w:tc>
          <w:tcPr>
            <w:tcW w:w="1060" w:type="dxa"/>
            <w:vAlign w:val="bottom"/>
          </w:tcPr>
          <w:p>
            <w:pPr>
              <w:jc w:val="right"/>
              <w:spacing w:after="0"/>
              <w:rPr>
                <w:sz w:val="20"/>
                <w:szCs w:val="20"/>
                <w:color w:val="auto"/>
              </w:rPr>
            </w:pPr>
            <w:r>
              <w:rPr>
                <w:rFonts w:ascii="Arial" w:cs="Arial" w:eastAsia="Arial" w:hAnsi="Arial"/>
                <w:sz w:val="13"/>
                <w:szCs w:val="13"/>
                <w:color w:val="auto"/>
              </w:rPr>
              <w:t>77,903</w:t>
            </w:r>
          </w:p>
        </w:tc>
        <w:tc>
          <w:tcPr>
            <w:tcW w:w="1080" w:type="dxa"/>
            <w:vAlign w:val="bottom"/>
          </w:tcPr>
          <w:p>
            <w:pPr>
              <w:jc w:val="right"/>
              <w:spacing w:after="0"/>
              <w:rPr>
                <w:sz w:val="20"/>
                <w:szCs w:val="20"/>
                <w:color w:val="auto"/>
              </w:rPr>
            </w:pPr>
            <w:r>
              <w:rPr>
                <w:rFonts w:ascii="Arial" w:cs="Arial" w:eastAsia="Arial" w:hAnsi="Arial"/>
                <w:sz w:val="13"/>
                <w:szCs w:val="13"/>
                <w:color w:val="auto"/>
              </w:rPr>
              <w:t>19,863</w:t>
            </w:r>
          </w:p>
        </w:tc>
        <w:tc>
          <w:tcPr>
            <w:tcW w:w="700" w:type="dxa"/>
            <w:vAlign w:val="bottom"/>
          </w:tcPr>
          <w:p>
            <w:pPr>
              <w:jc w:val="right"/>
              <w:spacing w:after="0"/>
              <w:rPr>
                <w:sz w:val="20"/>
                <w:szCs w:val="20"/>
                <w:color w:val="auto"/>
              </w:rPr>
            </w:pPr>
            <w:r>
              <w:rPr>
                <w:rFonts w:ascii="Arial" w:cs="Arial" w:eastAsia="Arial" w:hAnsi="Arial"/>
                <w:sz w:val="13"/>
                <w:szCs w:val="13"/>
                <w:color w:val="auto"/>
              </w:rPr>
              <w:t>2,066,379</w:t>
            </w:r>
          </w:p>
        </w:tc>
        <w:tc>
          <w:tcPr>
            <w:tcW w:w="0" w:type="dxa"/>
            <w:vAlign w:val="bottom"/>
          </w:tcPr>
          <w:p>
            <w:pPr>
              <w:spacing w:after="0"/>
              <w:rPr>
                <w:sz w:val="1"/>
                <w:szCs w:val="1"/>
                <w:color w:val="auto"/>
              </w:rPr>
            </w:pPr>
          </w:p>
        </w:tc>
      </w:tr>
      <w:tr>
        <w:trPr>
          <w:trHeight w:val="163"/>
        </w:trPr>
        <w:tc>
          <w:tcPr>
            <w:tcW w:w="60" w:type="dxa"/>
            <w:vAlign w:val="bottom"/>
            <w:shd w:val="clear" w:color="auto" w:fill="CBECD5"/>
          </w:tcPr>
          <w:p>
            <w:pPr>
              <w:spacing w:after="0"/>
              <w:rPr>
                <w:sz w:val="14"/>
                <w:szCs w:val="14"/>
                <w:color w:val="auto"/>
              </w:rPr>
            </w:pPr>
          </w:p>
        </w:tc>
        <w:tc>
          <w:tcPr>
            <w:tcW w:w="1940" w:type="dxa"/>
            <w:vAlign w:val="bottom"/>
            <w:shd w:val="clear" w:color="auto" w:fill="CBECD5"/>
          </w:tcPr>
          <w:p>
            <w:pPr>
              <w:spacing w:after="0"/>
              <w:rPr>
                <w:sz w:val="20"/>
                <w:szCs w:val="20"/>
                <w:color w:val="auto"/>
              </w:rPr>
            </w:pPr>
            <w:r>
              <w:rPr>
                <w:rFonts w:ascii="Arial" w:cs="Arial" w:eastAsia="Arial" w:hAnsi="Arial"/>
                <w:sz w:val="13"/>
                <w:szCs w:val="13"/>
                <w:color w:val="auto"/>
              </w:rPr>
              <w:t>Max Chan</w:t>
            </w:r>
          </w:p>
        </w:tc>
        <w:tc>
          <w:tcPr>
            <w:tcW w:w="3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2025</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550,000</w:t>
            </w:r>
          </w:p>
        </w:tc>
        <w:tc>
          <w:tcPr>
            <w:tcW w:w="580" w:type="dxa"/>
            <w:vAlign w:val="bottom"/>
            <w:shd w:val="clear" w:color="auto" w:fill="CBECD5"/>
          </w:tcPr>
          <w:p>
            <w:pPr>
              <w:ind w:left="5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801,731</w:t>
            </w:r>
          </w:p>
        </w:tc>
        <w:tc>
          <w:tcPr>
            <w:tcW w:w="6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316,800</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46,849</w:t>
            </w:r>
          </w:p>
        </w:tc>
        <w:tc>
          <w:tcPr>
            <w:tcW w:w="10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20,586</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1,735,966</w:t>
            </w:r>
          </w:p>
        </w:tc>
        <w:tc>
          <w:tcPr>
            <w:tcW w:w="0" w:type="dxa"/>
            <w:vAlign w:val="bottom"/>
          </w:tcPr>
          <w:p>
            <w:pPr>
              <w:spacing w:after="0"/>
              <w:rPr>
                <w:sz w:val="1"/>
                <w:szCs w:val="1"/>
                <w:color w:val="auto"/>
              </w:rPr>
            </w:pPr>
          </w:p>
        </w:tc>
      </w:tr>
      <w:tr>
        <w:trPr>
          <w:trHeight w:val="189"/>
        </w:trPr>
        <w:tc>
          <w:tcPr>
            <w:tcW w:w="60" w:type="dxa"/>
            <w:vAlign w:val="bottom"/>
            <w:shd w:val="clear" w:color="auto" w:fill="CBECD5"/>
          </w:tcPr>
          <w:p>
            <w:pPr>
              <w:spacing w:after="0"/>
              <w:rPr>
                <w:sz w:val="16"/>
                <w:szCs w:val="16"/>
                <w:color w:val="auto"/>
              </w:rPr>
            </w:pPr>
          </w:p>
        </w:tc>
        <w:tc>
          <w:tcPr>
            <w:tcW w:w="1940" w:type="dxa"/>
            <w:vAlign w:val="bottom"/>
            <w:shd w:val="clear" w:color="auto" w:fill="CBECD5"/>
          </w:tcPr>
          <w:p>
            <w:pPr>
              <w:spacing w:after="0"/>
              <w:rPr>
                <w:sz w:val="20"/>
                <w:szCs w:val="20"/>
                <w:color w:val="auto"/>
              </w:rPr>
            </w:pPr>
            <w:r>
              <w:rPr>
                <w:rFonts w:ascii="Arial" w:cs="Arial" w:eastAsia="Arial" w:hAnsi="Arial"/>
                <w:sz w:val="13"/>
                <w:szCs w:val="13"/>
                <w:color w:val="auto"/>
              </w:rPr>
              <w:t>Chief Information Officer</w:t>
            </w:r>
          </w:p>
        </w:tc>
        <w:tc>
          <w:tcPr>
            <w:tcW w:w="3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2024</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550,000</w:t>
            </w:r>
          </w:p>
        </w:tc>
        <w:tc>
          <w:tcPr>
            <w:tcW w:w="580" w:type="dxa"/>
            <w:vAlign w:val="bottom"/>
            <w:shd w:val="clear" w:color="auto" w:fill="CBECD5"/>
          </w:tcPr>
          <w:p>
            <w:pPr>
              <w:ind w:left="5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704,316</w:t>
            </w:r>
          </w:p>
        </w:tc>
        <w:tc>
          <w:tcPr>
            <w:tcW w:w="6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228,800</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47,332</w:t>
            </w:r>
          </w:p>
        </w:tc>
        <w:tc>
          <w:tcPr>
            <w:tcW w:w="10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22,230</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1,552,678</w:t>
            </w:r>
          </w:p>
        </w:tc>
        <w:tc>
          <w:tcPr>
            <w:tcW w:w="0" w:type="dxa"/>
            <w:vAlign w:val="bottom"/>
          </w:tcPr>
          <w:p>
            <w:pPr>
              <w:spacing w:after="0"/>
              <w:rPr>
                <w:sz w:val="1"/>
                <w:szCs w:val="1"/>
                <w:color w:val="auto"/>
              </w:rPr>
            </w:pPr>
          </w:p>
        </w:tc>
      </w:tr>
      <w:tr>
        <w:trPr>
          <w:trHeight w:val="229"/>
        </w:trPr>
        <w:tc>
          <w:tcPr>
            <w:tcW w:w="60" w:type="dxa"/>
            <w:vAlign w:val="bottom"/>
            <w:shd w:val="clear" w:color="auto" w:fill="CBECD5"/>
          </w:tcPr>
          <w:p>
            <w:pPr>
              <w:spacing w:after="0"/>
              <w:rPr>
                <w:sz w:val="19"/>
                <w:szCs w:val="19"/>
                <w:color w:val="auto"/>
              </w:rPr>
            </w:pPr>
          </w:p>
        </w:tc>
        <w:tc>
          <w:tcPr>
            <w:tcW w:w="1940" w:type="dxa"/>
            <w:vAlign w:val="bottom"/>
            <w:shd w:val="clear" w:color="auto" w:fill="CBECD5"/>
          </w:tcPr>
          <w:p>
            <w:pPr>
              <w:spacing w:after="0"/>
              <w:rPr>
                <w:sz w:val="19"/>
                <w:szCs w:val="19"/>
                <w:color w:val="auto"/>
              </w:rPr>
            </w:pPr>
          </w:p>
        </w:tc>
        <w:tc>
          <w:tcPr>
            <w:tcW w:w="3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2023</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500,000</w:t>
            </w:r>
          </w:p>
        </w:tc>
        <w:tc>
          <w:tcPr>
            <w:tcW w:w="580" w:type="dxa"/>
            <w:vAlign w:val="bottom"/>
            <w:shd w:val="clear" w:color="auto" w:fill="CBECD5"/>
          </w:tcPr>
          <w:p>
            <w:pPr>
              <w:ind w:left="5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467,489</w:t>
            </w:r>
          </w:p>
        </w:tc>
        <w:tc>
          <w:tcPr>
            <w:tcW w:w="6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458,302</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34,491</w:t>
            </w:r>
          </w:p>
        </w:tc>
        <w:tc>
          <w:tcPr>
            <w:tcW w:w="10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29,059</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1,489,341</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3"/>
                <w:szCs w:val="13"/>
                <w:color w:val="auto"/>
              </w:rPr>
              <w:t>Michael R. McCoy</w:t>
            </w:r>
          </w:p>
        </w:tc>
        <w:tc>
          <w:tcPr>
            <w:tcW w:w="380" w:type="dxa"/>
            <w:vAlign w:val="bottom"/>
          </w:tcPr>
          <w:p>
            <w:pPr>
              <w:jc w:val="right"/>
              <w:spacing w:after="0"/>
              <w:rPr>
                <w:sz w:val="20"/>
                <w:szCs w:val="20"/>
                <w:color w:val="auto"/>
              </w:rPr>
            </w:pPr>
            <w:r>
              <w:rPr>
                <w:rFonts w:ascii="Arial" w:cs="Arial" w:eastAsia="Arial" w:hAnsi="Arial"/>
                <w:sz w:val="13"/>
                <w:szCs w:val="13"/>
                <w:color w:val="auto"/>
              </w:rPr>
              <w:t>2025</w:t>
            </w:r>
          </w:p>
        </w:tc>
        <w:tc>
          <w:tcPr>
            <w:tcW w:w="660" w:type="dxa"/>
            <w:vAlign w:val="bottom"/>
          </w:tcPr>
          <w:p>
            <w:pPr>
              <w:jc w:val="right"/>
              <w:spacing w:after="0"/>
              <w:rPr>
                <w:sz w:val="20"/>
                <w:szCs w:val="20"/>
                <w:color w:val="auto"/>
              </w:rPr>
            </w:pPr>
            <w:r>
              <w:rPr>
                <w:rFonts w:ascii="Arial" w:cs="Arial" w:eastAsia="Arial" w:hAnsi="Arial"/>
                <w:sz w:val="13"/>
                <w:szCs w:val="13"/>
                <w:color w:val="auto"/>
              </w:rPr>
              <w:t>595,000</w:t>
            </w:r>
          </w:p>
        </w:tc>
        <w:tc>
          <w:tcPr>
            <w:tcW w:w="1200" w:type="dxa"/>
            <w:vAlign w:val="bottom"/>
            <w:gridSpan w:val="2"/>
          </w:tcPr>
          <w:p>
            <w:pPr>
              <w:jc w:val="right"/>
              <w:spacing w:after="0" w:line="177"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 1,381,652</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342,720</w:t>
            </w:r>
          </w:p>
        </w:tc>
        <w:tc>
          <w:tcPr>
            <w:tcW w:w="1060" w:type="dxa"/>
            <w:vAlign w:val="bottom"/>
          </w:tcPr>
          <w:p>
            <w:pPr>
              <w:jc w:val="right"/>
              <w:spacing w:after="0"/>
              <w:rPr>
                <w:sz w:val="20"/>
                <w:szCs w:val="20"/>
                <w:color w:val="auto"/>
              </w:rPr>
            </w:pPr>
            <w:r>
              <w:rPr>
                <w:rFonts w:ascii="Arial" w:cs="Arial" w:eastAsia="Arial" w:hAnsi="Arial"/>
                <w:sz w:val="13"/>
                <w:szCs w:val="13"/>
                <w:color w:val="auto"/>
              </w:rPr>
              <w:t>49,881</w:t>
            </w:r>
          </w:p>
        </w:tc>
        <w:tc>
          <w:tcPr>
            <w:tcW w:w="1080" w:type="dxa"/>
            <w:vAlign w:val="bottom"/>
          </w:tcPr>
          <w:p>
            <w:pPr>
              <w:jc w:val="right"/>
              <w:spacing w:after="0"/>
              <w:rPr>
                <w:sz w:val="20"/>
                <w:szCs w:val="20"/>
                <w:color w:val="auto"/>
              </w:rPr>
            </w:pPr>
            <w:r>
              <w:rPr>
                <w:rFonts w:ascii="Arial" w:cs="Arial" w:eastAsia="Arial" w:hAnsi="Arial"/>
                <w:sz w:val="13"/>
                <w:szCs w:val="13"/>
                <w:color w:val="auto"/>
              </w:rPr>
              <w:t>81,310</w:t>
            </w:r>
          </w:p>
        </w:tc>
        <w:tc>
          <w:tcPr>
            <w:tcW w:w="700" w:type="dxa"/>
            <w:vAlign w:val="bottom"/>
          </w:tcPr>
          <w:p>
            <w:pPr>
              <w:jc w:val="right"/>
              <w:spacing w:after="0"/>
              <w:rPr>
                <w:sz w:val="20"/>
                <w:szCs w:val="20"/>
                <w:color w:val="auto"/>
              </w:rPr>
            </w:pPr>
            <w:r>
              <w:rPr>
                <w:rFonts w:ascii="Arial" w:cs="Arial" w:eastAsia="Arial" w:hAnsi="Arial"/>
                <w:sz w:val="13"/>
                <w:szCs w:val="13"/>
                <w:color w:val="auto"/>
              </w:rPr>
              <w:t>2,450,563</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3"/>
                <w:szCs w:val="13"/>
                <w:color w:val="auto"/>
              </w:rPr>
              <w:t>General Counsel and</w:t>
            </w:r>
          </w:p>
        </w:tc>
        <w:tc>
          <w:tcPr>
            <w:tcW w:w="380" w:type="dxa"/>
            <w:vAlign w:val="bottom"/>
          </w:tcPr>
          <w:p>
            <w:pPr>
              <w:jc w:val="right"/>
              <w:spacing w:after="0"/>
              <w:rPr>
                <w:sz w:val="20"/>
                <w:szCs w:val="20"/>
                <w:color w:val="auto"/>
              </w:rPr>
            </w:pPr>
            <w:r>
              <w:rPr>
                <w:rFonts w:ascii="Arial" w:cs="Arial" w:eastAsia="Arial" w:hAnsi="Arial"/>
                <w:sz w:val="13"/>
                <w:szCs w:val="13"/>
                <w:color w:val="auto"/>
              </w:rPr>
              <w:t>2024</w:t>
            </w:r>
          </w:p>
        </w:tc>
        <w:tc>
          <w:tcPr>
            <w:tcW w:w="660" w:type="dxa"/>
            <w:vAlign w:val="bottom"/>
          </w:tcPr>
          <w:p>
            <w:pPr>
              <w:jc w:val="right"/>
              <w:spacing w:after="0"/>
              <w:rPr>
                <w:sz w:val="20"/>
                <w:szCs w:val="20"/>
                <w:color w:val="auto"/>
              </w:rPr>
            </w:pPr>
            <w:r>
              <w:rPr>
                <w:rFonts w:ascii="Arial" w:cs="Arial" w:eastAsia="Arial" w:hAnsi="Arial"/>
                <w:sz w:val="13"/>
                <w:szCs w:val="13"/>
                <w:color w:val="auto"/>
              </w:rPr>
              <w:t>595,000</w:t>
            </w:r>
          </w:p>
        </w:tc>
        <w:tc>
          <w:tcPr>
            <w:tcW w:w="120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 1,220,566</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247,520</w:t>
            </w:r>
          </w:p>
        </w:tc>
        <w:tc>
          <w:tcPr>
            <w:tcW w:w="1060" w:type="dxa"/>
            <w:vAlign w:val="bottom"/>
          </w:tcPr>
          <w:p>
            <w:pPr>
              <w:jc w:val="right"/>
              <w:spacing w:after="0"/>
              <w:rPr>
                <w:sz w:val="20"/>
                <w:szCs w:val="20"/>
                <w:color w:val="auto"/>
              </w:rPr>
            </w:pPr>
            <w:r>
              <w:rPr>
                <w:rFonts w:ascii="Arial" w:cs="Arial" w:eastAsia="Arial" w:hAnsi="Arial"/>
                <w:sz w:val="13"/>
                <w:szCs w:val="13"/>
                <w:color w:val="auto"/>
              </w:rPr>
              <w:t>49,273</w:t>
            </w:r>
          </w:p>
        </w:tc>
        <w:tc>
          <w:tcPr>
            <w:tcW w:w="1080" w:type="dxa"/>
            <w:vAlign w:val="bottom"/>
          </w:tcPr>
          <w:p>
            <w:pPr>
              <w:jc w:val="right"/>
              <w:spacing w:after="0"/>
              <w:rPr>
                <w:sz w:val="20"/>
                <w:szCs w:val="20"/>
                <w:color w:val="auto"/>
              </w:rPr>
            </w:pPr>
            <w:r>
              <w:rPr>
                <w:rFonts w:ascii="Arial" w:cs="Arial" w:eastAsia="Arial" w:hAnsi="Arial"/>
                <w:sz w:val="13"/>
                <w:szCs w:val="13"/>
                <w:color w:val="auto"/>
              </w:rPr>
              <w:t>92,479</w:t>
            </w:r>
          </w:p>
        </w:tc>
        <w:tc>
          <w:tcPr>
            <w:tcW w:w="700" w:type="dxa"/>
            <w:vAlign w:val="bottom"/>
          </w:tcPr>
          <w:p>
            <w:pPr>
              <w:jc w:val="right"/>
              <w:spacing w:after="0"/>
              <w:rPr>
                <w:sz w:val="20"/>
                <w:szCs w:val="20"/>
                <w:color w:val="auto"/>
              </w:rPr>
            </w:pPr>
            <w:r>
              <w:rPr>
                <w:rFonts w:ascii="Arial" w:cs="Arial" w:eastAsia="Arial" w:hAnsi="Arial"/>
                <w:sz w:val="13"/>
                <w:szCs w:val="13"/>
                <w:color w:val="auto"/>
              </w:rPr>
              <w:t>2,204,838</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3"/>
                <w:szCs w:val="13"/>
                <w:color w:val="auto"/>
              </w:rPr>
              <w:t>Chief Legal Officer</w:t>
            </w:r>
          </w:p>
        </w:tc>
        <w:tc>
          <w:tcPr>
            <w:tcW w:w="380" w:type="dxa"/>
            <w:vAlign w:val="bottom"/>
          </w:tcPr>
          <w:p>
            <w:pPr>
              <w:jc w:val="right"/>
              <w:spacing w:after="0"/>
              <w:rPr>
                <w:sz w:val="20"/>
                <w:szCs w:val="20"/>
                <w:color w:val="auto"/>
              </w:rPr>
            </w:pPr>
            <w:r>
              <w:rPr>
                <w:rFonts w:ascii="Arial" w:cs="Arial" w:eastAsia="Arial" w:hAnsi="Arial"/>
                <w:sz w:val="13"/>
                <w:szCs w:val="13"/>
                <w:color w:val="auto"/>
              </w:rPr>
              <w:t>2023</w:t>
            </w:r>
          </w:p>
        </w:tc>
        <w:tc>
          <w:tcPr>
            <w:tcW w:w="660" w:type="dxa"/>
            <w:vAlign w:val="bottom"/>
          </w:tcPr>
          <w:p>
            <w:pPr>
              <w:jc w:val="right"/>
              <w:spacing w:after="0"/>
              <w:rPr>
                <w:sz w:val="20"/>
                <w:szCs w:val="20"/>
                <w:color w:val="auto"/>
              </w:rPr>
            </w:pPr>
            <w:r>
              <w:rPr>
                <w:rFonts w:ascii="Arial" w:cs="Arial" w:eastAsia="Arial" w:hAnsi="Arial"/>
                <w:sz w:val="13"/>
                <w:szCs w:val="13"/>
                <w:color w:val="auto"/>
              </w:rPr>
              <w:t>550,000</w:t>
            </w:r>
          </w:p>
        </w:tc>
        <w:tc>
          <w:tcPr>
            <w:tcW w:w="580" w:type="dxa"/>
            <w:vAlign w:val="bottom"/>
          </w:tcPr>
          <w:p>
            <w:pPr>
              <w:ind w:left="5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981,885</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581,691</w:t>
            </w:r>
          </w:p>
        </w:tc>
        <w:tc>
          <w:tcPr>
            <w:tcW w:w="1060" w:type="dxa"/>
            <w:vAlign w:val="bottom"/>
          </w:tcPr>
          <w:p>
            <w:pPr>
              <w:jc w:val="right"/>
              <w:spacing w:after="0"/>
              <w:rPr>
                <w:sz w:val="20"/>
                <w:szCs w:val="20"/>
                <w:color w:val="auto"/>
              </w:rPr>
            </w:pPr>
            <w:r>
              <w:rPr>
                <w:rFonts w:ascii="Arial" w:cs="Arial" w:eastAsia="Arial" w:hAnsi="Arial"/>
                <w:sz w:val="13"/>
                <w:szCs w:val="13"/>
                <w:color w:val="auto"/>
              </w:rPr>
              <w:t>31,956</w:t>
            </w:r>
          </w:p>
        </w:tc>
        <w:tc>
          <w:tcPr>
            <w:tcW w:w="1080" w:type="dxa"/>
            <w:vAlign w:val="bottom"/>
          </w:tcPr>
          <w:p>
            <w:pPr>
              <w:jc w:val="right"/>
              <w:spacing w:after="0"/>
              <w:rPr>
                <w:sz w:val="20"/>
                <w:szCs w:val="20"/>
                <w:color w:val="auto"/>
              </w:rPr>
            </w:pPr>
            <w:r>
              <w:rPr>
                <w:rFonts w:ascii="Arial" w:cs="Arial" w:eastAsia="Arial" w:hAnsi="Arial"/>
                <w:sz w:val="13"/>
                <w:szCs w:val="13"/>
                <w:color w:val="auto"/>
              </w:rPr>
              <w:t>187,613</w:t>
            </w:r>
          </w:p>
        </w:tc>
        <w:tc>
          <w:tcPr>
            <w:tcW w:w="700" w:type="dxa"/>
            <w:vAlign w:val="bottom"/>
          </w:tcPr>
          <w:p>
            <w:pPr>
              <w:jc w:val="right"/>
              <w:spacing w:after="0"/>
              <w:rPr>
                <w:sz w:val="20"/>
                <w:szCs w:val="20"/>
                <w:color w:val="auto"/>
              </w:rPr>
            </w:pPr>
            <w:r>
              <w:rPr>
                <w:rFonts w:ascii="Arial" w:cs="Arial" w:eastAsia="Arial" w:hAnsi="Arial"/>
                <w:sz w:val="13"/>
                <w:szCs w:val="13"/>
                <w:color w:val="auto"/>
              </w:rPr>
              <w:t>2,333,145</w:t>
            </w:r>
          </w:p>
        </w:tc>
        <w:tc>
          <w:tcPr>
            <w:tcW w:w="0" w:type="dxa"/>
            <w:vAlign w:val="bottom"/>
          </w:tcPr>
          <w:p>
            <w:pPr>
              <w:spacing w:after="0"/>
              <w:rPr>
                <w:sz w:val="1"/>
                <w:szCs w:val="1"/>
                <w:color w:val="auto"/>
              </w:rPr>
            </w:pPr>
          </w:p>
        </w:tc>
      </w:tr>
      <w:tr>
        <w:trPr>
          <w:trHeight w:val="46"/>
        </w:trPr>
        <w:tc>
          <w:tcPr>
            <w:tcW w:w="60" w:type="dxa"/>
            <w:vAlign w:val="bottom"/>
            <w:tcBorders>
              <w:bottom w:val="single" w:sz="8" w:color="53C072"/>
            </w:tcBorders>
          </w:tcPr>
          <w:p>
            <w:pPr>
              <w:spacing w:after="0"/>
              <w:rPr>
                <w:sz w:val="4"/>
                <w:szCs w:val="4"/>
                <w:color w:val="auto"/>
              </w:rPr>
            </w:pPr>
          </w:p>
        </w:tc>
        <w:tc>
          <w:tcPr>
            <w:tcW w:w="1940" w:type="dxa"/>
            <w:vAlign w:val="bottom"/>
            <w:tcBorders>
              <w:bottom w:val="single" w:sz="8" w:color="53C072"/>
            </w:tcBorders>
          </w:tcPr>
          <w:p>
            <w:pPr>
              <w:spacing w:after="0"/>
              <w:rPr>
                <w:sz w:val="4"/>
                <w:szCs w:val="4"/>
                <w:color w:val="auto"/>
              </w:rPr>
            </w:pPr>
          </w:p>
        </w:tc>
        <w:tc>
          <w:tcPr>
            <w:tcW w:w="380" w:type="dxa"/>
            <w:vAlign w:val="bottom"/>
            <w:tcBorders>
              <w:bottom w:val="single" w:sz="8" w:color="53C072"/>
            </w:tcBorders>
          </w:tcPr>
          <w:p>
            <w:pPr>
              <w:spacing w:after="0"/>
              <w:rPr>
                <w:sz w:val="4"/>
                <w:szCs w:val="4"/>
                <w:color w:val="auto"/>
              </w:rPr>
            </w:pPr>
          </w:p>
        </w:tc>
        <w:tc>
          <w:tcPr>
            <w:tcW w:w="660" w:type="dxa"/>
            <w:vAlign w:val="bottom"/>
            <w:tcBorders>
              <w:bottom w:val="single" w:sz="8" w:color="53C072"/>
            </w:tcBorders>
          </w:tcPr>
          <w:p>
            <w:pPr>
              <w:spacing w:after="0"/>
              <w:rPr>
                <w:sz w:val="4"/>
                <w:szCs w:val="4"/>
                <w:color w:val="auto"/>
              </w:rPr>
            </w:pPr>
          </w:p>
        </w:tc>
        <w:tc>
          <w:tcPr>
            <w:tcW w:w="580" w:type="dxa"/>
            <w:vAlign w:val="bottom"/>
            <w:tcBorders>
              <w:bottom w:val="single" w:sz="8" w:color="53C072"/>
            </w:tcBorders>
          </w:tcPr>
          <w:p>
            <w:pPr>
              <w:spacing w:after="0"/>
              <w:rPr>
                <w:sz w:val="4"/>
                <w:szCs w:val="4"/>
                <w:color w:val="auto"/>
              </w:rPr>
            </w:pPr>
          </w:p>
        </w:tc>
        <w:tc>
          <w:tcPr>
            <w:tcW w:w="620" w:type="dxa"/>
            <w:vAlign w:val="bottom"/>
            <w:tcBorders>
              <w:bottom w:val="single" w:sz="8" w:color="53C072"/>
            </w:tcBorders>
          </w:tcPr>
          <w:p>
            <w:pPr>
              <w:spacing w:after="0"/>
              <w:rPr>
                <w:sz w:val="4"/>
                <w:szCs w:val="4"/>
                <w:color w:val="auto"/>
              </w:rPr>
            </w:pPr>
          </w:p>
        </w:tc>
        <w:tc>
          <w:tcPr>
            <w:tcW w:w="620" w:type="dxa"/>
            <w:vAlign w:val="bottom"/>
            <w:tcBorders>
              <w:bottom w:val="single" w:sz="8" w:color="53C072"/>
            </w:tcBorders>
          </w:tcPr>
          <w:p>
            <w:pPr>
              <w:spacing w:after="0"/>
              <w:rPr>
                <w:sz w:val="4"/>
                <w:szCs w:val="4"/>
                <w:color w:val="auto"/>
              </w:rPr>
            </w:pPr>
          </w:p>
        </w:tc>
        <w:tc>
          <w:tcPr>
            <w:tcW w:w="1060" w:type="dxa"/>
            <w:vAlign w:val="bottom"/>
            <w:tcBorders>
              <w:bottom w:val="single" w:sz="8" w:color="53C072"/>
            </w:tcBorders>
          </w:tcPr>
          <w:p>
            <w:pPr>
              <w:spacing w:after="0"/>
              <w:rPr>
                <w:sz w:val="4"/>
                <w:szCs w:val="4"/>
                <w:color w:val="auto"/>
              </w:rPr>
            </w:pPr>
          </w:p>
        </w:tc>
        <w:tc>
          <w:tcPr>
            <w:tcW w:w="1060" w:type="dxa"/>
            <w:vAlign w:val="bottom"/>
            <w:tcBorders>
              <w:bottom w:val="single" w:sz="8" w:color="53C072"/>
            </w:tcBorders>
          </w:tcPr>
          <w:p>
            <w:pPr>
              <w:spacing w:after="0"/>
              <w:rPr>
                <w:sz w:val="4"/>
                <w:szCs w:val="4"/>
                <w:color w:val="auto"/>
              </w:rPr>
            </w:pPr>
          </w:p>
        </w:tc>
        <w:tc>
          <w:tcPr>
            <w:tcW w:w="1080" w:type="dxa"/>
            <w:vAlign w:val="bottom"/>
            <w:tcBorders>
              <w:bottom w:val="single" w:sz="8" w:color="53C072"/>
            </w:tcBorders>
          </w:tcPr>
          <w:p>
            <w:pPr>
              <w:spacing w:after="0"/>
              <w:rPr>
                <w:sz w:val="4"/>
                <w:szCs w:val="4"/>
                <w:color w:val="auto"/>
              </w:rPr>
            </w:pPr>
          </w:p>
        </w:tc>
        <w:tc>
          <w:tcPr>
            <w:tcW w:w="700" w:type="dxa"/>
            <w:vAlign w:val="bottom"/>
            <w:tcBorders>
              <w:bottom w:val="single" w:sz="8" w:color="53C072"/>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780" w:right="159" w:hanging="718"/>
        <w:spacing w:after="0" w:line="270" w:lineRule="auto"/>
        <w:tabs>
          <w:tab w:leader="none" w:pos="17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Amounts reflect the grant date fair value of awards of RSUs and PSUs, computed in accordance with FASB ASC Topic 718, excluding the effect of estimated forfeitures and dividends, expected to be paid during the vesting period. The grant date fair value of RSUs awarded to each NEO in fiscal 2025 is as follows: Mr. Gallagher — $3,697,836; Mr. Jacobson — $906,490; Mr. Arnold — $644,189; Mr. Chan —  $405,639; and Mr. McCoy — $698,982. With respect to PSUs, both the grant date fair value and the compensation cost were computed based upon the target outcome of the performance conditions as of the grant date. Assuming the target performance is achieved for PSUs awarded in fiscal 2025, the grant date fair value of the PSUs awarded to each NEO is as follows: Mr. Gallagher — $3,611,321; Mr. Jacobson — $885,371; Mr. Arnold — $629,058; Mr. Chan — $396,092; and Mr. McCoy —  $682,670. Assuming the maximum payout of PSUs granted in fiscal 2025 is achieved, the grant date fair value for each NEO would be as follows: Mr. Gallagher — $7,222,642; Mr. Jacobson —  $1,770,741; Mr. Arnold — $1,258,115; Mr. Chan — $792,184; and Mr. McCoy — $1,365,341.</w:t>
      </w:r>
    </w:p>
    <w:p>
      <w:pPr>
        <w:spacing w:after="0" w:line="101" w:lineRule="exact"/>
        <w:rPr>
          <w:rFonts w:ascii="Arial" w:cs="Arial" w:eastAsia="Arial" w:hAnsi="Arial"/>
          <w:sz w:val="17"/>
          <w:szCs w:val="17"/>
          <w:color w:val="auto"/>
        </w:rPr>
      </w:pPr>
    </w:p>
    <w:p>
      <w:pPr>
        <w:ind w:left="1780" w:hanging="718"/>
        <w:spacing w:after="0"/>
        <w:tabs>
          <w:tab w:leader="none" w:pos="1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were no stock options granted during the fiscal years included in the above table.</w:t>
      </w:r>
    </w:p>
    <w:p>
      <w:pPr>
        <w:spacing w:after="0" w:line="157" w:lineRule="exact"/>
        <w:rPr>
          <w:rFonts w:ascii="Arial" w:cs="Arial" w:eastAsia="Arial" w:hAnsi="Arial"/>
          <w:sz w:val="18"/>
          <w:szCs w:val="18"/>
          <w:color w:val="auto"/>
        </w:rPr>
      </w:pPr>
    </w:p>
    <w:p>
      <w:pPr>
        <w:ind w:left="1780" w:right="199" w:hanging="718"/>
        <w:spacing w:after="0" w:line="253" w:lineRule="auto"/>
        <w:tabs>
          <w:tab w:leader="none" w:pos="1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include the net changes in the actuarial present value of accumulated benefits under the Company’s qualified and nonqualified retirement plans. For fiscal year 2025, the increase in the actuarial present value of accumulated benefits under the Company’s qualified plan was as follows: Mr. Gallagher — $37,429; Mr. Jacobson — $20,345; Mr. Arnold — $48,107; Mr. Chan — $22,180; and Mr. McCoy — $23,104. For fiscal year 2025, the increase in the actuarial present value of accumulated benefits under the Company’s nonqualified retirement plans was as follows:</w:t>
      </w:r>
    </w:p>
    <w:p>
      <w:pPr>
        <w:spacing w:after="0" w:line="4"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color w:val="auto"/>
        </w:rPr>
        <w:t>Mr. Jacobson — $25,253; Mr. Arnold — $39,045; Mr. Chan — $24,669; and Mr. McCoy — $26,777.</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58     </w:t>
      </w:r>
      <w:r>
        <w:rPr>
          <w:sz w:val="1"/>
          <w:szCs w:val="1"/>
          <w:color w:val="auto"/>
        </w:rPr>
        <w:drawing>
          <wp:inline distT="0" distB="0" distL="0" distR="0">
            <wp:extent cx="1242695" cy="24003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FEFEFE"/>
              </w:rPr>
              <w:t>​</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92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820" w:type="dxa"/>
            <w:vAlign w:val="bottom"/>
            <w:vMerge w:val="restart"/>
          </w:tcPr>
          <w:p>
            <w:pPr>
              <w:ind w:left="2580"/>
              <w:spacing w:after="0"/>
              <w:rPr>
                <w:sz w:val="20"/>
                <w:szCs w:val="20"/>
                <w:color w:val="auto"/>
              </w:rPr>
            </w:pPr>
            <w:r>
              <w:rPr>
                <w:rFonts w:ascii="Arial" w:cs="Arial" w:eastAsia="Arial" w:hAnsi="Arial"/>
                <w:sz w:val="14"/>
                <w:szCs w:val="14"/>
                <w:color w:val="auto"/>
                <w:w w:val="99"/>
              </w:rPr>
              <w:t>Compensation of Executive Officers</w:t>
            </w:r>
          </w:p>
        </w:tc>
        <w:tc>
          <w:tcPr>
            <w:tcW w:w="0" w:type="dxa"/>
            <w:vAlign w:val="bottom"/>
          </w:tcPr>
          <w:p>
            <w:pPr>
              <w:spacing w:after="0"/>
              <w:rPr>
                <w:sz w:val="1"/>
                <w:szCs w:val="1"/>
                <w:color w:val="auto"/>
              </w:rPr>
            </w:pPr>
          </w:p>
        </w:tc>
      </w:tr>
      <w:tr>
        <w:trPr>
          <w:trHeight w:val="88"/>
        </w:trPr>
        <w:tc>
          <w:tcPr>
            <w:tcW w:w="4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920" w:type="dxa"/>
            <w:vAlign w:val="bottom"/>
            <w:vMerge w:val="continue"/>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780" w:right="359"/>
        <w:spacing w:after="0" w:line="268" w:lineRule="auto"/>
        <w:rPr>
          <w:sz w:val="20"/>
          <w:szCs w:val="20"/>
          <w:color w:val="auto"/>
        </w:rPr>
      </w:pPr>
      <w:r>
        <w:rPr>
          <w:rFonts w:ascii="Arial" w:cs="Arial" w:eastAsia="Arial" w:hAnsi="Arial"/>
          <w:sz w:val="18"/>
          <w:szCs w:val="18"/>
          <w:color w:val="auto"/>
        </w:rPr>
        <w:t>Because Mr. Gallagher was a participant in the SERP, he is not also a participant in the Company’s nonqualified retirement plan. Mr. Gallagher received his final benefit payment under the SERP in fiscal year 2023.</w:t>
      </w:r>
    </w:p>
    <w:p>
      <w:pPr>
        <w:spacing w:after="0" w:line="103" w:lineRule="exact"/>
        <w:rPr>
          <w:sz w:val="20"/>
          <w:szCs w:val="20"/>
          <w:color w:val="auto"/>
        </w:rPr>
      </w:pPr>
    </w:p>
    <w:p>
      <w:pPr>
        <w:ind w:left="1780" w:right="279" w:hanging="718"/>
        <w:spacing w:after="0" w:line="256" w:lineRule="auto"/>
        <w:tabs>
          <w:tab w:leader="none" w:pos="1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include (a) expenses associated with the Company’s automobile program for each of the NEOs, and (b) the cost of annual physical exams. For Mr. McCoy, the amount for fiscal year 2025 includes $49,841 for tax equalization relating to his 2020 and 2021 tax returns in connection with his temporary assignment in Belgium. The auto related expenses for Messrs. Gallagher, Jacobson and McCoy were $34,432, $27,548 and $27,635, respectively. None of the perquisites and personal benefits for the other NEOs exceeded the greater of $25,000 or 10% of the total amount of their benefits.</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EQUITY COMPENSATION PLAN INFORMATION</w:t>
      </w:r>
    </w:p>
    <w:p>
      <w:pPr>
        <w:spacing w:after="0" w:line="14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table below sets forth certain equity compensation plan information as of June 28, 2025:</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93"/>
        </w:trPr>
        <w:tc>
          <w:tcPr>
            <w:tcW w:w="4560" w:type="dxa"/>
            <w:vAlign w:val="bottom"/>
            <w:shd w:val="clear" w:color="auto" w:fill="53C072"/>
          </w:tcPr>
          <w:p>
            <w:pPr>
              <w:spacing w:after="0"/>
              <w:rPr>
                <w:sz w:val="16"/>
                <w:szCs w:val="16"/>
                <w:color w:val="auto"/>
              </w:rPr>
            </w:pPr>
          </w:p>
        </w:tc>
        <w:tc>
          <w:tcPr>
            <w:tcW w:w="1540" w:type="dxa"/>
            <w:vAlign w:val="bottom"/>
            <w:shd w:val="clear" w:color="auto" w:fill="53C072"/>
          </w:tcPr>
          <w:p>
            <w:pPr>
              <w:jc w:val="right"/>
              <w:ind w:right="186"/>
              <w:spacing w:after="0"/>
              <w:rPr>
                <w:sz w:val="20"/>
                <w:szCs w:val="20"/>
                <w:color w:val="auto"/>
              </w:rPr>
            </w:pPr>
            <w:r>
              <w:rPr>
                <w:rFonts w:ascii="Arial" w:cs="Arial" w:eastAsia="Arial" w:hAnsi="Arial"/>
                <w:sz w:val="14"/>
                <w:szCs w:val="14"/>
                <w:b w:val="1"/>
                <w:bCs w:val="1"/>
                <w:color w:val="FEFEFE"/>
              </w:rPr>
              <w:t>Number of</w:t>
            </w:r>
          </w:p>
        </w:tc>
        <w:tc>
          <w:tcPr>
            <w:tcW w:w="1200" w:type="dxa"/>
            <w:vAlign w:val="bottom"/>
            <w:shd w:val="clear" w:color="auto" w:fill="53C072"/>
          </w:tcPr>
          <w:p>
            <w:pPr>
              <w:spacing w:after="0"/>
              <w:rPr>
                <w:sz w:val="16"/>
                <w:szCs w:val="16"/>
                <w:color w:val="auto"/>
              </w:rPr>
            </w:pPr>
          </w:p>
        </w:tc>
        <w:tc>
          <w:tcPr>
            <w:tcW w:w="160" w:type="dxa"/>
            <w:vAlign w:val="bottom"/>
            <w:shd w:val="clear" w:color="auto" w:fill="53C072"/>
          </w:tcPr>
          <w:p>
            <w:pPr>
              <w:spacing w:after="0"/>
              <w:rPr>
                <w:sz w:val="16"/>
                <w:szCs w:val="16"/>
                <w:color w:val="auto"/>
              </w:rPr>
            </w:pPr>
          </w:p>
        </w:tc>
        <w:tc>
          <w:tcPr>
            <w:tcW w:w="1300" w:type="dxa"/>
            <w:vAlign w:val="bottom"/>
            <w:shd w:val="clear" w:color="auto" w:fill="53C072"/>
          </w:tcPr>
          <w:p>
            <w:pPr>
              <w:spacing w:after="0"/>
              <w:rPr>
                <w:sz w:val="16"/>
                <w:szCs w:val="16"/>
                <w:color w:val="auto"/>
              </w:rPr>
            </w:pPr>
          </w:p>
        </w:tc>
      </w:tr>
      <w:tr>
        <w:trPr>
          <w:trHeight w:val="162"/>
        </w:trPr>
        <w:tc>
          <w:tcPr>
            <w:tcW w:w="4560" w:type="dxa"/>
            <w:vAlign w:val="bottom"/>
            <w:shd w:val="clear" w:color="auto" w:fill="53C072"/>
          </w:tcPr>
          <w:p>
            <w:pPr>
              <w:spacing w:after="0"/>
              <w:rPr>
                <w:sz w:val="14"/>
                <w:szCs w:val="14"/>
                <w:color w:val="auto"/>
              </w:rPr>
            </w:pPr>
          </w:p>
        </w:tc>
        <w:tc>
          <w:tcPr>
            <w:tcW w:w="1540" w:type="dxa"/>
            <w:vAlign w:val="bottom"/>
            <w:shd w:val="clear" w:color="auto" w:fill="53C072"/>
          </w:tcPr>
          <w:p>
            <w:pPr>
              <w:jc w:val="right"/>
              <w:ind w:right="186"/>
              <w:spacing w:after="0"/>
              <w:rPr>
                <w:sz w:val="20"/>
                <w:szCs w:val="20"/>
                <w:color w:val="auto"/>
              </w:rPr>
            </w:pPr>
            <w:r>
              <w:rPr>
                <w:rFonts w:ascii="Arial" w:cs="Arial" w:eastAsia="Arial" w:hAnsi="Arial"/>
                <w:sz w:val="14"/>
                <w:szCs w:val="14"/>
                <w:b w:val="1"/>
                <w:bCs w:val="1"/>
                <w:color w:val="FEFEFE"/>
              </w:rPr>
              <w:t>Securities</w:t>
            </w:r>
          </w:p>
        </w:tc>
        <w:tc>
          <w:tcPr>
            <w:tcW w:w="1200" w:type="dxa"/>
            <w:vAlign w:val="bottom"/>
            <w:shd w:val="clear" w:color="auto" w:fill="53C072"/>
          </w:tcPr>
          <w:p>
            <w:pPr>
              <w:spacing w:after="0"/>
              <w:rPr>
                <w:sz w:val="14"/>
                <w:szCs w:val="14"/>
                <w:color w:val="auto"/>
              </w:rPr>
            </w:pPr>
          </w:p>
        </w:tc>
        <w:tc>
          <w:tcPr>
            <w:tcW w:w="160" w:type="dxa"/>
            <w:vAlign w:val="bottom"/>
            <w:shd w:val="clear" w:color="auto" w:fill="53C072"/>
          </w:tcPr>
          <w:p>
            <w:pPr>
              <w:spacing w:after="0"/>
              <w:rPr>
                <w:sz w:val="14"/>
                <w:szCs w:val="14"/>
                <w:color w:val="auto"/>
              </w:rPr>
            </w:pPr>
          </w:p>
        </w:tc>
        <w:tc>
          <w:tcPr>
            <w:tcW w:w="130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Number of</w:t>
            </w:r>
          </w:p>
        </w:tc>
      </w:tr>
      <w:tr>
        <w:trPr>
          <w:trHeight w:val="162"/>
        </w:trPr>
        <w:tc>
          <w:tcPr>
            <w:tcW w:w="4560" w:type="dxa"/>
            <w:vAlign w:val="bottom"/>
            <w:shd w:val="clear" w:color="auto" w:fill="53C072"/>
          </w:tcPr>
          <w:p>
            <w:pPr>
              <w:spacing w:after="0"/>
              <w:rPr>
                <w:sz w:val="14"/>
                <w:szCs w:val="14"/>
                <w:color w:val="auto"/>
              </w:rPr>
            </w:pPr>
          </w:p>
        </w:tc>
        <w:tc>
          <w:tcPr>
            <w:tcW w:w="1540" w:type="dxa"/>
            <w:vAlign w:val="bottom"/>
            <w:shd w:val="clear" w:color="auto" w:fill="53C072"/>
          </w:tcPr>
          <w:p>
            <w:pPr>
              <w:jc w:val="right"/>
              <w:ind w:right="186"/>
              <w:spacing w:after="0"/>
              <w:rPr>
                <w:sz w:val="20"/>
                <w:szCs w:val="20"/>
                <w:color w:val="auto"/>
              </w:rPr>
            </w:pPr>
            <w:r>
              <w:rPr>
                <w:rFonts w:ascii="Arial" w:cs="Arial" w:eastAsia="Arial" w:hAnsi="Arial"/>
                <w:sz w:val="14"/>
                <w:szCs w:val="14"/>
                <w:b w:val="1"/>
                <w:bCs w:val="1"/>
                <w:color w:val="FEFEFE"/>
              </w:rPr>
              <w:t>to be Issued</w:t>
            </w:r>
          </w:p>
        </w:tc>
        <w:tc>
          <w:tcPr>
            <w:tcW w:w="12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Weighted-</w:t>
            </w:r>
          </w:p>
        </w:tc>
        <w:tc>
          <w:tcPr>
            <w:tcW w:w="160" w:type="dxa"/>
            <w:vAlign w:val="bottom"/>
            <w:shd w:val="clear" w:color="auto" w:fill="53C072"/>
          </w:tcPr>
          <w:p>
            <w:pPr>
              <w:spacing w:after="0"/>
              <w:rPr>
                <w:sz w:val="14"/>
                <w:szCs w:val="14"/>
                <w:color w:val="auto"/>
              </w:rPr>
            </w:pPr>
          </w:p>
        </w:tc>
        <w:tc>
          <w:tcPr>
            <w:tcW w:w="130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Securities</w:t>
            </w:r>
          </w:p>
        </w:tc>
      </w:tr>
      <w:tr>
        <w:trPr>
          <w:trHeight w:val="162"/>
        </w:trPr>
        <w:tc>
          <w:tcPr>
            <w:tcW w:w="4560" w:type="dxa"/>
            <w:vAlign w:val="bottom"/>
            <w:shd w:val="clear" w:color="auto" w:fill="53C072"/>
          </w:tcPr>
          <w:p>
            <w:pPr>
              <w:spacing w:after="0"/>
              <w:rPr>
                <w:sz w:val="14"/>
                <w:szCs w:val="14"/>
                <w:color w:val="auto"/>
              </w:rPr>
            </w:pPr>
          </w:p>
        </w:tc>
        <w:tc>
          <w:tcPr>
            <w:tcW w:w="1540" w:type="dxa"/>
            <w:vAlign w:val="bottom"/>
            <w:shd w:val="clear" w:color="auto" w:fill="53C072"/>
          </w:tcPr>
          <w:p>
            <w:pPr>
              <w:jc w:val="right"/>
              <w:ind w:right="186"/>
              <w:spacing w:after="0"/>
              <w:rPr>
                <w:sz w:val="20"/>
                <w:szCs w:val="20"/>
                <w:color w:val="auto"/>
              </w:rPr>
            </w:pPr>
            <w:r>
              <w:rPr>
                <w:rFonts w:ascii="Arial" w:cs="Arial" w:eastAsia="Arial" w:hAnsi="Arial"/>
                <w:sz w:val="14"/>
                <w:szCs w:val="14"/>
                <w:b w:val="1"/>
                <w:bCs w:val="1"/>
                <w:color w:val="FEFEFE"/>
              </w:rPr>
              <w:t>Upon</w:t>
            </w:r>
          </w:p>
        </w:tc>
        <w:tc>
          <w:tcPr>
            <w:tcW w:w="12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Average</w:t>
            </w:r>
          </w:p>
        </w:tc>
        <w:tc>
          <w:tcPr>
            <w:tcW w:w="160" w:type="dxa"/>
            <w:vAlign w:val="bottom"/>
            <w:shd w:val="clear" w:color="auto" w:fill="53C072"/>
          </w:tcPr>
          <w:p>
            <w:pPr>
              <w:spacing w:after="0"/>
              <w:rPr>
                <w:sz w:val="14"/>
                <w:szCs w:val="14"/>
                <w:color w:val="auto"/>
              </w:rPr>
            </w:pPr>
          </w:p>
        </w:tc>
        <w:tc>
          <w:tcPr>
            <w:tcW w:w="130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Remaining</w:t>
            </w:r>
          </w:p>
        </w:tc>
      </w:tr>
      <w:tr>
        <w:trPr>
          <w:trHeight w:val="162"/>
        </w:trPr>
        <w:tc>
          <w:tcPr>
            <w:tcW w:w="4560" w:type="dxa"/>
            <w:vAlign w:val="bottom"/>
            <w:shd w:val="clear" w:color="auto" w:fill="53C072"/>
          </w:tcPr>
          <w:p>
            <w:pPr>
              <w:spacing w:after="0"/>
              <w:rPr>
                <w:sz w:val="14"/>
                <w:szCs w:val="14"/>
                <w:color w:val="auto"/>
              </w:rPr>
            </w:pPr>
          </w:p>
        </w:tc>
        <w:tc>
          <w:tcPr>
            <w:tcW w:w="1540" w:type="dxa"/>
            <w:vAlign w:val="bottom"/>
            <w:shd w:val="clear" w:color="auto" w:fill="53C072"/>
          </w:tcPr>
          <w:p>
            <w:pPr>
              <w:jc w:val="right"/>
              <w:ind w:right="186"/>
              <w:spacing w:after="0"/>
              <w:rPr>
                <w:sz w:val="20"/>
                <w:szCs w:val="20"/>
                <w:color w:val="auto"/>
              </w:rPr>
            </w:pPr>
            <w:r>
              <w:rPr>
                <w:rFonts w:ascii="Arial" w:cs="Arial" w:eastAsia="Arial" w:hAnsi="Arial"/>
                <w:sz w:val="14"/>
                <w:szCs w:val="14"/>
                <w:b w:val="1"/>
                <w:bCs w:val="1"/>
                <w:color w:val="FEFEFE"/>
              </w:rPr>
              <w:t>Exercise of</w:t>
            </w:r>
          </w:p>
        </w:tc>
        <w:tc>
          <w:tcPr>
            <w:tcW w:w="12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Exercise Price of</w:t>
            </w:r>
          </w:p>
        </w:tc>
        <w:tc>
          <w:tcPr>
            <w:tcW w:w="160" w:type="dxa"/>
            <w:vAlign w:val="bottom"/>
            <w:shd w:val="clear" w:color="auto" w:fill="53C072"/>
          </w:tcPr>
          <w:p>
            <w:pPr>
              <w:spacing w:after="0"/>
              <w:rPr>
                <w:sz w:val="14"/>
                <w:szCs w:val="14"/>
                <w:color w:val="auto"/>
              </w:rPr>
            </w:pPr>
          </w:p>
        </w:tc>
        <w:tc>
          <w:tcPr>
            <w:tcW w:w="130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Available for</w:t>
            </w:r>
          </w:p>
        </w:tc>
      </w:tr>
      <w:tr>
        <w:trPr>
          <w:trHeight w:val="162"/>
        </w:trPr>
        <w:tc>
          <w:tcPr>
            <w:tcW w:w="4560" w:type="dxa"/>
            <w:vAlign w:val="bottom"/>
            <w:shd w:val="clear" w:color="auto" w:fill="53C072"/>
          </w:tcPr>
          <w:p>
            <w:pPr>
              <w:spacing w:after="0"/>
              <w:rPr>
                <w:sz w:val="14"/>
                <w:szCs w:val="14"/>
                <w:color w:val="auto"/>
              </w:rPr>
            </w:pPr>
          </w:p>
        </w:tc>
        <w:tc>
          <w:tcPr>
            <w:tcW w:w="1540" w:type="dxa"/>
            <w:vAlign w:val="bottom"/>
            <w:shd w:val="clear" w:color="auto" w:fill="53C072"/>
          </w:tcPr>
          <w:p>
            <w:pPr>
              <w:jc w:val="right"/>
              <w:ind w:right="186"/>
              <w:spacing w:after="0"/>
              <w:rPr>
                <w:sz w:val="20"/>
                <w:szCs w:val="20"/>
                <w:color w:val="auto"/>
              </w:rPr>
            </w:pPr>
            <w:r>
              <w:rPr>
                <w:rFonts w:ascii="Arial" w:cs="Arial" w:eastAsia="Arial" w:hAnsi="Arial"/>
                <w:sz w:val="14"/>
                <w:szCs w:val="14"/>
                <w:b w:val="1"/>
                <w:bCs w:val="1"/>
                <w:color w:val="FEFEFE"/>
              </w:rPr>
              <w:t>Outstanding</w:t>
            </w:r>
          </w:p>
        </w:tc>
        <w:tc>
          <w:tcPr>
            <w:tcW w:w="12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Outstanding</w:t>
            </w:r>
          </w:p>
        </w:tc>
        <w:tc>
          <w:tcPr>
            <w:tcW w:w="160" w:type="dxa"/>
            <w:vAlign w:val="bottom"/>
            <w:shd w:val="clear" w:color="auto" w:fill="53C072"/>
          </w:tcPr>
          <w:p>
            <w:pPr>
              <w:spacing w:after="0"/>
              <w:rPr>
                <w:sz w:val="14"/>
                <w:szCs w:val="14"/>
                <w:color w:val="auto"/>
              </w:rPr>
            </w:pPr>
          </w:p>
        </w:tc>
        <w:tc>
          <w:tcPr>
            <w:tcW w:w="130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Future Issuance</w:t>
            </w:r>
          </w:p>
        </w:tc>
      </w:tr>
      <w:tr>
        <w:trPr>
          <w:trHeight w:val="162"/>
        </w:trPr>
        <w:tc>
          <w:tcPr>
            <w:tcW w:w="4560" w:type="dxa"/>
            <w:vAlign w:val="bottom"/>
            <w:shd w:val="clear" w:color="auto" w:fill="53C072"/>
          </w:tcPr>
          <w:p>
            <w:pPr>
              <w:spacing w:after="0"/>
              <w:rPr>
                <w:sz w:val="14"/>
                <w:szCs w:val="14"/>
                <w:color w:val="auto"/>
              </w:rPr>
            </w:pPr>
          </w:p>
        </w:tc>
        <w:tc>
          <w:tcPr>
            <w:tcW w:w="1540" w:type="dxa"/>
            <w:vAlign w:val="bottom"/>
            <w:shd w:val="clear" w:color="auto" w:fill="53C072"/>
          </w:tcPr>
          <w:p>
            <w:pPr>
              <w:jc w:val="right"/>
              <w:ind w:right="186"/>
              <w:spacing w:after="0"/>
              <w:rPr>
                <w:sz w:val="20"/>
                <w:szCs w:val="20"/>
                <w:color w:val="auto"/>
              </w:rPr>
            </w:pPr>
            <w:r>
              <w:rPr>
                <w:rFonts w:ascii="Arial" w:cs="Arial" w:eastAsia="Arial" w:hAnsi="Arial"/>
                <w:sz w:val="14"/>
                <w:szCs w:val="14"/>
                <w:b w:val="1"/>
                <w:bCs w:val="1"/>
                <w:color w:val="FEFEFE"/>
              </w:rPr>
              <w:t>Options,</w:t>
            </w:r>
          </w:p>
        </w:tc>
        <w:tc>
          <w:tcPr>
            <w:tcW w:w="12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Options,</w:t>
            </w:r>
          </w:p>
        </w:tc>
        <w:tc>
          <w:tcPr>
            <w:tcW w:w="160" w:type="dxa"/>
            <w:vAlign w:val="bottom"/>
            <w:shd w:val="clear" w:color="auto" w:fill="53C072"/>
          </w:tcPr>
          <w:p>
            <w:pPr>
              <w:spacing w:after="0"/>
              <w:rPr>
                <w:sz w:val="14"/>
                <w:szCs w:val="14"/>
                <w:color w:val="auto"/>
              </w:rPr>
            </w:pPr>
          </w:p>
        </w:tc>
        <w:tc>
          <w:tcPr>
            <w:tcW w:w="130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Under Equity</w:t>
            </w:r>
          </w:p>
        </w:tc>
      </w:tr>
      <w:tr>
        <w:trPr>
          <w:trHeight w:val="162"/>
        </w:trPr>
        <w:tc>
          <w:tcPr>
            <w:tcW w:w="4560" w:type="dxa"/>
            <w:vAlign w:val="bottom"/>
            <w:shd w:val="clear" w:color="auto" w:fill="53C072"/>
          </w:tcPr>
          <w:p>
            <w:pPr>
              <w:spacing w:after="0"/>
              <w:rPr>
                <w:sz w:val="14"/>
                <w:szCs w:val="14"/>
                <w:color w:val="auto"/>
              </w:rPr>
            </w:pPr>
          </w:p>
        </w:tc>
        <w:tc>
          <w:tcPr>
            <w:tcW w:w="1540" w:type="dxa"/>
            <w:vAlign w:val="bottom"/>
            <w:shd w:val="clear" w:color="auto" w:fill="53C072"/>
          </w:tcPr>
          <w:p>
            <w:pPr>
              <w:jc w:val="right"/>
              <w:ind w:right="186"/>
              <w:spacing w:after="0"/>
              <w:rPr>
                <w:sz w:val="20"/>
                <w:szCs w:val="20"/>
                <w:color w:val="auto"/>
              </w:rPr>
            </w:pPr>
            <w:r>
              <w:rPr>
                <w:rFonts w:ascii="Arial" w:cs="Arial" w:eastAsia="Arial" w:hAnsi="Arial"/>
                <w:sz w:val="14"/>
                <w:szCs w:val="14"/>
                <w:b w:val="1"/>
                <w:bCs w:val="1"/>
                <w:color w:val="FEFEFE"/>
              </w:rPr>
              <w:t>Warrants and</w:t>
            </w:r>
          </w:p>
        </w:tc>
        <w:tc>
          <w:tcPr>
            <w:tcW w:w="12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Warrants and</w:t>
            </w:r>
          </w:p>
        </w:tc>
        <w:tc>
          <w:tcPr>
            <w:tcW w:w="160" w:type="dxa"/>
            <w:vAlign w:val="bottom"/>
            <w:shd w:val="clear" w:color="auto" w:fill="53C072"/>
          </w:tcPr>
          <w:p>
            <w:pPr>
              <w:spacing w:after="0"/>
              <w:rPr>
                <w:sz w:val="14"/>
                <w:szCs w:val="14"/>
                <w:color w:val="auto"/>
              </w:rPr>
            </w:pPr>
          </w:p>
        </w:tc>
        <w:tc>
          <w:tcPr>
            <w:tcW w:w="130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Compensation</w:t>
            </w:r>
          </w:p>
        </w:tc>
      </w:tr>
      <w:tr>
        <w:trPr>
          <w:trHeight w:val="185"/>
        </w:trPr>
        <w:tc>
          <w:tcPr>
            <w:tcW w:w="456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Plan Category</w:t>
            </w:r>
          </w:p>
        </w:tc>
        <w:tc>
          <w:tcPr>
            <w:tcW w:w="1540" w:type="dxa"/>
            <w:vAlign w:val="bottom"/>
            <w:shd w:val="clear" w:color="auto" w:fill="53C072"/>
          </w:tcPr>
          <w:p>
            <w:pPr>
              <w:jc w:val="right"/>
              <w:ind w:right="146"/>
              <w:spacing w:after="0"/>
              <w:rPr>
                <w:sz w:val="20"/>
                <w:szCs w:val="20"/>
                <w:color w:val="auto"/>
              </w:rPr>
            </w:pPr>
            <w:r>
              <w:rPr>
                <w:rFonts w:ascii="Arial" w:cs="Arial" w:eastAsia="Arial" w:hAnsi="Arial"/>
                <w:sz w:val="14"/>
                <w:szCs w:val="14"/>
                <w:b w:val="1"/>
                <w:bCs w:val="1"/>
                <w:color w:val="FEFEFE"/>
              </w:rPr>
              <w:t>Rights</w:t>
            </w:r>
          </w:p>
        </w:tc>
        <w:tc>
          <w:tcPr>
            <w:tcW w:w="12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Rights</w:t>
            </w:r>
          </w:p>
        </w:tc>
        <w:tc>
          <w:tcPr>
            <w:tcW w:w="160" w:type="dxa"/>
            <w:vAlign w:val="bottom"/>
            <w:shd w:val="clear" w:color="auto" w:fill="53C072"/>
          </w:tcPr>
          <w:p>
            <w:pPr>
              <w:spacing w:after="0"/>
              <w:rPr>
                <w:sz w:val="16"/>
                <w:szCs w:val="16"/>
                <w:color w:val="auto"/>
              </w:rPr>
            </w:pPr>
          </w:p>
        </w:tc>
        <w:tc>
          <w:tcPr>
            <w:tcW w:w="1300" w:type="dxa"/>
            <w:vAlign w:val="bottom"/>
            <w:shd w:val="clear" w:color="auto" w:fill="53C072"/>
          </w:tcPr>
          <w:p>
            <w:pPr>
              <w:jc w:val="right"/>
              <w:ind w:right="46"/>
              <w:spacing w:after="0"/>
              <w:rPr>
                <w:sz w:val="20"/>
                <w:szCs w:val="20"/>
                <w:color w:val="auto"/>
              </w:rPr>
            </w:pPr>
            <w:r>
              <w:rPr>
                <w:rFonts w:ascii="Arial" w:cs="Arial" w:eastAsia="Arial" w:hAnsi="Arial"/>
                <w:sz w:val="14"/>
                <w:szCs w:val="14"/>
                <w:b w:val="1"/>
                <w:bCs w:val="1"/>
                <w:color w:val="FEFEFE"/>
              </w:rPr>
              <w:t>Plans</w:t>
            </w:r>
          </w:p>
        </w:tc>
      </w:tr>
      <w:tr>
        <w:trPr>
          <w:trHeight w:val="304"/>
        </w:trPr>
        <w:tc>
          <w:tcPr>
            <w:tcW w:w="4560" w:type="dxa"/>
            <w:vAlign w:val="bottom"/>
            <w:tcBorders>
              <w:bottom w:val="single" w:sz="8" w:color="53C072"/>
            </w:tcBorders>
          </w:tcPr>
          <w:p>
            <w:pPr>
              <w:ind w:left="120"/>
              <w:spacing w:after="0"/>
              <w:rPr>
                <w:sz w:val="20"/>
                <w:szCs w:val="20"/>
                <w:color w:val="auto"/>
              </w:rPr>
            </w:pPr>
            <w:r>
              <w:rPr>
                <w:rFonts w:ascii="Arial" w:cs="Arial" w:eastAsia="Arial" w:hAnsi="Arial"/>
                <w:sz w:val="18"/>
                <w:szCs w:val="18"/>
                <w:color w:val="auto"/>
              </w:rPr>
              <w:t>Equity compensation plans approved by shareholders</w:t>
            </w:r>
          </w:p>
        </w:tc>
        <w:tc>
          <w:tcPr>
            <w:tcW w:w="1540" w:type="dxa"/>
            <w:vAlign w:val="bottom"/>
            <w:tcBorders>
              <w:bottom w:val="single" w:sz="8" w:color="53C072"/>
            </w:tcBorders>
          </w:tcPr>
          <w:p>
            <w:pPr>
              <w:jc w:val="right"/>
              <w:spacing w:after="0" w:line="297" w:lineRule="exact"/>
              <w:rPr>
                <w:sz w:val="20"/>
                <w:szCs w:val="20"/>
                <w:color w:val="auto"/>
              </w:rPr>
            </w:pPr>
            <w:r>
              <w:rPr>
                <w:rFonts w:ascii="Arial" w:cs="Arial" w:eastAsia="Arial" w:hAnsi="Arial"/>
                <w:sz w:val="34"/>
                <w:szCs w:val="34"/>
                <w:color w:val="auto"/>
                <w:vertAlign w:val="subscript"/>
              </w:rPr>
              <w:t>​ ​​</w:t>
            </w:r>
            <w:r>
              <w:rPr>
                <w:rFonts w:ascii="Arial" w:cs="Arial" w:eastAsia="Arial" w:hAnsi="Arial"/>
                <w:sz w:val="18"/>
                <w:szCs w:val="18"/>
                <w:color w:val="auto"/>
              </w:rPr>
              <w:t>2,156,418</w:t>
            </w:r>
            <w:r>
              <w:rPr>
                <w:rFonts w:ascii="Arial" w:cs="Arial" w:eastAsia="Arial" w:hAnsi="Arial"/>
                <w:sz w:val="25"/>
                <w:szCs w:val="25"/>
                <w:color w:val="auto"/>
                <w:vertAlign w:val="superscript"/>
              </w:rPr>
              <w:t>(1)</w:t>
            </w:r>
            <w:r>
              <w:rPr>
                <w:rFonts w:ascii="Arial" w:cs="Arial" w:eastAsia="Arial" w:hAnsi="Arial"/>
                <w:sz w:val="34"/>
                <w:szCs w:val="34"/>
                <w:color w:val="auto"/>
                <w:vertAlign w:val="subscript"/>
              </w:rPr>
              <w:t>​​ ​</w:t>
            </w:r>
          </w:p>
        </w:tc>
        <w:tc>
          <w:tcPr>
            <w:tcW w:w="1200" w:type="dxa"/>
            <w:vAlign w:val="bottom"/>
            <w:tcBorders>
              <w:bottom w:val="single" w:sz="8" w:color="53C072"/>
            </w:tcBorders>
          </w:tcPr>
          <w:p>
            <w:pPr>
              <w:jc w:val="right"/>
              <w:ind w:right="146"/>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$ 36.25</w:t>
            </w:r>
            <w:r>
              <w:rPr>
                <w:rFonts w:ascii="Arial" w:cs="Arial" w:eastAsia="Arial" w:hAnsi="Arial"/>
                <w:sz w:val="25"/>
                <w:szCs w:val="25"/>
                <w:color w:val="auto"/>
                <w:vertAlign w:val="superscript"/>
              </w:rPr>
              <w:t>(2)</w:t>
            </w:r>
          </w:p>
        </w:tc>
        <w:tc>
          <w:tcPr>
            <w:tcW w:w="16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53C072"/>
            </w:tcBorders>
          </w:tcPr>
          <w:p>
            <w:pPr>
              <w:jc w:val="right"/>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2,523,407</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w:t>
            </w:r>
            <w:r>
              <w:rPr>
                <w:rFonts w:ascii="Arial" w:cs="Arial" w:eastAsia="Arial" w:hAnsi="Arial"/>
                <w:sz w:val="34"/>
                <w:szCs w:val="34"/>
                <w:color w:val="auto"/>
                <w:vertAlign w:val="subscript"/>
              </w:rPr>
              <w:t>​</w:t>
            </w:r>
          </w:p>
        </w:tc>
      </w:tr>
    </w:tbl>
    <w:p>
      <w:pPr>
        <w:spacing w:after="0" w:line="49" w:lineRule="exact"/>
        <w:rPr>
          <w:sz w:val="20"/>
          <w:szCs w:val="20"/>
          <w:color w:val="auto"/>
        </w:rPr>
      </w:pPr>
    </w:p>
    <w:p>
      <w:pPr>
        <w:ind w:left="1780" w:right="519" w:hanging="718"/>
        <w:spacing w:after="0" w:line="287" w:lineRule="auto"/>
        <w:tabs>
          <w:tab w:leader="none" w:pos="1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809,362 shares underlying outstanding options, 1,043,756 RSUs, and 303,300 PSUs awarded, at target, but not yet vested as of the end of the fiscal year.</w:t>
      </w:r>
    </w:p>
    <w:p>
      <w:pPr>
        <w:spacing w:after="0" w:line="85" w:lineRule="exact"/>
        <w:rPr>
          <w:rFonts w:ascii="Arial" w:cs="Arial" w:eastAsia="Arial" w:hAnsi="Arial"/>
          <w:sz w:val="18"/>
          <w:szCs w:val="18"/>
          <w:color w:val="auto"/>
        </w:rPr>
      </w:pPr>
    </w:p>
    <w:p>
      <w:pPr>
        <w:ind w:left="1780" w:right="139" w:hanging="718"/>
        <w:spacing w:after="0" w:line="287" w:lineRule="auto"/>
        <w:tabs>
          <w:tab w:leader="none" w:pos="1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average exercise price is applicable only to the outstanding options referenced above. The RSUs and PSUs do not require consideration to be paid upon vesting.</w:t>
      </w:r>
    </w:p>
    <w:p>
      <w:pPr>
        <w:spacing w:after="0" w:line="71" w:lineRule="exact"/>
        <w:rPr>
          <w:rFonts w:ascii="Arial" w:cs="Arial" w:eastAsia="Arial" w:hAnsi="Arial"/>
          <w:sz w:val="18"/>
          <w:szCs w:val="18"/>
          <w:color w:val="auto"/>
        </w:rPr>
      </w:pPr>
    </w:p>
    <w:p>
      <w:pPr>
        <w:ind w:left="1780" w:right="699" w:hanging="718"/>
        <w:spacing w:after="0" w:line="287" w:lineRule="auto"/>
        <w:tabs>
          <w:tab w:leader="none" w:pos="1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249,563 shares available for future issuance under the Amended and Restated Avnet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92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820" w:type="dxa"/>
            <w:vAlign w:val="bottom"/>
            <w:vMerge w:val="restart"/>
          </w:tcPr>
          <w:p>
            <w:pPr>
              <w:ind w:left="2580"/>
              <w:spacing w:after="0"/>
              <w:rPr>
                <w:sz w:val="20"/>
                <w:szCs w:val="20"/>
                <w:color w:val="auto"/>
              </w:rPr>
            </w:pPr>
            <w:r>
              <w:rPr>
                <w:rFonts w:ascii="Arial" w:cs="Arial" w:eastAsia="Arial" w:hAnsi="Arial"/>
                <w:sz w:val="14"/>
                <w:szCs w:val="14"/>
                <w:color w:val="auto"/>
                <w:w w:val="99"/>
              </w:rPr>
              <w:t>Compensation of Executive Officers</w:t>
            </w:r>
          </w:p>
        </w:tc>
        <w:tc>
          <w:tcPr>
            <w:tcW w:w="0" w:type="dxa"/>
            <w:vAlign w:val="bottom"/>
          </w:tcPr>
          <w:p>
            <w:pPr>
              <w:spacing w:after="0"/>
              <w:rPr>
                <w:sz w:val="1"/>
                <w:szCs w:val="1"/>
                <w:color w:val="auto"/>
              </w:rPr>
            </w:pPr>
          </w:p>
        </w:tc>
      </w:tr>
      <w:tr>
        <w:trPr>
          <w:trHeight w:val="88"/>
        </w:trPr>
        <w:tc>
          <w:tcPr>
            <w:tcW w:w="4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920" w:type="dxa"/>
            <w:vAlign w:val="bottom"/>
            <w:vMerge w:val="continue"/>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GRANTS OF PLAN-BASED AWARDS</w:t>
      </w:r>
    </w:p>
    <w:p>
      <w:pPr>
        <w:spacing w:after="0" w:line="162" w:lineRule="exact"/>
        <w:rPr>
          <w:sz w:val="20"/>
          <w:szCs w:val="20"/>
          <w:color w:val="auto"/>
        </w:rPr>
      </w:pPr>
    </w:p>
    <w:p>
      <w:pPr>
        <w:ind w:left="1000" w:right="600"/>
        <w:spacing w:after="0" w:line="256" w:lineRule="auto"/>
        <w:rPr>
          <w:sz w:val="20"/>
          <w:szCs w:val="20"/>
          <w:color w:val="auto"/>
        </w:rPr>
      </w:pPr>
      <w:r>
        <w:rPr>
          <w:rFonts w:ascii="Arial" w:cs="Arial" w:eastAsia="Arial" w:hAnsi="Arial"/>
          <w:sz w:val="18"/>
          <w:szCs w:val="18"/>
          <w:color w:val="auto"/>
        </w:rPr>
        <w:t>The following table provides information about equity and non-equity plan-based awards to the NEOs in fiscal 2025 relating to: (1) annual cash incentive awards, (2) RSUs, and (3) PSUs. The threshold column for non-equity incentives assumes payout of 32% of target and the threshold column for equity incentive assumes 34% of target PSUs. The maximum column is 200% of the target amount. Achievement below the threshold would yield a payout of $0. The actual payouts earned in fiscal 2025 under the Non-Equity Incentive Plan Awards are included in the Summary Compensation Table as are the grant date fair values associated with the awards under the Equity Incentive Plan and All Other Stock Awards in the table below.</w:t>
      </w:r>
    </w:p>
    <w:p>
      <w:pPr>
        <w:spacing w:after="0" w:line="19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40" w:type="dxa"/>
            <w:vAlign w:val="bottom"/>
            <w:shd w:val="clear" w:color="auto" w:fill="53C072"/>
          </w:tcPr>
          <w:p>
            <w:pPr>
              <w:spacing w:after="0"/>
              <w:rPr>
                <w:sz w:val="13"/>
                <w:szCs w:val="13"/>
                <w:color w:val="auto"/>
              </w:rPr>
            </w:pPr>
          </w:p>
        </w:tc>
        <w:tc>
          <w:tcPr>
            <w:tcW w:w="1800" w:type="dxa"/>
            <w:vAlign w:val="bottom"/>
            <w:shd w:val="clear" w:color="auto" w:fill="53C072"/>
          </w:tcPr>
          <w:p>
            <w:pPr>
              <w:spacing w:after="0"/>
              <w:rPr>
                <w:sz w:val="13"/>
                <w:szCs w:val="13"/>
                <w:color w:val="auto"/>
              </w:rPr>
            </w:pPr>
          </w:p>
        </w:tc>
        <w:tc>
          <w:tcPr>
            <w:tcW w:w="200" w:type="dxa"/>
            <w:vAlign w:val="bottom"/>
            <w:shd w:val="clear" w:color="auto" w:fill="53C072"/>
          </w:tcPr>
          <w:p>
            <w:pPr>
              <w:spacing w:after="0"/>
              <w:rPr>
                <w:sz w:val="13"/>
                <w:szCs w:val="13"/>
                <w:color w:val="auto"/>
              </w:rPr>
            </w:pPr>
          </w:p>
        </w:tc>
        <w:tc>
          <w:tcPr>
            <w:tcW w:w="440" w:type="dxa"/>
            <w:vAlign w:val="bottom"/>
            <w:shd w:val="clear" w:color="auto" w:fill="53C072"/>
          </w:tcPr>
          <w:p>
            <w:pPr>
              <w:spacing w:after="0"/>
              <w:rPr>
                <w:sz w:val="13"/>
                <w:szCs w:val="13"/>
                <w:color w:val="auto"/>
              </w:rPr>
            </w:pPr>
          </w:p>
        </w:tc>
        <w:tc>
          <w:tcPr>
            <w:tcW w:w="140" w:type="dxa"/>
            <w:vAlign w:val="bottom"/>
            <w:tcBorders>
              <w:right w:val="single" w:sz="8" w:color="53C072"/>
            </w:tcBorders>
            <w:shd w:val="clear" w:color="auto" w:fill="53C072"/>
          </w:tcPr>
          <w:p>
            <w:pPr>
              <w:spacing w:after="0"/>
              <w:rPr>
                <w:sz w:val="13"/>
                <w:szCs w:val="13"/>
                <w:color w:val="auto"/>
              </w:rPr>
            </w:pPr>
          </w:p>
        </w:tc>
        <w:tc>
          <w:tcPr>
            <w:tcW w:w="64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52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580" w:type="dxa"/>
            <w:vAlign w:val="bottom"/>
            <w:shd w:val="clear" w:color="auto" w:fill="53C072"/>
          </w:tcPr>
          <w:p>
            <w:pPr>
              <w:spacing w:after="0"/>
              <w:rPr>
                <w:sz w:val="13"/>
                <w:szCs w:val="13"/>
                <w:color w:val="auto"/>
              </w:rPr>
            </w:pPr>
          </w:p>
        </w:tc>
        <w:tc>
          <w:tcPr>
            <w:tcW w:w="80" w:type="dxa"/>
            <w:vAlign w:val="bottom"/>
            <w:shd w:val="clear" w:color="auto" w:fill="53C072"/>
          </w:tcPr>
          <w:p>
            <w:pPr>
              <w:spacing w:after="0"/>
              <w:rPr>
                <w:sz w:val="13"/>
                <w:szCs w:val="13"/>
                <w:color w:val="auto"/>
              </w:rPr>
            </w:pPr>
          </w:p>
        </w:tc>
        <w:tc>
          <w:tcPr>
            <w:tcW w:w="100" w:type="dxa"/>
            <w:vAlign w:val="bottom"/>
            <w:shd w:val="clear" w:color="auto" w:fill="53C072"/>
          </w:tcPr>
          <w:p>
            <w:pPr>
              <w:spacing w:after="0"/>
              <w:rPr>
                <w:sz w:val="13"/>
                <w:szCs w:val="13"/>
                <w:color w:val="auto"/>
              </w:rPr>
            </w:pPr>
          </w:p>
        </w:tc>
        <w:tc>
          <w:tcPr>
            <w:tcW w:w="580" w:type="dxa"/>
            <w:vAlign w:val="bottom"/>
            <w:shd w:val="clear" w:color="auto" w:fill="53C072"/>
          </w:tcPr>
          <w:p>
            <w:pPr>
              <w:spacing w:after="0"/>
              <w:rPr>
                <w:sz w:val="13"/>
                <w:szCs w:val="13"/>
                <w:color w:val="auto"/>
              </w:rPr>
            </w:pPr>
          </w:p>
        </w:tc>
        <w:tc>
          <w:tcPr>
            <w:tcW w:w="200" w:type="dxa"/>
            <w:vAlign w:val="bottom"/>
            <w:shd w:val="clear" w:color="auto" w:fill="53C072"/>
          </w:tcPr>
          <w:p>
            <w:pPr>
              <w:spacing w:after="0"/>
              <w:rPr>
                <w:sz w:val="13"/>
                <w:szCs w:val="13"/>
                <w:color w:val="auto"/>
              </w:rPr>
            </w:pPr>
          </w:p>
        </w:tc>
        <w:tc>
          <w:tcPr>
            <w:tcW w:w="300" w:type="dxa"/>
            <w:vAlign w:val="bottom"/>
            <w:shd w:val="clear" w:color="auto" w:fill="53C072"/>
          </w:tcPr>
          <w:p>
            <w:pPr>
              <w:spacing w:after="0"/>
              <w:rPr>
                <w:sz w:val="13"/>
                <w:szCs w:val="13"/>
                <w:color w:val="auto"/>
              </w:rPr>
            </w:pPr>
          </w:p>
        </w:tc>
        <w:tc>
          <w:tcPr>
            <w:tcW w:w="160" w:type="dxa"/>
            <w:vAlign w:val="bottom"/>
            <w:shd w:val="clear" w:color="auto" w:fill="53C072"/>
          </w:tcPr>
          <w:p>
            <w:pPr>
              <w:spacing w:after="0"/>
              <w:rPr>
                <w:sz w:val="13"/>
                <w:szCs w:val="13"/>
                <w:color w:val="auto"/>
              </w:rPr>
            </w:pPr>
          </w:p>
        </w:tc>
        <w:tc>
          <w:tcPr>
            <w:tcW w:w="580" w:type="dxa"/>
            <w:vAlign w:val="bottom"/>
            <w:tcBorders>
              <w:right w:val="single" w:sz="8" w:color="53C072"/>
            </w:tcBorders>
            <w:shd w:val="clear" w:color="auto" w:fill="53C072"/>
          </w:tcPr>
          <w:p>
            <w:pPr>
              <w:spacing w:after="0"/>
              <w:rPr>
                <w:sz w:val="13"/>
                <w:szCs w:val="13"/>
                <w:color w:val="auto"/>
              </w:rPr>
            </w:pPr>
          </w:p>
        </w:tc>
        <w:tc>
          <w:tcPr>
            <w:tcW w:w="80" w:type="dxa"/>
            <w:vAlign w:val="bottom"/>
            <w:shd w:val="clear" w:color="auto" w:fill="53C072"/>
          </w:tcPr>
          <w:p>
            <w:pPr>
              <w:spacing w:after="0"/>
              <w:rPr>
                <w:sz w:val="13"/>
                <w:szCs w:val="13"/>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All Other</w:t>
            </w:r>
          </w:p>
        </w:tc>
        <w:tc>
          <w:tcPr>
            <w:tcW w:w="120" w:type="dxa"/>
            <w:vAlign w:val="bottom"/>
            <w:shd w:val="clear" w:color="auto" w:fill="53C072"/>
          </w:tcPr>
          <w:p>
            <w:pPr>
              <w:spacing w:after="0"/>
              <w:rPr>
                <w:sz w:val="13"/>
                <w:szCs w:val="13"/>
                <w:color w:val="auto"/>
              </w:rPr>
            </w:pPr>
          </w:p>
        </w:tc>
        <w:tc>
          <w:tcPr>
            <w:tcW w:w="680" w:type="dxa"/>
            <w:vAlign w:val="bottom"/>
            <w:shd w:val="clear" w:color="auto" w:fill="53C072"/>
          </w:tcPr>
          <w:p>
            <w:pPr>
              <w:jc w:val="right"/>
              <w:ind w:right="1"/>
              <w:spacing w:after="0"/>
              <w:rPr>
                <w:sz w:val="20"/>
                <w:szCs w:val="20"/>
                <w:color w:val="auto"/>
              </w:rPr>
            </w:pPr>
            <w:r>
              <w:rPr>
                <w:rFonts w:ascii="Arial" w:cs="Arial" w:eastAsia="Arial" w:hAnsi="Arial"/>
                <w:sz w:val="13"/>
                <w:szCs w:val="13"/>
                <w:b w:val="1"/>
                <w:bCs w:val="1"/>
                <w:color w:val="FEFEFE"/>
              </w:rPr>
              <w:t>All Other</w:t>
            </w:r>
          </w:p>
        </w:tc>
        <w:tc>
          <w:tcPr>
            <w:tcW w:w="10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10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53C072"/>
          </w:tcPr>
          <w:p>
            <w:pPr>
              <w:spacing w:after="0"/>
              <w:rPr>
                <w:sz w:val="12"/>
                <w:szCs w:val="12"/>
                <w:color w:val="auto"/>
              </w:rPr>
            </w:pPr>
          </w:p>
        </w:tc>
        <w:tc>
          <w:tcPr>
            <w:tcW w:w="1800" w:type="dxa"/>
            <w:vAlign w:val="bottom"/>
            <w:shd w:val="clear" w:color="auto" w:fill="53C072"/>
          </w:tcPr>
          <w:p>
            <w:pPr>
              <w:spacing w:after="0"/>
              <w:rPr>
                <w:sz w:val="12"/>
                <w:szCs w:val="12"/>
                <w:color w:val="auto"/>
              </w:rPr>
            </w:pPr>
          </w:p>
        </w:tc>
        <w:tc>
          <w:tcPr>
            <w:tcW w:w="200" w:type="dxa"/>
            <w:vAlign w:val="bottom"/>
            <w:shd w:val="clear" w:color="auto" w:fill="53C072"/>
          </w:tcPr>
          <w:p>
            <w:pPr>
              <w:spacing w:after="0"/>
              <w:rPr>
                <w:sz w:val="12"/>
                <w:szCs w:val="12"/>
                <w:color w:val="auto"/>
              </w:rPr>
            </w:pPr>
          </w:p>
        </w:tc>
        <w:tc>
          <w:tcPr>
            <w:tcW w:w="440" w:type="dxa"/>
            <w:vAlign w:val="bottom"/>
            <w:shd w:val="clear" w:color="auto" w:fill="53C072"/>
          </w:tcPr>
          <w:p>
            <w:pPr>
              <w:spacing w:after="0"/>
              <w:rPr>
                <w:sz w:val="12"/>
                <w:szCs w:val="12"/>
                <w:color w:val="auto"/>
              </w:rPr>
            </w:pPr>
          </w:p>
        </w:tc>
        <w:tc>
          <w:tcPr>
            <w:tcW w:w="140" w:type="dxa"/>
            <w:vAlign w:val="bottom"/>
            <w:tcBorders>
              <w:right w:val="single" w:sz="8" w:color="53C072"/>
            </w:tcBorders>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52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58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580" w:type="dxa"/>
            <w:vAlign w:val="bottom"/>
            <w:shd w:val="clear" w:color="auto" w:fill="53C072"/>
          </w:tcPr>
          <w:p>
            <w:pPr>
              <w:spacing w:after="0"/>
              <w:rPr>
                <w:sz w:val="12"/>
                <w:szCs w:val="12"/>
                <w:color w:val="auto"/>
              </w:rPr>
            </w:pPr>
          </w:p>
        </w:tc>
        <w:tc>
          <w:tcPr>
            <w:tcW w:w="200" w:type="dxa"/>
            <w:vAlign w:val="bottom"/>
            <w:shd w:val="clear" w:color="auto" w:fill="53C072"/>
          </w:tcPr>
          <w:p>
            <w:pPr>
              <w:spacing w:after="0"/>
              <w:rPr>
                <w:sz w:val="12"/>
                <w:szCs w:val="12"/>
                <w:color w:val="auto"/>
              </w:rPr>
            </w:pPr>
          </w:p>
        </w:tc>
        <w:tc>
          <w:tcPr>
            <w:tcW w:w="300" w:type="dxa"/>
            <w:vAlign w:val="bottom"/>
            <w:shd w:val="clear" w:color="auto" w:fill="53C072"/>
          </w:tcPr>
          <w:p>
            <w:pPr>
              <w:spacing w:after="0"/>
              <w:rPr>
                <w:sz w:val="12"/>
                <w:szCs w:val="12"/>
                <w:color w:val="auto"/>
              </w:rPr>
            </w:pPr>
          </w:p>
        </w:tc>
        <w:tc>
          <w:tcPr>
            <w:tcW w:w="160" w:type="dxa"/>
            <w:vAlign w:val="bottom"/>
            <w:shd w:val="clear" w:color="auto" w:fill="53C072"/>
          </w:tcPr>
          <w:p>
            <w:pPr>
              <w:spacing w:after="0"/>
              <w:rPr>
                <w:sz w:val="12"/>
                <w:szCs w:val="12"/>
                <w:color w:val="auto"/>
              </w:rPr>
            </w:pPr>
          </w:p>
        </w:tc>
        <w:tc>
          <w:tcPr>
            <w:tcW w:w="580" w:type="dxa"/>
            <w:vAlign w:val="bottom"/>
            <w:tcBorders>
              <w:right w:val="single" w:sz="8" w:color="53C072"/>
            </w:tcBorders>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Stock</w:t>
            </w:r>
          </w:p>
        </w:tc>
        <w:tc>
          <w:tcPr>
            <w:tcW w:w="120" w:type="dxa"/>
            <w:vAlign w:val="bottom"/>
            <w:shd w:val="clear" w:color="auto" w:fill="53C072"/>
          </w:tcPr>
          <w:p>
            <w:pPr>
              <w:spacing w:after="0"/>
              <w:rPr>
                <w:sz w:val="12"/>
                <w:szCs w:val="12"/>
                <w:color w:val="auto"/>
              </w:rPr>
            </w:pPr>
          </w:p>
        </w:tc>
        <w:tc>
          <w:tcPr>
            <w:tcW w:w="680" w:type="dxa"/>
            <w:vAlign w:val="bottom"/>
            <w:shd w:val="clear" w:color="auto" w:fill="53C072"/>
          </w:tcPr>
          <w:p>
            <w:pPr>
              <w:jc w:val="right"/>
              <w:ind w:right="1"/>
              <w:spacing w:after="0"/>
              <w:rPr>
                <w:sz w:val="20"/>
                <w:szCs w:val="20"/>
                <w:color w:val="auto"/>
              </w:rPr>
            </w:pPr>
            <w:r>
              <w:rPr>
                <w:rFonts w:ascii="Arial" w:cs="Arial" w:eastAsia="Arial" w:hAnsi="Arial"/>
                <w:sz w:val="13"/>
                <w:szCs w:val="13"/>
                <w:b w:val="1"/>
                <w:bCs w:val="1"/>
                <w:color w:val="FEFEFE"/>
              </w:rPr>
              <w:t>Option</w:t>
            </w:r>
          </w:p>
        </w:tc>
        <w:tc>
          <w:tcPr>
            <w:tcW w:w="10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53C072"/>
          </w:tcPr>
          <w:p>
            <w:pPr>
              <w:spacing w:after="0"/>
              <w:rPr>
                <w:sz w:val="11"/>
                <w:szCs w:val="11"/>
                <w:color w:val="auto"/>
              </w:rPr>
            </w:pPr>
          </w:p>
        </w:tc>
        <w:tc>
          <w:tcPr>
            <w:tcW w:w="1800" w:type="dxa"/>
            <w:vAlign w:val="bottom"/>
            <w:shd w:val="clear" w:color="auto" w:fill="53C072"/>
          </w:tcPr>
          <w:p>
            <w:pPr>
              <w:spacing w:after="0"/>
              <w:rPr>
                <w:sz w:val="11"/>
                <w:szCs w:val="11"/>
                <w:color w:val="auto"/>
              </w:rPr>
            </w:pPr>
          </w:p>
        </w:tc>
        <w:tc>
          <w:tcPr>
            <w:tcW w:w="200" w:type="dxa"/>
            <w:vAlign w:val="bottom"/>
            <w:shd w:val="clear" w:color="auto" w:fill="53C072"/>
          </w:tcPr>
          <w:p>
            <w:pPr>
              <w:spacing w:after="0"/>
              <w:rPr>
                <w:sz w:val="11"/>
                <w:szCs w:val="11"/>
                <w:color w:val="auto"/>
              </w:rPr>
            </w:pPr>
          </w:p>
        </w:tc>
        <w:tc>
          <w:tcPr>
            <w:tcW w:w="440" w:type="dxa"/>
            <w:vAlign w:val="bottom"/>
            <w:shd w:val="clear" w:color="auto" w:fill="53C072"/>
          </w:tcPr>
          <w:p>
            <w:pPr>
              <w:spacing w:after="0"/>
              <w:rPr>
                <w:sz w:val="11"/>
                <w:szCs w:val="11"/>
                <w:color w:val="auto"/>
              </w:rPr>
            </w:pPr>
          </w:p>
        </w:tc>
        <w:tc>
          <w:tcPr>
            <w:tcW w:w="140" w:type="dxa"/>
            <w:vAlign w:val="bottom"/>
            <w:tcBorders>
              <w:right w:val="single" w:sz="8" w:color="53C072"/>
            </w:tcBorders>
            <w:shd w:val="clear" w:color="auto" w:fill="53C072"/>
          </w:tcPr>
          <w:p>
            <w:pPr>
              <w:spacing w:after="0"/>
              <w:rPr>
                <w:sz w:val="11"/>
                <w:szCs w:val="11"/>
                <w:color w:val="auto"/>
              </w:rPr>
            </w:pPr>
          </w:p>
        </w:tc>
        <w:tc>
          <w:tcPr>
            <w:tcW w:w="1980" w:type="dxa"/>
            <w:vAlign w:val="bottom"/>
            <w:gridSpan w:val="5"/>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Estimated Future Payouts</w:t>
            </w:r>
          </w:p>
        </w:tc>
        <w:tc>
          <w:tcPr>
            <w:tcW w:w="80" w:type="dxa"/>
            <w:vAlign w:val="bottom"/>
            <w:shd w:val="clear" w:color="auto" w:fill="53C072"/>
          </w:tcPr>
          <w:p>
            <w:pPr>
              <w:spacing w:after="0"/>
              <w:rPr>
                <w:sz w:val="11"/>
                <w:szCs w:val="11"/>
                <w:color w:val="auto"/>
              </w:rPr>
            </w:pPr>
          </w:p>
        </w:tc>
        <w:tc>
          <w:tcPr>
            <w:tcW w:w="100" w:type="dxa"/>
            <w:vAlign w:val="bottom"/>
            <w:shd w:val="clear" w:color="auto" w:fill="53C072"/>
          </w:tcPr>
          <w:p>
            <w:pPr>
              <w:spacing w:after="0"/>
              <w:rPr>
                <w:sz w:val="11"/>
                <w:szCs w:val="11"/>
                <w:color w:val="auto"/>
              </w:rPr>
            </w:pPr>
          </w:p>
        </w:tc>
        <w:tc>
          <w:tcPr>
            <w:tcW w:w="1820" w:type="dxa"/>
            <w:vAlign w:val="bottom"/>
            <w:tcBorders>
              <w:right w:val="single" w:sz="8" w:color="53C072"/>
            </w:tcBorders>
            <w:gridSpan w:val="5"/>
            <w:vMerge w:val="restart"/>
            <w:shd w:val="clear" w:color="auto" w:fill="53C072"/>
          </w:tcPr>
          <w:p>
            <w:pPr>
              <w:jc w:val="right"/>
              <w:ind w:right="17"/>
              <w:spacing w:after="0"/>
              <w:rPr>
                <w:sz w:val="20"/>
                <w:szCs w:val="20"/>
                <w:color w:val="auto"/>
              </w:rPr>
            </w:pPr>
            <w:r>
              <w:rPr>
                <w:rFonts w:ascii="Arial" w:cs="Arial" w:eastAsia="Arial" w:hAnsi="Arial"/>
                <w:sz w:val="13"/>
                <w:szCs w:val="13"/>
                <w:b w:val="1"/>
                <w:bCs w:val="1"/>
                <w:color w:val="FEFEFE"/>
              </w:rPr>
              <w:t>Estimated Future Payouts</w:t>
            </w:r>
          </w:p>
        </w:tc>
        <w:tc>
          <w:tcPr>
            <w:tcW w:w="80" w:type="dxa"/>
            <w:vAlign w:val="bottom"/>
            <w:shd w:val="clear" w:color="auto" w:fill="53C072"/>
          </w:tcPr>
          <w:p>
            <w:pPr>
              <w:spacing w:after="0"/>
              <w:rPr>
                <w:sz w:val="11"/>
                <w:szCs w:val="11"/>
                <w:color w:val="auto"/>
              </w:rPr>
            </w:pPr>
          </w:p>
        </w:tc>
        <w:tc>
          <w:tcPr>
            <w:tcW w:w="640" w:type="dxa"/>
            <w:vAlign w:val="bottom"/>
            <w:shd w:val="clear" w:color="auto" w:fill="53C072"/>
          </w:tcPr>
          <w:p>
            <w:pPr>
              <w:jc w:val="right"/>
              <w:spacing w:after="0" w:line="135" w:lineRule="exact"/>
              <w:rPr>
                <w:sz w:val="20"/>
                <w:szCs w:val="20"/>
                <w:color w:val="auto"/>
              </w:rPr>
            </w:pPr>
            <w:r>
              <w:rPr>
                <w:rFonts w:ascii="Arial" w:cs="Arial" w:eastAsia="Arial" w:hAnsi="Arial"/>
                <w:sz w:val="13"/>
                <w:szCs w:val="13"/>
                <w:b w:val="1"/>
                <w:bCs w:val="1"/>
                <w:color w:val="FEFEFE"/>
              </w:rPr>
              <w:t>Awards:</w:t>
            </w:r>
          </w:p>
        </w:tc>
        <w:tc>
          <w:tcPr>
            <w:tcW w:w="120" w:type="dxa"/>
            <w:vAlign w:val="bottom"/>
            <w:shd w:val="clear" w:color="auto" w:fill="53C072"/>
          </w:tcPr>
          <w:p>
            <w:pPr>
              <w:spacing w:after="0"/>
              <w:rPr>
                <w:sz w:val="11"/>
                <w:szCs w:val="11"/>
                <w:color w:val="auto"/>
              </w:rPr>
            </w:pPr>
          </w:p>
        </w:tc>
        <w:tc>
          <w:tcPr>
            <w:tcW w:w="680" w:type="dxa"/>
            <w:vAlign w:val="bottom"/>
            <w:shd w:val="clear" w:color="auto" w:fill="53C072"/>
          </w:tcPr>
          <w:p>
            <w:pPr>
              <w:jc w:val="right"/>
              <w:ind w:right="1"/>
              <w:spacing w:after="0" w:line="135" w:lineRule="exact"/>
              <w:rPr>
                <w:sz w:val="20"/>
                <w:szCs w:val="20"/>
                <w:color w:val="auto"/>
              </w:rPr>
            </w:pPr>
            <w:r>
              <w:rPr>
                <w:rFonts w:ascii="Arial" w:cs="Arial" w:eastAsia="Arial" w:hAnsi="Arial"/>
                <w:sz w:val="13"/>
                <w:szCs w:val="13"/>
                <w:b w:val="1"/>
                <w:bCs w:val="1"/>
                <w:color w:val="FEFEFE"/>
              </w:rPr>
              <w:t>Awards:</w:t>
            </w:r>
          </w:p>
        </w:tc>
        <w:tc>
          <w:tcPr>
            <w:tcW w:w="100" w:type="dxa"/>
            <w:vAlign w:val="bottom"/>
            <w:shd w:val="clear" w:color="auto" w:fill="53C072"/>
          </w:tcPr>
          <w:p>
            <w:pPr>
              <w:spacing w:after="0"/>
              <w:rPr>
                <w:sz w:val="11"/>
                <w:szCs w:val="11"/>
                <w:color w:val="auto"/>
              </w:rPr>
            </w:pPr>
          </w:p>
        </w:tc>
        <w:tc>
          <w:tcPr>
            <w:tcW w:w="700" w:type="dxa"/>
            <w:vAlign w:val="bottom"/>
            <w:shd w:val="clear" w:color="auto" w:fill="53C072"/>
          </w:tcPr>
          <w:p>
            <w:pPr>
              <w:spacing w:after="0"/>
              <w:rPr>
                <w:sz w:val="11"/>
                <w:szCs w:val="11"/>
                <w:color w:val="auto"/>
              </w:rPr>
            </w:pPr>
          </w:p>
        </w:tc>
        <w:tc>
          <w:tcPr>
            <w:tcW w:w="800" w:type="dxa"/>
            <w:vAlign w:val="bottom"/>
            <w:gridSpan w:val="2"/>
            <w:shd w:val="clear" w:color="auto" w:fill="53C072"/>
          </w:tcPr>
          <w:p>
            <w:pPr>
              <w:jc w:val="right"/>
              <w:ind w:right="18"/>
              <w:spacing w:after="0" w:line="135" w:lineRule="exact"/>
              <w:rPr>
                <w:sz w:val="20"/>
                <w:szCs w:val="20"/>
                <w:color w:val="auto"/>
              </w:rPr>
            </w:pPr>
            <w:r>
              <w:rPr>
                <w:rFonts w:ascii="Arial" w:cs="Arial" w:eastAsia="Arial" w:hAnsi="Arial"/>
                <w:sz w:val="13"/>
                <w:szCs w:val="13"/>
                <w:b w:val="1"/>
                <w:bCs w:val="1"/>
                <w:color w:val="FEFEFE"/>
              </w:rPr>
              <w:t>Grant Date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0" w:type="dxa"/>
            <w:vAlign w:val="bottom"/>
            <w:shd w:val="clear" w:color="auto" w:fill="53C072"/>
          </w:tcPr>
          <w:p>
            <w:pPr>
              <w:spacing w:after="0"/>
              <w:rPr>
                <w:sz w:val="5"/>
                <w:szCs w:val="5"/>
                <w:color w:val="auto"/>
              </w:rPr>
            </w:pPr>
          </w:p>
        </w:tc>
        <w:tc>
          <w:tcPr>
            <w:tcW w:w="1800" w:type="dxa"/>
            <w:vAlign w:val="bottom"/>
            <w:shd w:val="clear" w:color="auto" w:fill="53C072"/>
          </w:tcPr>
          <w:p>
            <w:pPr>
              <w:spacing w:after="0"/>
              <w:rPr>
                <w:sz w:val="5"/>
                <w:szCs w:val="5"/>
                <w:color w:val="auto"/>
              </w:rPr>
            </w:pPr>
          </w:p>
        </w:tc>
        <w:tc>
          <w:tcPr>
            <w:tcW w:w="200" w:type="dxa"/>
            <w:vAlign w:val="bottom"/>
            <w:shd w:val="clear" w:color="auto" w:fill="53C072"/>
          </w:tcPr>
          <w:p>
            <w:pPr>
              <w:spacing w:after="0"/>
              <w:rPr>
                <w:sz w:val="5"/>
                <w:szCs w:val="5"/>
                <w:color w:val="auto"/>
              </w:rPr>
            </w:pPr>
          </w:p>
        </w:tc>
        <w:tc>
          <w:tcPr>
            <w:tcW w:w="440" w:type="dxa"/>
            <w:vAlign w:val="bottom"/>
            <w:shd w:val="clear" w:color="auto" w:fill="53C072"/>
          </w:tcPr>
          <w:p>
            <w:pPr>
              <w:spacing w:after="0"/>
              <w:rPr>
                <w:sz w:val="5"/>
                <w:szCs w:val="5"/>
                <w:color w:val="auto"/>
              </w:rPr>
            </w:pPr>
          </w:p>
        </w:tc>
        <w:tc>
          <w:tcPr>
            <w:tcW w:w="140" w:type="dxa"/>
            <w:vAlign w:val="bottom"/>
            <w:tcBorders>
              <w:right w:val="single" w:sz="8" w:color="53C072"/>
            </w:tcBorders>
            <w:shd w:val="clear" w:color="auto" w:fill="53C072"/>
          </w:tcPr>
          <w:p>
            <w:pPr>
              <w:spacing w:after="0"/>
              <w:rPr>
                <w:sz w:val="5"/>
                <w:szCs w:val="5"/>
                <w:color w:val="auto"/>
              </w:rPr>
            </w:pPr>
          </w:p>
        </w:tc>
        <w:tc>
          <w:tcPr>
            <w:tcW w:w="1980" w:type="dxa"/>
            <w:vAlign w:val="bottom"/>
            <w:gridSpan w:val="5"/>
            <w:vMerge w:val="continue"/>
            <w:shd w:val="clear" w:color="auto" w:fill="53C072"/>
          </w:tcPr>
          <w:p>
            <w:pPr>
              <w:spacing w:after="0"/>
              <w:rPr>
                <w:sz w:val="5"/>
                <w:szCs w:val="5"/>
                <w:color w:val="auto"/>
              </w:rPr>
            </w:pPr>
          </w:p>
        </w:tc>
        <w:tc>
          <w:tcPr>
            <w:tcW w:w="80" w:type="dxa"/>
            <w:vAlign w:val="bottom"/>
            <w:shd w:val="clear" w:color="auto" w:fill="53C072"/>
          </w:tcPr>
          <w:p>
            <w:pPr>
              <w:spacing w:after="0"/>
              <w:rPr>
                <w:sz w:val="5"/>
                <w:szCs w:val="5"/>
                <w:color w:val="auto"/>
              </w:rPr>
            </w:pPr>
          </w:p>
        </w:tc>
        <w:tc>
          <w:tcPr>
            <w:tcW w:w="100" w:type="dxa"/>
            <w:vAlign w:val="bottom"/>
            <w:shd w:val="clear" w:color="auto" w:fill="53C072"/>
          </w:tcPr>
          <w:p>
            <w:pPr>
              <w:spacing w:after="0"/>
              <w:rPr>
                <w:sz w:val="5"/>
                <w:szCs w:val="5"/>
                <w:color w:val="auto"/>
              </w:rPr>
            </w:pPr>
          </w:p>
        </w:tc>
        <w:tc>
          <w:tcPr>
            <w:tcW w:w="1820" w:type="dxa"/>
            <w:vAlign w:val="bottom"/>
            <w:tcBorders>
              <w:right w:val="single" w:sz="8" w:color="53C072"/>
            </w:tcBorders>
            <w:gridSpan w:val="5"/>
            <w:vMerge w:val="continue"/>
            <w:shd w:val="clear" w:color="auto" w:fill="53C072"/>
          </w:tcPr>
          <w:p>
            <w:pPr>
              <w:spacing w:after="0"/>
              <w:rPr>
                <w:sz w:val="5"/>
                <w:szCs w:val="5"/>
                <w:color w:val="auto"/>
              </w:rPr>
            </w:pPr>
          </w:p>
        </w:tc>
        <w:tc>
          <w:tcPr>
            <w:tcW w:w="720" w:type="dxa"/>
            <w:vAlign w:val="bottom"/>
            <w:gridSpan w:val="2"/>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w w:val="98"/>
              </w:rPr>
              <w:t>Number of</w:t>
            </w:r>
          </w:p>
        </w:tc>
        <w:tc>
          <w:tcPr>
            <w:tcW w:w="1600" w:type="dxa"/>
            <w:vAlign w:val="bottom"/>
            <w:gridSpan w:val="4"/>
            <w:vMerge w:val="restart"/>
            <w:shd w:val="clear" w:color="auto" w:fill="53C072"/>
          </w:tcPr>
          <w:p>
            <w:pPr>
              <w:jc w:val="right"/>
              <w:ind w:right="2"/>
              <w:spacing w:after="0"/>
              <w:rPr>
                <w:sz w:val="20"/>
                <w:szCs w:val="20"/>
                <w:color w:val="auto"/>
              </w:rPr>
            </w:pPr>
            <w:r>
              <w:rPr>
                <w:rFonts w:ascii="Arial" w:cs="Arial" w:eastAsia="Arial" w:hAnsi="Arial"/>
                <w:sz w:val="13"/>
                <w:szCs w:val="13"/>
                <w:b w:val="1"/>
                <w:bCs w:val="1"/>
                <w:color w:val="FEFEFE"/>
              </w:rPr>
              <w:t>Number of  Exercise or</w:t>
            </w:r>
          </w:p>
        </w:tc>
        <w:tc>
          <w:tcPr>
            <w:tcW w:w="100" w:type="dxa"/>
            <w:vAlign w:val="bottom"/>
            <w:shd w:val="clear" w:color="auto" w:fill="53C072"/>
          </w:tcPr>
          <w:p>
            <w:pPr>
              <w:spacing w:after="0"/>
              <w:rPr>
                <w:sz w:val="5"/>
                <w:szCs w:val="5"/>
                <w:color w:val="auto"/>
              </w:rPr>
            </w:pPr>
          </w:p>
        </w:tc>
        <w:tc>
          <w:tcPr>
            <w:tcW w:w="700" w:type="dxa"/>
            <w:vAlign w:val="bottom"/>
            <w:vMerge w:val="restart"/>
            <w:shd w:val="clear" w:color="auto" w:fill="53C072"/>
          </w:tcPr>
          <w:p>
            <w:pPr>
              <w:jc w:val="right"/>
              <w:ind w:right="18"/>
              <w:spacing w:after="0"/>
              <w:rPr>
                <w:sz w:val="20"/>
                <w:szCs w:val="20"/>
                <w:color w:val="auto"/>
              </w:rPr>
            </w:pPr>
            <w:r>
              <w:rPr>
                <w:rFonts w:ascii="Arial" w:cs="Arial" w:eastAsia="Arial" w:hAnsi="Arial"/>
                <w:sz w:val="13"/>
                <w:szCs w:val="13"/>
                <w:b w:val="1"/>
                <w:bCs w:val="1"/>
                <w:color w:val="FEFEFE"/>
                <w:w w:val="96"/>
              </w:rPr>
              <w:t>Fair Value</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40" w:type="dxa"/>
            <w:vAlign w:val="bottom"/>
            <w:shd w:val="clear" w:color="auto" w:fill="53C072"/>
          </w:tcPr>
          <w:p>
            <w:pPr>
              <w:spacing w:after="0"/>
              <w:rPr>
                <w:sz w:val="10"/>
                <w:szCs w:val="10"/>
                <w:color w:val="auto"/>
              </w:rPr>
            </w:pPr>
          </w:p>
        </w:tc>
        <w:tc>
          <w:tcPr>
            <w:tcW w:w="1800" w:type="dxa"/>
            <w:vAlign w:val="bottom"/>
            <w:shd w:val="clear" w:color="auto" w:fill="53C072"/>
          </w:tcPr>
          <w:p>
            <w:pPr>
              <w:spacing w:after="0"/>
              <w:rPr>
                <w:sz w:val="10"/>
                <w:szCs w:val="10"/>
                <w:color w:val="auto"/>
              </w:rPr>
            </w:pPr>
          </w:p>
        </w:tc>
        <w:tc>
          <w:tcPr>
            <w:tcW w:w="200" w:type="dxa"/>
            <w:vAlign w:val="bottom"/>
            <w:shd w:val="clear" w:color="auto" w:fill="53C072"/>
          </w:tcPr>
          <w:p>
            <w:pPr>
              <w:spacing w:after="0"/>
              <w:rPr>
                <w:sz w:val="10"/>
                <w:szCs w:val="10"/>
                <w:color w:val="auto"/>
              </w:rPr>
            </w:pPr>
          </w:p>
        </w:tc>
        <w:tc>
          <w:tcPr>
            <w:tcW w:w="440" w:type="dxa"/>
            <w:vAlign w:val="bottom"/>
            <w:shd w:val="clear" w:color="auto" w:fill="53C072"/>
          </w:tcPr>
          <w:p>
            <w:pPr>
              <w:spacing w:after="0"/>
              <w:rPr>
                <w:sz w:val="10"/>
                <w:szCs w:val="10"/>
                <w:color w:val="auto"/>
              </w:rPr>
            </w:pPr>
          </w:p>
        </w:tc>
        <w:tc>
          <w:tcPr>
            <w:tcW w:w="140" w:type="dxa"/>
            <w:vAlign w:val="bottom"/>
            <w:tcBorders>
              <w:right w:val="single" w:sz="8" w:color="53C072"/>
            </w:tcBorders>
            <w:shd w:val="clear" w:color="auto" w:fill="53C072"/>
          </w:tcPr>
          <w:p>
            <w:pPr>
              <w:spacing w:after="0"/>
              <w:rPr>
                <w:sz w:val="10"/>
                <w:szCs w:val="10"/>
                <w:color w:val="auto"/>
              </w:rPr>
            </w:pPr>
          </w:p>
        </w:tc>
        <w:tc>
          <w:tcPr>
            <w:tcW w:w="1980" w:type="dxa"/>
            <w:vAlign w:val="bottom"/>
            <w:gridSpan w:val="5"/>
            <w:shd w:val="clear" w:color="auto" w:fill="53C072"/>
          </w:tcPr>
          <w:p>
            <w:pPr>
              <w:jc w:val="right"/>
              <w:spacing w:after="0" w:line="126" w:lineRule="exact"/>
              <w:rPr>
                <w:sz w:val="20"/>
                <w:szCs w:val="20"/>
                <w:color w:val="auto"/>
              </w:rPr>
            </w:pPr>
            <w:r>
              <w:rPr>
                <w:rFonts w:ascii="Arial" w:cs="Arial" w:eastAsia="Arial" w:hAnsi="Arial"/>
                <w:sz w:val="13"/>
                <w:szCs w:val="13"/>
                <w:b w:val="1"/>
                <w:bCs w:val="1"/>
                <w:color w:val="FEFEFE"/>
                <w:w w:val="95"/>
              </w:rPr>
              <w:t>Under Non-Equity Incentive Plan</w:t>
            </w:r>
          </w:p>
        </w:tc>
        <w:tc>
          <w:tcPr>
            <w:tcW w:w="80" w:type="dxa"/>
            <w:vAlign w:val="bottom"/>
            <w:shd w:val="clear" w:color="auto" w:fill="53C072"/>
          </w:tcPr>
          <w:p>
            <w:pPr>
              <w:spacing w:after="0"/>
              <w:rPr>
                <w:sz w:val="10"/>
                <w:szCs w:val="10"/>
                <w:color w:val="auto"/>
              </w:rPr>
            </w:pPr>
          </w:p>
        </w:tc>
        <w:tc>
          <w:tcPr>
            <w:tcW w:w="100" w:type="dxa"/>
            <w:vAlign w:val="bottom"/>
            <w:shd w:val="clear" w:color="auto" w:fill="53C072"/>
          </w:tcPr>
          <w:p>
            <w:pPr>
              <w:spacing w:after="0"/>
              <w:rPr>
                <w:sz w:val="10"/>
                <w:szCs w:val="10"/>
                <w:color w:val="auto"/>
              </w:rPr>
            </w:pPr>
          </w:p>
        </w:tc>
        <w:tc>
          <w:tcPr>
            <w:tcW w:w="1820" w:type="dxa"/>
            <w:vAlign w:val="bottom"/>
            <w:tcBorders>
              <w:right w:val="single" w:sz="8" w:color="53C072"/>
            </w:tcBorders>
            <w:gridSpan w:val="5"/>
            <w:shd w:val="clear" w:color="auto" w:fill="53C072"/>
          </w:tcPr>
          <w:p>
            <w:pPr>
              <w:jc w:val="right"/>
              <w:ind w:right="17"/>
              <w:spacing w:after="0" w:line="126" w:lineRule="exact"/>
              <w:rPr>
                <w:sz w:val="20"/>
                <w:szCs w:val="20"/>
                <w:color w:val="auto"/>
              </w:rPr>
            </w:pPr>
            <w:r>
              <w:rPr>
                <w:rFonts w:ascii="Arial" w:cs="Arial" w:eastAsia="Arial" w:hAnsi="Arial"/>
                <w:sz w:val="13"/>
                <w:szCs w:val="13"/>
                <w:b w:val="1"/>
                <w:bCs w:val="1"/>
                <w:color w:val="FEFEFE"/>
              </w:rPr>
              <w:t>Under Equity Incentive Plan</w:t>
            </w:r>
          </w:p>
        </w:tc>
        <w:tc>
          <w:tcPr>
            <w:tcW w:w="720" w:type="dxa"/>
            <w:vAlign w:val="bottom"/>
            <w:gridSpan w:val="2"/>
            <w:vMerge w:val="continue"/>
            <w:shd w:val="clear" w:color="auto" w:fill="53C072"/>
          </w:tcPr>
          <w:p>
            <w:pPr>
              <w:spacing w:after="0"/>
              <w:rPr>
                <w:sz w:val="10"/>
                <w:szCs w:val="10"/>
                <w:color w:val="auto"/>
              </w:rPr>
            </w:pPr>
          </w:p>
        </w:tc>
        <w:tc>
          <w:tcPr>
            <w:tcW w:w="1600" w:type="dxa"/>
            <w:vAlign w:val="bottom"/>
            <w:gridSpan w:val="4"/>
            <w:vMerge w:val="continue"/>
            <w:shd w:val="clear" w:color="auto" w:fill="53C072"/>
          </w:tcPr>
          <w:p>
            <w:pPr>
              <w:spacing w:after="0"/>
              <w:rPr>
                <w:sz w:val="10"/>
                <w:szCs w:val="10"/>
                <w:color w:val="auto"/>
              </w:rPr>
            </w:pPr>
          </w:p>
        </w:tc>
        <w:tc>
          <w:tcPr>
            <w:tcW w:w="100" w:type="dxa"/>
            <w:vAlign w:val="bottom"/>
            <w:shd w:val="clear" w:color="auto" w:fill="53C072"/>
          </w:tcPr>
          <w:p>
            <w:pPr>
              <w:spacing w:after="0"/>
              <w:rPr>
                <w:sz w:val="10"/>
                <w:szCs w:val="10"/>
                <w:color w:val="auto"/>
              </w:rPr>
            </w:pPr>
          </w:p>
        </w:tc>
        <w:tc>
          <w:tcPr>
            <w:tcW w:w="700" w:type="dxa"/>
            <w:vAlign w:val="bottom"/>
            <w:vMerge w:val="continue"/>
            <w:shd w:val="clear" w:color="auto" w:fill="53C07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shd w:val="clear" w:color="auto" w:fill="53C072"/>
          </w:tcPr>
          <w:p>
            <w:pPr>
              <w:spacing w:after="0"/>
              <w:rPr>
                <w:sz w:val="7"/>
                <w:szCs w:val="7"/>
                <w:color w:val="auto"/>
              </w:rPr>
            </w:pPr>
          </w:p>
        </w:tc>
        <w:tc>
          <w:tcPr>
            <w:tcW w:w="1800" w:type="dxa"/>
            <w:vAlign w:val="bottom"/>
            <w:vMerge w:val="restart"/>
            <w:shd w:val="clear" w:color="auto" w:fill="53C072"/>
          </w:tcPr>
          <w:p>
            <w:pPr>
              <w:spacing w:after="0"/>
              <w:rPr>
                <w:sz w:val="20"/>
                <w:szCs w:val="20"/>
                <w:color w:val="auto"/>
              </w:rPr>
            </w:pPr>
            <w:r>
              <w:rPr>
                <w:rFonts w:ascii="Arial" w:cs="Arial" w:eastAsia="Arial" w:hAnsi="Arial"/>
                <w:sz w:val="13"/>
                <w:szCs w:val="13"/>
                <w:b w:val="1"/>
                <w:bCs w:val="1"/>
                <w:color w:val="FEFEFE"/>
              </w:rPr>
              <w:t>​</w:t>
            </w:r>
          </w:p>
        </w:tc>
        <w:tc>
          <w:tcPr>
            <w:tcW w:w="200" w:type="dxa"/>
            <w:vAlign w:val="bottom"/>
            <w:vMerge w:val="restart"/>
            <w:shd w:val="clear" w:color="auto" w:fill="53C072"/>
          </w:tcPr>
          <w:p>
            <w:pPr>
              <w:ind w:left="40"/>
              <w:spacing w:after="0"/>
              <w:rPr>
                <w:sz w:val="20"/>
                <w:szCs w:val="20"/>
                <w:color w:val="auto"/>
              </w:rPr>
            </w:pPr>
            <w:r>
              <w:rPr>
                <w:rFonts w:ascii="Arial" w:cs="Arial" w:eastAsia="Arial" w:hAnsi="Arial"/>
                <w:sz w:val="13"/>
                <w:szCs w:val="13"/>
                <w:b w:val="1"/>
                <w:bCs w:val="1"/>
                <w:color w:val="FEFEFE"/>
              </w:rPr>
              <w:t>​​</w:t>
            </w:r>
          </w:p>
        </w:tc>
        <w:tc>
          <w:tcPr>
            <w:tcW w:w="440" w:type="dxa"/>
            <w:vAlign w:val="bottom"/>
            <w:shd w:val="clear" w:color="auto" w:fill="53C072"/>
          </w:tcPr>
          <w:p>
            <w:pPr>
              <w:spacing w:after="0"/>
              <w:rPr>
                <w:sz w:val="7"/>
                <w:szCs w:val="7"/>
                <w:color w:val="auto"/>
              </w:rPr>
            </w:pPr>
          </w:p>
        </w:tc>
        <w:tc>
          <w:tcPr>
            <w:tcW w:w="140" w:type="dxa"/>
            <w:vAlign w:val="bottom"/>
            <w:tcBorders>
              <w:right w:val="single" w:sz="8" w:color="53C072"/>
            </w:tcBorders>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53C072"/>
          </w:tcPr>
          <w:p>
            <w:pPr>
              <w:spacing w:after="0"/>
              <w:rPr>
                <w:sz w:val="7"/>
                <w:szCs w:val="7"/>
                <w:color w:val="auto"/>
              </w:rPr>
            </w:pPr>
          </w:p>
        </w:tc>
        <w:tc>
          <w:tcPr>
            <w:tcW w:w="120" w:type="dxa"/>
            <w:vAlign w:val="bottom"/>
            <w:shd w:val="clear" w:color="auto" w:fill="53C072"/>
          </w:tcPr>
          <w:p>
            <w:pPr>
              <w:spacing w:after="0"/>
              <w:rPr>
                <w:sz w:val="7"/>
                <w:szCs w:val="7"/>
                <w:color w:val="auto"/>
              </w:rPr>
            </w:pPr>
          </w:p>
        </w:tc>
        <w:tc>
          <w:tcPr>
            <w:tcW w:w="520" w:type="dxa"/>
            <w:vAlign w:val="bottom"/>
            <w:shd w:val="clear" w:color="auto" w:fill="53C072"/>
          </w:tcPr>
          <w:p>
            <w:pPr>
              <w:spacing w:after="0"/>
              <w:rPr>
                <w:sz w:val="7"/>
                <w:szCs w:val="7"/>
                <w:color w:val="auto"/>
              </w:rPr>
            </w:pPr>
          </w:p>
        </w:tc>
        <w:tc>
          <w:tcPr>
            <w:tcW w:w="120" w:type="dxa"/>
            <w:vAlign w:val="bottom"/>
            <w:shd w:val="clear" w:color="auto" w:fill="53C072"/>
          </w:tcPr>
          <w:p>
            <w:pPr>
              <w:spacing w:after="0"/>
              <w:rPr>
                <w:sz w:val="7"/>
                <w:szCs w:val="7"/>
                <w:color w:val="auto"/>
              </w:rPr>
            </w:pPr>
          </w:p>
        </w:tc>
        <w:tc>
          <w:tcPr>
            <w:tcW w:w="760" w:type="dxa"/>
            <w:vAlign w:val="bottom"/>
            <w:gridSpan w:val="3"/>
            <w:vMerge w:val="restart"/>
            <w:shd w:val="clear" w:color="auto" w:fill="53C072"/>
          </w:tcPr>
          <w:p>
            <w:pPr>
              <w:jc w:val="right"/>
              <w:ind w:right="60"/>
              <w:spacing w:after="0" w:line="183" w:lineRule="exact"/>
              <w:rPr>
                <w:sz w:val="20"/>
                <w:szCs w:val="20"/>
                <w:color w:val="auto"/>
              </w:rPr>
            </w:pPr>
            <w:r>
              <w:rPr>
                <w:rFonts w:ascii="Arial" w:cs="Arial" w:eastAsia="Arial" w:hAnsi="Arial"/>
                <w:sz w:val="11"/>
                <w:szCs w:val="11"/>
                <w:b w:val="1"/>
                <w:bCs w:val="1"/>
                <w:color w:val="FEFEFE"/>
              </w:rPr>
              <w:t xml:space="preserve">Awards </w:t>
            </w:r>
            <w:r>
              <w:rPr>
                <w:rFonts w:ascii="Arial" w:cs="Arial" w:eastAsia="Arial" w:hAnsi="Arial"/>
                <w:sz w:val="21"/>
                <w:szCs w:val="21"/>
                <w:b w:val="1"/>
                <w:bCs w:val="1"/>
                <w:color w:val="FEFEFE"/>
                <w:vertAlign w:val="subscript"/>
              </w:rPr>
              <w:t>​​</w:t>
            </w:r>
          </w:p>
        </w:tc>
        <w:tc>
          <w:tcPr>
            <w:tcW w:w="580" w:type="dxa"/>
            <w:vAlign w:val="bottom"/>
            <w:shd w:val="clear" w:color="auto" w:fill="53C072"/>
          </w:tcPr>
          <w:p>
            <w:pPr>
              <w:spacing w:after="0"/>
              <w:rPr>
                <w:sz w:val="7"/>
                <w:szCs w:val="7"/>
                <w:color w:val="auto"/>
              </w:rPr>
            </w:pPr>
          </w:p>
        </w:tc>
        <w:tc>
          <w:tcPr>
            <w:tcW w:w="200" w:type="dxa"/>
            <w:vAlign w:val="bottom"/>
            <w:shd w:val="clear" w:color="auto" w:fill="53C072"/>
          </w:tcPr>
          <w:p>
            <w:pPr>
              <w:spacing w:after="0"/>
              <w:rPr>
                <w:sz w:val="7"/>
                <w:szCs w:val="7"/>
                <w:color w:val="auto"/>
              </w:rPr>
            </w:pPr>
          </w:p>
        </w:tc>
        <w:tc>
          <w:tcPr>
            <w:tcW w:w="300" w:type="dxa"/>
            <w:vAlign w:val="bottom"/>
            <w:shd w:val="clear" w:color="auto" w:fill="53C072"/>
          </w:tcPr>
          <w:p>
            <w:pPr>
              <w:spacing w:after="0"/>
              <w:rPr>
                <w:sz w:val="7"/>
                <w:szCs w:val="7"/>
                <w:color w:val="auto"/>
              </w:rPr>
            </w:pPr>
          </w:p>
        </w:tc>
        <w:tc>
          <w:tcPr>
            <w:tcW w:w="740" w:type="dxa"/>
            <w:vAlign w:val="bottom"/>
            <w:tcBorders>
              <w:right w:val="single" w:sz="8" w:color="53C072"/>
            </w:tcBorders>
            <w:gridSpan w:val="2"/>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Awards(#)</w:t>
            </w:r>
          </w:p>
        </w:tc>
        <w:tc>
          <w:tcPr>
            <w:tcW w:w="80" w:type="dxa"/>
            <w:vAlign w:val="bottom"/>
            <w:vMerge w:val="restart"/>
            <w:shd w:val="clear" w:color="auto" w:fill="53C072"/>
          </w:tcPr>
          <w:p>
            <w:pPr>
              <w:spacing w:after="0"/>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53C072"/>
          </w:tcPr>
          <w:p>
            <w:pPr>
              <w:jc w:val="right"/>
              <w:spacing w:after="0" w:line="90" w:lineRule="exact"/>
              <w:rPr>
                <w:sz w:val="20"/>
                <w:szCs w:val="20"/>
                <w:color w:val="auto"/>
              </w:rPr>
            </w:pPr>
            <w:r>
              <w:rPr>
                <w:rFonts w:ascii="Arial" w:cs="Arial" w:eastAsia="Arial" w:hAnsi="Arial"/>
                <w:sz w:val="10"/>
                <w:szCs w:val="10"/>
                <w:b w:val="1"/>
                <w:bCs w:val="1"/>
                <w:color w:val="FEFEFE"/>
              </w:rPr>
              <w:t>Shares of</w:t>
            </w:r>
          </w:p>
        </w:tc>
        <w:tc>
          <w:tcPr>
            <w:tcW w:w="120" w:type="dxa"/>
            <w:vAlign w:val="bottom"/>
            <w:shd w:val="clear" w:color="auto" w:fill="53C072"/>
          </w:tcPr>
          <w:p>
            <w:pPr>
              <w:spacing w:after="0"/>
              <w:rPr>
                <w:sz w:val="7"/>
                <w:szCs w:val="7"/>
                <w:color w:val="auto"/>
              </w:rPr>
            </w:pPr>
          </w:p>
        </w:tc>
        <w:tc>
          <w:tcPr>
            <w:tcW w:w="680" w:type="dxa"/>
            <w:vAlign w:val="bottom"/>
            <w:shd w:val="clear" w:color="auto" w:fill="53C072"/>
          </w:tcPr>
          <w:p>
            <w:pPr>
              <w:jc w:val="right"/>
              <w:ind w:right="1"/>
              <w:spacing w:after="0" w:line="90" w:lineRule="exact"/>
              <w:rPr>
                <w:sz w:val="20"/>
                <w:szCs w:val="20"/>
                <w:color w:val="auto"/>
              </w:rPr>
            </w:pPr>
            <w:r>
              <w:rPr>
                <w:rFonts w:ascii="Arial" w:cs="Arial" w:eastAsia="Arial" w:hAnsi="Arial"/>
                <w:sz w:val="10"/>
                <w:szCs w:val="10"/>
                <w:b w:val="1"/>
                <w:bCs w:val="1"/>
                <w:color w:val="FEFEFE"/>
              </w:rPr>
              <w:t>Securities</w:t>
            </w:r>
          </w:p>
        </w:tc>
        <w:tc>
          <w:tcPr>
            <w:tcW w:w="100" w:type="dxa"/>
            <w:vAlign w:val="bottom"/>
            <w:shd w:val="clear" w:color="auto" w:fill="53C072"/>
          </w:tcPr>
          <w:p>
            <w:pPr>
              <w:spacing w:after="0"/>
              <w:rPr>
                <w:sz w:val="7"/>
                <w:szCs w:val="7"/>
                <w:color w:val="auto"/>
              </w:rPr>
            </w:pPr>
          </w:p>
        </w:tc>
        <w:tc>
          <w:tcPr>
            <w:tcW w:w="700" w:type="dxa"/>
            <w:vAlign w:val="bottom"/>
            <w:shd w:val="clear" w:color="auto" w:fill="53C072"/>
          </w:tcPr>
          <w:p>
            <w:pPr>
              <w:jc w:val="right"/>
              <w:ind w:right="2"/>
              <w:spacing w:after="0" w:line="90" w:lineRule="exact"/>
              <w:rPr>
                <w:sz w:val="20"/>
                <w:szCs w:val="20"/>
                <w:color w:val="auto"/>
              </w:rPr>
            </w:pPr>
            <w:r>
              <w:rPr>
                <w:rFonts w:ascii="Arial" w:cs="Arial" w:eastAsia="Arial" w:hAnsi="Arial"/>
                <w:sz w:val="10"/>
                <w:szCs w:val="10"/>
                <w:b w:val="1"/>
                <w:bCs w:val="1"/>
                <w:color w:val="FEFEFE"/>
              </w:rPr>
              <w:t>Base Price</w:t>
            </w:r>
          </w:p>
        </w:tc>
        <w:tc>
          <w:tcPr>
            <w:tcW w:w="100" w:type="dxa"/>
            <w:vAlign w:val="bottom"/>
            <w:shd w:val="clear" w:color="auto" w:fill="53C072"/>
          </w:tcPr>
          <w:p>
            <w:pPr>
              <w:spacing w:after="0"/>
              <w:rPr>
                <w:sz w:val="7"/>
                <w:szCs w:val="7"/>
                <w:color w:val="auto"/>
              </w:rPr>
            </w:pPr>
          </w:p>
        </w:tc>
        <w:tc>
          <w:tcPr>
            <w:tcW w:w="700" w:type="dxa"/>
            <w:vAlign w:val="bottom"/>
            <w:shd w:val="clear" w:color="auto" w:fill="53C072"/>
          </w:tcPr>
          <w:p>
            <w:pPr>
              <w:jc w:val="right"/>
              <w:ind w:right="18"/>
              <w:spacing w:after="0" w:line="90" w:lineRule="exact"/>
              <w:rPr>
                <w:sz w:val="20"/>
                <w:szCs w:val="20"/>
                <w:color w:val="auto"/>
              </w:rPr>
            </w:pPr>
            <w:r>
              <w:rPr>
                <w:rFonts w:ascii="Arial" w:cs="Arial" w:eastAsia="Arial" w:hAnsi="Arial"/>
                <w:sz w:val="10"/>
                <w:szCs w:val="10"/>
                <w:b w:val="1"/>
                <w:bCs w:val="1"/>
                <w:color w:val="FEFEFE"/>
              </w:rPr>
              <w:t>of Stock</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40" w:type="dxa"/>
            <w:vAlign w:val="bottom"/>
            <w:shd w:val="clear" w:color="auto" w:fill="53C072"/>
          </w:tcPr>
          <w:p>
            <w:pPr>
              <w:spacing w:after="0"/>
              <w:rPr>
                <w:sz w:val="9"/>
                <w:szCs w:val="9"/>
                <w:color w:val="auto"/>
              </w:rPr>
            </w:pPr>
          </w:p>
        </w:tc>
        <w:tc>
          <w:tcPr>
            <w:tcW w:w="1800" w:type="dxa"/>
            <w:vAlign w:val="bottom"/>
            <w:vMerge w:val="continue"/>
            <w:shd w:val="clear" w:color="auto" w:fill="53C072"/>
          </w:tcPr>
          <w:p>
            <w:pPr>
              <w:spacing w:after="0"/>
              <w:rPr>
                <w:sz w:val="9"/>
                <w:szCs w:val="9"/>
                <w:color w:val="auto"/>
              </w:rPr>
            </w:pPr>
          </w:p>
        </w:tc>
        <w:tc>
          <w:tcPr>
            <w:tcW w:w="200" w:type="dxa"/>
            <w:vAlign w:val="bottom"/>
            <w:vMerge w:val="continue"/>
            <w:shd w:val="clear" w:color="auto" w:fill="53C072"/>
          </w:tcPr>
          <w:p>
            <w:pPr>
              <w:spacing w:after="0"/>
              <w:rPr>
                <w:sz w:val="9"/>
                <w:szCs w:val="9"/>
                <w:color w:val="auto"/>
              </w:rPr>
            </w:pPr>
          </w:p>
        </w:tc>
        <w:tc>
          <w:tcPr>
            <w:tcW w:w="440" w:type="dxa"/>
            <w:vAlign w:val="bottom"/>
            <w:shd w:val="clear" w:color="auto" w:fill="53C072"/>
          </w:tcPr>
          <w:p>
            <w:pPr>
              <w:spacing w:after="0"/>
              <w:rPr>
                <w:sz w:val="9"/>
                <w:szCs w:val="9"/>
                <w:color w:val="auto"/>
              </w:rPr>
            </w:pPr>
          </w:p>
        </w:tc>
        <w:tc>
          <w:tcPr>
            <w:tcW w:w="140" w:type="dxa"/>
            <w:vAlign w:val="bottom"/>
            <w:tcBorders>
              <w:right w:val="single" w:sz="8" w:color="53C072"/>
            </w:tcBorders>
            <w:vMerge w:val="continue"/>
            <w:shd w:val="clear" w:color="auto" w:fill="53C072"/>
          </w:tcPr>
          <w:p>
            <w:pPr>
              <w:spacing w:after="0"/>
              <w:rPr>
                <w:sz w:val="9"/>
                <w:szCs w:val="9"/>
                <w:color w:val="auto"/>
              </w:rPr>
            </w:pPr>
          </w:p>
        </w:tc>
        <w:tc>
          <w:tcPr>
            <w:tcW w:w="640" w:type="dxa"/>
            <w:vAlign w:val="bottom"/>
            <w:shd w:val="clear" w:color="auto" w:fill="53C072"/>
          </w:tcPr>
          <w:p>
            <w:pPr>
              <w:spacing w:after="0"/>
              <w:rPr>
                <w:sz w:val="9"/>
                <w:szCs w:val="9"/>
                <w:color w:val="auto"/>
              </w:rPr>
            </w:pPr>
          </w:p>
        </w:tc>
        <w:tc>
          <w:tcPr>
            <w:tcW w:w="120" w:type="dxa"/>
            <w:vAlign w:val="bottom"/>
            <w:shd w:val="clear" w:color="auto" w:fill="53C072"/>
          </w:tcPr>
          <w:p>
            <w:pPr>
              <w:spacing w:after="0"/>
              <w:rPr>
                <w:sz w:val="9"/>
                <w:szCs w:val="9"/>
                <w:color w:val="auto"/>
              </w:rPr>
            </w:pPr>
          </w:p>
        </w:tc>
        <w:tc>
          <w:tcPr>
            <w:tcW w:w="520" w:type="dxa"/>
            <w:vAlign w:val="bottom"/>
            <w:shd w:val="clear" w:color="auto" w:fill="53C072"/>
          </w:tcPr>
          <w:p>
            <w:pPr>
              <w:spacing w:after="0"/>
              <w:rPr>
                <w:sz w:val="9"/>
                <w:szCs w:val="9"/>
                <w:color w:val="auto"/>
              </w:rPr>
            </w:pPr>
          </w:p>
        </w:tc>
        <w:tc>
          <w:tcPr>
            <w:tcW w:w="120" w:type="dxa"/>
            <w:vAlign w:val="bottom"/>
            <w:shd w:val="clear" w:color="auto" w:fill="53C072"/>
          </w:tcPr>
          <w:p>
            <w:pPr>
              <w:spacing w:after="0"/>
              <w:rPr>
                <w:sz w:val="9"/>
                <w:szCs w:val="9"/>
                <w:color w:val="auto"/>
              </w:rPr>
            </w:pPr>
          </w:p>
        </w:tc>
        <w:tc>
          <w:tcPr>
            <w:tcW w:w="760" w:type="dxa"/>
            <w:vAlign w:val="bottom"/>
            <w:gridSpan w:val="3"/>
            <w:vMerge w:val="continue"/>
            <w:shd w:val="clear" w:color="auto" w:fill="53C072"/>
          </w:tcPr>
          <w:p>
            <w:pPr>
              <w:spacing w:after="0"/>
              <w:rPr>
                <w:sz w:val="9"/>
                <w:szCs w:val="9"/>
                <w:color w:val="auto"/>
              </w:rPr>
            </w:pPr>
          </w:p>
        </w:tc>
        <w:tc>
          <w:tcPr>
            <w:tcW w:w="580" w:type="dxa"/>
            <w:vAlign w:val="bottom"/>
            <w:shd w:val="clear" w:color="auto" w:fill="53C072"/>
          </w:tcPr>
          <w:p>
            <w:pPr>
              <w:spacing w:after="0"/>
              <w:rPr>
                <w:sz w:val="9"/>
                <w:szCs w:val="9"/>
                <w:color w:val="auto"/>
              </w:rPr>
            </w:pPr>
          </w:p>
        </w:tc>
        <w:tc>
          <w:tcPr>
            <w:tcW w:w="200" w:type="dxa"/>
            <w:vAlign w:val="bottom"/>
            <w:shd w:val="clear" w:color="auto" w:fill="53C072"/>
          </w:tcPr>
          <w:p>
            <w:pPr>
              <w:spacing w:after="0"/>
              <w:rPr>
                <w:sz w:val="9"/>
                <w:szCs w:val="9"/>
                <w:color w:val="auto"/>
              </w:rPr>
            </w:pPr>
          </w:p>
        </w:tc>
        <w:tc>
          <w:tcPr>
            <w:tcW w:w="300" w:type="dxa"/>
            <w:vAlign w:val="bottom"/>
            <w:shd w:val="clear" w:color="auto" w:fill="53C072"/>
          </w:tcPr>
          <w:p>
            <w:pPr>
              <w:spacing w:after="0"/>
              <w:rPr>
                <w:sz w:val="9"/>
                <w:szCs w:val="9"/>
                <w:color w:val="auto"/>
              </w:rPr>
            </w:pPr>
          </w:p>
        </w:tc>
        <w:tc>
          <w:tcPr>
            <w:tcW w:w="740" w:type="dxa"/>
            <w:vAlign w:val="bottom"/>
            <w:tcBorders>
              <w:right w:val="single" w:sz="8" w:color="53C072"/>
            </w:tcBorders>
            <w:gridSpan w:val="2"/>
            <w:vMerge w:val="continue"/>
            <w:shd w:val="clear" w:color="auto" w:fill="53C072"/>
          </w:tcPr>
          <w:p>
            <w:pPr>
              <w:spacing w:after="0"/>
              <w:rPr>
                <w:sz w:val="9"/>
                <w:szCs w:val="9"/>
                <w:color w:val="auto"/>
              </w:rPr>
            </w:pPr>
          </w:p>
        </w:tc>
        <w:tc>
          <w:tcPr>
            <w:tcW w:w="80" w:type="dxa"/>
            <w:vAlign w:val="bottom"/>
            <w:vMerge w:val="continue"/>
            <w:shd w:val="clear" w:color="auto" w:fill="53C072"/>
          </w:tcPr>
          <w:p>
            <w:pPr>
              <w:spacing w:after="0"/>
              <w:rPr>
                <w:sz w:val="9"/>
                <w:szCs w:val="9"/>
                <w:color w:val="auto"/>
              </w:rPr>
            </w:pPr>
          </w:p>
        </w:tc>
        <w:tc>
          <w:tcPr>
            <w:tcW w:w="640" w:type="dxa"/>
            <w:vAlign w:val="bottom"/>
            <w:vMerge w:val="restart"/>
            <w:shd w:val="clear" w:color="auto" w:fill="53C072"/>
          </w:tcPr>
          <w:p>
            <w:pPr>
              <w:jc w:val="right"/>
              <w:spacing w:after="0" w:line="106" w:lineRule="exact"/>
              <w:rPr>
                <w:sz w:val="20"/>
                <w:szCs w:val="20"/>
                <w:color w:val="auto"/>
              </w:rPr>
            </w:pPr>
            <w:r>
              <w:rPr>
                <w:rFonts w:ascii="Arial" w:cs="Arial" w:eastAsia="Arial" w:hAnsi="Arial"/>
                <w:sz w:val="12"/>
                <w:szCs w:val="12"/>
                <w:b w:val="1"/>
                <w:bCs w:val="1"/>
                <w:color w:val="FEFEFE"/>
              </w:rPr>
              <w:t>Stock or</w:t>
            </w:r>
          </w:p>
        </w:tc>
        <w:tc>
          <w:tcPr>
            <w:tcW w:w="800" w:type="dxa"/>
            <w:vAlign w:val="bottom"/>
            <w:gridSpan w:val="2"/>
            <w:vMerge w:val="restart"/>
            <w:shd w:val="clear" w:color="auto" w:fill="53C072"/>
          </w:tcPr>
          <w:p>
            <w:pPr>
              <w:jc w:val="right"/>
              <w:ind w:right="1"/>
              <w:spacing w:after="0" w:line="106" w:lineRule="exact"/>
              <w:rPr>
                <w:sz w:val="20"/>
                <w:szCs w:val="20"/>
                <w:color w:val="auto"/>
              </w:rPr>
            </w:pPr>
            <w:r>
              <w:rPr>
                <w:rFonts w:ascii="Arial" w:cs="Arial" w:eastAsia="Arial" w:hAnsi="Arial"/>
                <w:sz w:val="12"/>
                <w:szCs w:val="12"/>
                <w:b w:val="1"/>
                <w:bCs w:val="1"/>
                <w:color w:val="FEFEFE"/>
              </w:rPr>
              <w:t>Underlying</w:t>
            </w:r>
          </w:p>
        </w:tc>
        <w:tc>
          <w:tcPr>
            <w:tcW w:w="100" w:type="dxa"/>
            <w:vAlign w:val="bottom"/>
            <w:shd w:val="clear" w:color="auto" w:fill="53C072"/>
          </w:tcPr>
          <w:p>
            <w:pPr>
              <w:spacing w:after="0"/>
              <w:rPr>
                <w:sz w:val="9"/>
                <w:szCs w:val="9"/>
                <w:color w:val="auto"/>
              </w:rPr>
            </w:pPr>
          </w:p>
        </w:tc>
        <w:tc>
          <w:tcPr>
            <w:tcW w:w="700" w:type="dxa"/>
            <w:vAlign w:val="bottom"/>
            <w:vMerge w:val="restart"/>
            <w:shd w:val="clear" w:color="auto" w:fill="53C072"/>
          </w:tcPr>
          <w:p>
            <w:pPr>
              <w:jc w:val="right"/>
              <w:ind w:right="2"/>
              <w:spacing w:after="0" w:line="106" w:lineRule="exact"/>
              <w:rPr>
                <w:sz w:val="20"/>
                <w:szCs w:val="20"/>
                <w:color w:val="auto"/>
              </w:rPr>
            </w:pPr>
            <w:r>
              <w:rPr>
                <w:rFonts w:ascii="Arial" w:cs="Arial" w:eastAsia="Arial" w:hAnsi="Arial"/>
                <w:sz w:val="12"/>
                <w:szCs w:val="12"/>
                <w:b w:val="1"/>
                <w:bCs w:val="1"/>
                <w:color w:val="FEFEFE"/>
              </w:rPr>
              <w:t>of Option</w:t>
            </w:r>
          </w:p>
        </w:tc>
        <w:tc>
          <w:tcPr>
            <w:tcW w:w="100" w:type="dxa"/>
            <w:vAlign w:val="bottom"/>
            <w:shd w:val="clear" w:color="auto" w:fill="53C072"/>
          </w:tcPr>
          <w:p>
            <w:pPr>
              <w:spacing w:after="0"/>
              <w:rPr>
                <w:sz w:val="9"/>
                <w:szCs w:val="9"/>
                <w:color w:val="auto"/>
              </w:rPr>
            </w:pPr>
          </w:p>
        </w:tc>
        <w:tc>
          <w:tcPr>
            <w:tcW w:w="700" w:type="dxa"/>
            <w:vAlign w:val="bottom"/>
            <w:vMerge w:val="restart"/>
            <w:shd w:val="clear" w:color="auto" w:fill="53C072"/>
          </w:tcPr>
          <w:p>
            <w:pPr>
              <w:jc w:val="right"/>
              <w:ind w:right="18"/>
              <w:spacing w:after="0" w:line="106" w:lineRule="exact"/>
              <w:rPr>
                <w:sz w:val="20"/>
                <w:szCs w:val="20"/>
                <w:color w:val="auto"/>
              </w:rPr>
            </w:pPr>
            <w:r>
              <w:rPr>
                <w:rFonts w:ascii="Arial" w:cs="Arial" w:eastAsia="Arial" w:hAnsi="Arial"/>
                <w:sz w:val="12"/>
                <w:szCs w:val="12"/>
                <w:b w:val="1"/>
                <w:bCs w:val="1"/>
                <w:color w:val="FEFEFE"/>
              </w:rPr>
              <w:t>and</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53C072"/>
          </w:tcPr>
          <w:p>
            <w:pPr>
              <w:spacing w:after="0" w:line="20" w:lineRule="exact"/>
              <w:rPr>
                <w:sz w:val="1"/>
                <w:szCs w:val="1"/>
                <w:color w:val="auto"/>
              </w:rPr>
            </w:pPr>
          </w:p>
        </w:tc>
        <w:tc>
          <w:tcPr>
            <w:tcW w:w="1800" w:type="dxa"/>
            <w:vAlign w:val="bottom"/>
            <w:shd w:val="clear" w:color="auto" w:fill="53C072"/>
          </w:tcPr>
          <w:p>
            <w:pPr>
              <w:spacing w:after="0" w:line="20" w:lineRule="exact"/>
              <w:rPr>
                <w:sz w:val="1"/>
                <w:szCs w:val="1"/>
                <w:color w:val="auto"/>
              </w:rPr>
            </w:pPr>
          </w:p>
        </w:tc>
        <w:tc>
          <w:tcPr>
            <w:tcW w:w="200" w:type="dxa"/>
            <w:vAlign w:val="bottom"/>
            <w:shd w:val="clear" w:color="auto" w:fill="53C072"/>
          </w:tcPr>
          <w:p>
            <w:pPr>
              <w:spacing w:after="0" w:line="20" w:lineRule="exact"/>
              <w:rPr>
                <w:sz w:val="1"/>
                <w:szCs w:val="1"/>
                <w:color w:val="auto"/>
              </w:rPr>
            </w:pPr>
          </w:p>
        </w:tc>
        <w:tc>
          <w:tcPr>
            <w:tcW w:w="440" w:type="dxa"/>
            <w:vAlign w:val="bottom"/>
            <w:shd w:val="clear" w:color="auto" w:fill="53C072"/>
          </w:tcPr>
          <w:p>
            <w:pPr>
              <w:spacing w:after="0" w:line="20" w:lineRule="exact"/>
              <w:rPr>
                <w:sz w:val="1"/>
                <w:szCs w:val="1"/>
                <w:color w:val="auto"/>
              </w:rPr>
            </w:pPr>
          </w:p>
        </w:tc>
        <w:tc>
          <w:tcPr>
            <w:tcW w:w="140" w:type="dxa"/>
            <w:vAlign w:val="bottom"/>
            <w:tcBorders>
              <w:right w:val="single" w:sz="8" w:color="auto"/>
            </w:tcBorders>
            <w:shd w:val="clear" w:color="auto" w:fill="53C07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53C07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tcBorders>
              <w:right w:val="single" w:sz="8" w:color="53C072"/>
            </w:tcBorders>
            <w:shd w:val="clear" w:color="auto" w:fill="000000"/>
          </w:tcPr>
          <w:p>
            <w:pPr>
              <w:spacing w:after="0" w:line="20" w:lineRule="exact"/>
              <w:rPr>
                <w:sz w:val="1"/>
                <w:szCs w:val="1"/>
                <w:color w:val="auto"/>
              </w:rPr>
            </w:pPr>
          </w:p>
        </w:tc>
        <w:tc>
          <w:tcPr>
            <w:tcW w:w="80" w:type="dxa"/>
            <w:vAlign w:val="bottom"/>
            <w:vMerge w:val="continue"/>
            <w:shd w:val="clear" w:color="auto" w:fill="53C072"/>
          </w:tcPr>
          <w:p>
            <w:pPr>
              <w:spacing w:after="0" w:line="20" w:lineRule="exact"/>
              <w:rPr>
                <w:sz w:val="1"/>
                <w:szCs w:val="1"/>
                <w:color w:val="auto"/>
              </w:rPr>
            </w:pPr>
          </w:p>
        </w:tc>
        <w:tc>
          <w:tcPr>
            <w:tcW w:w="640" w:type="dxa"/>
            <w:vAlign w:val="bottom"/>
            <w:vMerge w:val="continue"/>
            <w:shd w:val="clear" w:color="auto" w:fill="53C072"/>
          </w:tcPr>
          <w:p>
            <w:pPr>
              <w:spacing w:after="0" w:line="20" w:lineRule="exact"/>
              <w:rPr>
                <w:sz w:val="1"/>
                <w:szCs w:val="1"/>
                <w:color w:val="auto"/>
              </w:rPr>
            </w:pPr>
          </w:p>
        </w:tc>
        <w:tc>
          <w:tcPr>
            <w:tcW w:w="800" w:type="dxa"/>
            <w:vAlign w:val="bottom"/>
            <w:gridSpan w:val="2"/>
            <w:vMerge w:val="continue"/>
            <w:shd w:val="clear" w:color="auto" w:fill="53C072"/>
          </w:tcPr>
          <w:p>
            <w:pPr>
              <w:spacing w:after="0" w:line="20" w:lineRule="exact"/>
              <w:rPr>
                <w:sz w:val="1"/>
                <w:szCs w:val="1"/>
                <w:color w:val="auto"/>
              </w:rPr>
            </w:pPr>
          </w:p>
        </w:tc>
        <w:tc>
          <w:tcPr>
            <w:tcW w:w="100" w:type="dxa"/>
            <w:vAlign w:val="bottom"/>
            <w:shd w:val="clear" w:color="auto" w:fill="53C072"/>
          </w:tcPr>
          <w:p>
            <w:pPr>
              <w:spacing w:after="0" w:line="20" w:lineRule="exact"/>
              <w:rPr>
                <w:sz w:val="1"/>
                <w:szCs w:val="1"/>
                <w:color w:val="auto"/>
              </w:rPr>
            </w:pPr>
          </w:p>
        </w:tc>
        <w:tc>
          <w:tcPr>
            <w:tcW w:w="700" w:type="dxa"/>
            <w:vAlign w:val="bottom"/>
            <w:vMerge w:val="continue"/>
            <w:shd w:val="clear" w:color="auto" w:fill="53C072"/>
          </w:tcPr>
          <w:p>
            <w:pPr>
              <w:spacing w:after="0" w:line="20" w:lineRule="exact"/>
              <w:rPr>
                <w:sz w:val="1"/>
                <w:szCs w:val="1"/>
                <w:color w:val="auto"/>
              </w:rPr>
            </w:pPr>
          </w:p>
        </w:tc>
        <w:tc>
          <w:tcPr>
            <w:tcW w:w="100" w:type="dxa"/>
            <w:vAlign w:val="bottom"/>
            <w:shd w:val="clear" w:color="auto" w:fill="53C072"/>
          </w:tcPr>
          <w:p>
            <w:pPr>
              <w:spacing w:after="0" w:line="20" w:lineRule="exact"/>
              <w:rPr>
                <w:sz w:val="1"/>
                <w:szCs w:val="1"/>
                <w:color w:val="auto"/>
              </w:rPr>
            </w:pPr>
          </w:p>
        </w:tc>
        <w:tc>
          <w:tcPr>
            <w:tcW w:w="700" w:type="dxa"/>
            <w:vAlign w:val="bottom"/>
            <w:vMerge w:val="continue"/>
            <w:shd w:val="clear" w:color="auto" w:fill="53C07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53C072"/>
          </w:tcPr>
          <w:p>
            <w:pPr>
              <w:spacing w:after="0"/>
              <w:rPr>
                <w:sz w:val="13"/>
                <w:szCs w:val="13"/>
                <w:color w:val="auto"/>
              </w:rPr>
            </w:pPr>
          </w:p>
        </w:tc>
        <w:tc>
          <w:tcPr>
            <w:tcW w:w="1800" w:type="dxa"/>
            <w:vAlign w:val="bottom"/>
            <w:shd w:val="clear" w:color="auto" w:fill="53C072"/>
          </w:tcPr>
          <w:p>
            <w:pPr>
              <w:spacing w:after="0"/>
              <w:rPr>
                <w:sz w:val="13"/>
                <w:szCs w:val="13"/>
                <w:color w:val="auto"/>
              </w:rPr>
            </w:pPr>
          </w:p>
        </w:tc>
        <w:tc>
          <w:tcPr>
            <w:tcW w:w="200" w:type="dxa"/>
            <w:vAlign w:val="bottom"/>
            <w:shd w:val="clear" w:color="auto" w:fill="53C072"/>
          </w:tcPr>
          <w:p>
            <w:pPr>
              <w:spacing w:after="0"/>
              <w:rPr>
                <w:sz w:val="13"/>
                <w:szCs w:val="13"/>
                <w:color w:val="auto"/>
              </w:rPr>
            </w:pPr>
          </w:p>
        </w:tc>
        <w:tc>
          <w:tcPr>
            <w:tcW w:w="440" w:type="dxa"/>
            <w:vAlign w:val="bottom"/>
            <w:shd w:val="clear" w:color="auto" w:fill="53C072"/>
          </w:tcPr>
          <w:p>
            <w:pPr>
              <w:ind w:left="80"/>
              <w:spacing w:after="0"/>
              <w:rPr>
                <w:sz w:val="20"/>
                <w:szCs w:val="20"/>
                <w:color w:val="auto"/>
              </w:rPr>
            </w:pPr>
            <w:r>
              <w:rPr>
                <w:rFonts w:ascii="Arial" w:cs="Arial" w:eastAsia="Arial" w:hAnsi="Arial"/>
                <w:sz w:val="13"/>
                <w:szCs w:val="13"/>
                <w:b w:val="1"/>
                <w:bCs w:val="1"/>
                <w:color w:val="FEFEFE"/>
                <w:w w:val="97"/>
              </w:rPr>
              <w:t>Grant</w:t>
            </w:r>
          </w:p>
        </w:tc>
        <w:tc>
          <w:tcPr>
            <w:tcW w:w="140" w:type="dxa"/>
            <w:vAlign w:val="bottom"/>
            <w:tcBorders>
              <w:right w:val="single" w:sz="8" w:color="53C072"/>
            </w:tcBorders>
            <w:shd w:val="clear" w:color="auto" w:fill="53C072"/>
          </w:tcPr>
          <w:p>
            <w:pPr>
              <w:spacing w:after="0"/>
              <w:rPr>
                <w:sz w:val="13"/>
                <w:szCs w:val="13"/>
                <w:color w:val="auto"/>
              </w:rPr>
            </w:pPr>
          </w:p>
        </w:tc>
        <w:tc>
          <w:tcPr>
            <w:tcW w:w="640" w:type="dxa"/>
            <w:vAlign w:val="bottom"/>
            <w:shd w:val="clear" w:color="auto" w:fill="53C072"/>
          </w:tcPr>
          <w:p>
            <w:pPr>
              <w:jc w:val="right"/>
              <w:ind w:right="3"/>
              <w:spacing w:after="0"/>
              <w:rPr>
                <w:sz w:val="20"/>
                <w:szCs w:val="20"/>
                <w:color w:val="auto"/>
              </w:rPr>
            </w:pPr>
            <w:r>
              <w:rPr>
                <w:rFonts w:ascii="Arial" w:cs="Arial" w:eastAsia="Arial" w:hAnsi="Arial"/>
                <w:sz w:val="13"/>
                <w:szCs w:val="13"/>
                <w:b w:val="1"/>
                <w:bCs w:val="1"/>
                <w:color w:val="FEFEFE"/>
                <w:w w:val="89"/>
              </w:rPr>
              <w:t>Threshold</w:t>
            </w:r>
          </w:p>
        </w:tc>
        <w:tc>
          <w:tcPr>
            <w:tcW w:w="120" w:type="dxa"/>
            <w:vAlign w:val="bottom"/>
            <w:shd w:val="clear" w:color="auto" w:fill="53C072"/>
          </w:tcPr>
          <w:p>
            <w:pPr>
              <w:spacing w:after="0"/>
              <w:rPr>
                <w:sz w:val="13"/>
                <w:szCs w:val="13"/>
                <w:color w:val="auto"/>
              </w:rPr>
            </w:pPr>
          </w:p>
        </w:tc>
        <w:tc>
          <w:tcPr>
            <w:tcW w:w="1980" w:type="dxa"/>
            <w:vAlign w:val="bottom"/>
            <w:gridSpan w:val="6"/>
            <w:shd w:val="clear" w:color="auto" w:fill="53C072"/>
          </w:tcPr>
          <w:p>
            <w:pPr>
              <w:jc w:val="right"/>
              <w:spacing w:after="0"/>
              <w:rPr>
                <w:sz w:val="20"/>
                <w:szCs w:val="20"/>
                <w:color w:val="auto"/>
              </w:rPr>
            </w:pPr>
            <w:r>
              <w:rPr>
                <w:rFonts w:ascii="Arial" w:cs="Arial" w:eastAsia="Arial" w:hAnsi="Arial"/>
                <w:sz w:val="13"/>
                <w:szCs w:val="13"/>
                <w:b w:val="1"/>
                <w:bCs w:val="1"/>
                <w:color w:val="FEFEFE"/>
              </w:rPr>
              <w:t>Target  Maximum  Threshold</w:t>
            </w:r>
          </w:p>
        </w:tc>
        <w:tc>
          <w:tcPr>
            <w:tcW w:w="1240" w:type="dxa"/>
            <w:vAlign w:val="bottom"/>
            <w:tcBorders>
              <w:right w:val="single" w:sz="8" w:color="53C072"/>
            </w:tcBorders>
            <w:gridSpan w:val="4"/>
            <w:shd w:val="clear" w:color="auto" w:fill="53C072"/>
          </w:tcPr>
          <w:p>
            <w:pPr>
              <w:jc w:val="right"/>
              <w:ind w:right="17"/>
              <w:spacing w:after="0"/>
              <w:rPr>
                <w:sz w:val="20"/>
                <w:szCs w:val="20"/>
                <w:color w:val="auto"/>
              </w:rPr>
            </w:pPr>
            <w:r>
              <w:rPr>
                <w:rFonts w:ascii="Arial" w:cs="Arial" w:eastAsia="Arial" w:hAnsi="Arial"/>
                <w:sz w:val="13"/>
                <w:szCs w:val="13"/>
                <w:b w:val="1"/>
                <w:bCs w:val="1"/>
                <w:color w:val="FEFEFE"/>
              </w:rPr>
              <w:t>Target  Maximum</w:t>
            </w:r>
          </w:p>
        </w:tc>
        <w:tc>
          <w:tcPr>
            <w:tcW w:w="80" w:type="dxa"/>
            <w:vAlign w:val="bottom"/>
            <w:shd w:val="clear" w:color="auto" w:fill="53C072"/>
          </w:tcPr>
          <w:p>
            <w:pPr>
              <w:spacing w:after="0"/>
              <w:rPr>
                <w:sz w:val="13"/>
                <w:szCs w:val="13"/>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Units</w:t>
            </w:r>
          </w:p>
        </w:tc>
        <w:tc>
          <w:tcPr>
            <w:tcW w:w="120" w:type="dxa"/>
            <w:vAlign w:val="bottom"/>
            <w:shd w:val="clear" w:color="auto" w:fill="53C072"/>
          </w:tcPr>
          <w:p>
            <w:pPr>
              <w:spacing w:after="0"/>
              <w:rPr>
                <w:sz w:val="13"/>
                <w:szCs w:val="13"/>
                <w:color w:val="auto"/>
              </w:rPr>
            </w:pPr>
          </w:p>
        </w:tc>
        <w:tc>
          <w:tcPr>
            <w:tcW w:w="680" w:type="dxa"/>
            <w:vAlign w:val="bottom"/>
            <w:shd w:val="clear" w:color="auto" w:fill="53C072"/>
          </w:tcPr>
          <w:p>
            <w:pPr>
              <w:jc w:val="right"/>
              <w:ind w:right="1"/>
              <w:spacing w:after="0"/>
              <w:rPr>
                <w:sz w:val="20"/>
                <w:szCs w:val="20"/>
                <w:color w:val="auto"/>
              </w:rPr>
            </w:pPr>
            <w:r>
              <w:rPr>
                <w:rFonts w:ascii="Arial" w:cs="Arial" w:eastAsia="Arial" w:hAnsi="Arial"/>
                <w:sz w:val="13"/>
                <w:szCs w:val="13"/>
                <w:b w:val="1"/>
                <w:bCs w:val="1"/>
                <w:color w:val="FEFEFE"/>
              </w:rPr>
              <w:t>Options</w:t>
            </w:r>
          </w:p>
        </w:tc>
        <w:tc>
          <w:tcPr>
            <w:tcW w:w="100" w:type="dxa"/>
            <w:vAlign w:val="bottom"/>
            <w:shd w:val="clear" w:color="auto" w:fill="53C072"/>
          </w:tcPr>
          <w:p>
            <w:pPr>
              <w:spacing w:after="0"/>
              <w:rPr>
                <w:sz w:val="13"/>
                <w:szCs w:val="13"/>
                <w:color w:val="auto"/>
              </w:rPr>
            </w:pPr>
          </w:p>
        </w:tc>
        <w:tc>
          <w:tcPr>
            <w:tcW w:w="700" w:type="dxa"/>
            <w:vAlign w:val="bottom"/>
            <w:shd w:val="clear" w:color="auto" w:fill="53C072"/>
          </w:tcPr>
          <w:p>
            <w:pPr>
              <w:jc w:val="right"/>
              <w:ind w:right="2"/>
              <w:spacing w:after="0"/>
              <w:rPr>
                <w:sz w:val="20"/>
                <w:szCs w:val="20"/>
                <w:color w:val="auto"/>
              </w:rPr>
            </w:pPr>
            <w:r>
              <w:rPr>
                <w:rFonts w:ascii="Arial" w:cs="Arial" w:eastAsia="Arial" w:hAnsi="Arial"/>
                <w:sz w:val="13"/>
                <w:szCs w:val="13"/>
                <w:b w:val="1"/>
                <w:bCs w:val="1"/>
                <w:color w:val="FEFEFE"/>
              </w:rPr>
              <w:t>Awards</w:t>
            </w:r>
          </w:p>
        </w:tc>
        <w:tc>
          <w:tcPr>
            <w:tcW w:w="100" w:type="dxa"/>
            <w:vAlign w:val="bottom"/>
            <w:shd w:val="clear" w:color="auto" w:fill="53C072"/>
          </w:tcPr>
          <w:p>
            <w:pPr>
              <w:spacing w:after="0"/>
              <w:rPr>
                <w:sz w:val="13"/>
                <w:szCs w:val="13"/>
                <w:color w:val="auto"/>
              </w:rPr>
            </w:pPr>
          </w:p>
        </w:tc>
        <w:tc>
          <w:tcPr>
            <w:tcW w:w="700" w:type="dxa"/>
            <w:vAlign w:val="bottom"/>
            <w:shd w:val="clear" w:color="auto" w:fill="53C072"/>
          </w:tcPr>
          <w:p>
            <w:pPr>
              <w:jc w:val="right"/>
              <w:ind w:right="18"/>
              <w:spacing w:after="0"/>
              <w:rPr>
                <w:sz w:val="20"/>
                <w:szCs w:val="20"/>
                <w:color w:val="auto"/>
              </w:rPr>
            </w:pPr>
            <w:r>
              <w:rPr>
                <w:rFonts w:ascii="Arial" w:cs="Arial" w:eastAsia="Arial" w:hAnsi="Arial"/>
                <w:sz w:val="13"/>
                <w:szCs w:val="13"/>
                <w:b w:val="1"/>
                <w:bCs w:val="1"/>
                <w:color w:val="FEFEFE"/>
              </w:rPr>
              <w:t>Options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bottom w:val="single" w:sz="8" w:color="53C072"/>
            </w:tcBorders>
            <w:shd w:val="clear" w:color="auto" w:fill="53C072"/>
          </w:tcPr>
          <w:p>
            <w:pPr>
              <w:spacing w:after="0"/>
              <w:rPr>
                <w:sz w:val="13"/>
                <w:szCs w:val="13"/>
                <w:color w:val="auto"/>
              </w:rPr>
            </w:pPr>
          </w:p>
        </w:tc>
        <w:tc>
          <w:tcPr>
            <w:tcW w:w="1800" w:type="dxa"/>
            <w:vAlign w:val="bottom"/>
            <w:tcBorders>
              <w:bottom w:val="single" w:sz="8" w:color="53C072"/>
            </w:tcBorders>
            <w:shd w:val="clear" w:color="auto" w:fill="53C072"/>
          </w:tcPr>
          <w:p>
            <w:pPr>
              <w:spacing w:after="0"/>
              <w:rPr>
                <w:sz w:val="20"/>
                <w:szCs w:val="20"/>
                <w:color w:val="auto"/>
              </w:rPr>
            </w:pPr>
            <w:r>
              <w:rPr>
                <w:rFonts w:ascii="Arial" w:cs="Arial" w:eastAsia="Arial" w:hAnsi="Arial"/>
                <w:sz w:val="13"/>
                <w:szCs w:val="13"/>
                <w:b w:val="1"/>
                <w:bCs w:val="1"/>
                <w:color w:val="FEFEFE"/>
              </w:rPr>
              <w:t>​Name</w:t>
            </w:r>
          </w:p>
        </w:tc>
        <w:tc>
          <w:tcPr>
            <w:tcW w:w="200" w:type="dxa"/>
            <w:vAlign w:val="bottom"/>
            <w:tcBorders>
              <w:bottom w:val="single" w:sz="8" w:color="53C072"/>
            </w:tcBorders>
            <w:shd w:val="clear" w:color="auto" w:fill="53C072"/>
          </w:tcPr>
          <w:p>
            <w:pPr>
              <w:ind w:left="40"/>
              <w:spacing w:after="0"/>
              <w:rPr>
                <w:sz w:val="20"/>
                <w:szCs w:val="20"/>
                <w:color w:val="auto"/>
              </w:rPr>
            </w:pPr>
            <w:r>
              <w:rPr>
                <w:rFonts w:ascii="Arial" w:cs="Arial" w:eastAsia="Arial" w:hAnsi="Arial"/>
                <w:sz w:val="13"/>
                <w:szCs w:val="13"/>
                <w:b w:val="1"/>
                <w:bCs w:val="1"/>
                <w:color w:val="FEFEFE"/>
              </w:rPr>
              <w:t>​​</w:t>
            </w:r>
          </w:p>
        </w:tc>
        <w:tc>
          <w:tcPr>
            <w:tcW w:w="580" w:type="dxa"/>
            <w:vAlign w:val="bottom"/>
            <w:tcBorders>
              <w:bottom w:val="single" w:sz="8" w:color="53C072"/>
              <w:right w:val="single" w:sz="8" w:color="53C072"/>
            </w:tcBorders>
            <w:gridSpan w:val="2"/>
            <w:shd w:val="clear" w:color="auto" w:fill="53C072"/>
          </w:tcPr>
          <w:p>
            <w:pPr>
              <w:jc w:val="right"/>
              <w:spacing w:after="0" w:line="153" w:lineRule="exact"/>
              <w:rPr>
                <w:sz w:val="20"/>
                <w:szCs w:val="20"/>
                <w:color w:val="auto"/>
              </w:rPr>
            </w:pPr>
            <w:r>
              <w:rPr>
                <w:rFonts w:ascii="Arial" w:cs="Arial" w:eastAsia="Arial" w:hAnsi="Arial"/>
                <w:sz w:val="10"/>
                <w:szCs w:val="10"/>
                <w:b w:val="1"/>
                <w:bCs w:val="1"/>
                <w:color w:val="FEFEFE"/>
              </w:rPr>
              <w:t xml:space="preserve">Date </w:t>
            </w:r>
            <w:r>
              <w:rPr>
                <w:rFonts w:ascii="Arial" w:cs="Arial" w:eastAsia="Arial" w:hAnsi="Arial"/>
                <w:sz w:val="17"/>
                <w:szCs w:val="17"/>
                <w:b w:val="1"/>
                <w:bCs w:val="1"/>
                <w:color w:val="FEFEFE"/>
                <w:vertAlign w:val="subscript"/>
              </w:rPr>
              <w:t>​​</w:t>
            </w:r>
          </w:p>
        </w:tc>
        <w:tc>
          <w:tcPr>
            <w:tcW w:w="760" w:type="dxa"/>
            <w:vAlign w:val="bottom"/>
            <w:tcBorders>
              <w:bottom w:val="single" w:sz="8" w:color="53C072"/>
            </w:tcBorders>
            <w:gridSpan w:val="2"/>
            <w:shd w:val="clear" w:color="auto" w:fill="53C072"/>
          </w:tcPr>
          <w:p>
            <w:pPr>
              <w:jc w:val="right"/>
              <w:spacing w:after="0" w:line="153" w:lineRule="exact"/>
              <w:rPr>
                <w:sz w:val="20"/>
                <w:szCs w:val="20"/>
                <w:color w:val="auto"/>
              </w:rPr>
            </w:pPr>
            <w:r>
              <w:rPr>
                <w:rFonts w:ascii="Arial" w:cs="Arial" w:eastAsia="Arial" w:hAnsi="Arial"/>
                <w:sz w:val="10"/>
                <w:szCs w:val="10"/>
                <w:b w:val="1"/>
                <w:bCs w:val="1"/>
                <w:color w:val="FEFEFE"/>
              </w:rPr>
              <w:t xml:space="preserve">($) </w:t>
            </w:r>
            <w:r>
              <w:rPr>
                <w:rFonts w:ascii="Arial" w:cs="Arial" w:eastAsia="Arial" w:hAnsi="Arial"/>
                <w:sz w:val="17"/>
                <w:szCs w:val="17"/>
                <w:b w:val="1"/>
                <w:bCs w:val="1"/>
                <w:color w:val="FEFEFE"/>
                <w:vertAlign w:val="subscript"/>
              </w:rPr>
              <w:t>​​</w:t>
            </w:r>
          </w:p>
        </w:tc>
        <w:tc>
          <w:tcPr>
            <w:tcW w:w="640" w:type="dxa"/>
            <w:vAlign w:val="bottom"/>
            <w:tcBorders>
              <w:bottom w:val="single" w:sz="8" w:color="53C072"/>
            </w:tcBorders>
            <w:gridSpan w:val="2"/>
            <w:shd w:val="clear" w:color="auto" w:fill="53C072"/>
          </w:tcPr>
          <w:p>
            <w:pPr>
              <w:jc w:val="right"/>
              <w:spacing w:after="0" w:line="153" w:lineRule="exact"/>
              <w:rPr>
                <w:sz w:val="20"/>
                <w:szCs w:val="20"/>
                <w:color w:val="auto"/>
              </w:rPr>
            </w:pPr>
            <w:r>
              <w:rPr>
                <w:rFonts w:ascii="Arial" w:cs="Arial" w:eastAsia="Arial" w:hAnsi="Arial"/>
                <w:sz w:val="10"/>
                <w:szCs w:val="10"/>
                <w:b w:val="1"/>
                <w:bCs w:val="1"/>
                <w:color w:val="FEFEFE"/>
              </w:rPr>
              <w:t xml:space="preserve">($) </w:t>
            </w:r>
            <w:r>
              <w:rPr>
                <w:rFonts w:ascii="Arial" w:cs="Arial" w:eastAsia="Arial" w:hAnsi="Arial"/>
                <w:sz w:val="17"/>
                <w:szCs w:val="17"/>
                <w:b w:val="1"/>
                <w:bCs w:val="1"/>
                <w:color w:val="FEFEFE"/>
                <w:vertAlign w:val="subscript"/>
              </w:rPr>
              <w:t>​​</w:t>
            </w:r>
          </w:p>
        </w:tc>
        <w:tc>
          <w:tcPr>
            <w:tcW w:w="760" w:type="dxa"/>
            <w:vAlign w:val="bottom"/>
            <w:tcBorders>
              <w:bottom w:val="single" w:sz="8" w:color="53C072"/>
            </w:tcBorders>
            <w:gridSpan w:val="3"/>
            <w:shd w:val="clear" w:color="auto" w:fill="53C072"/>
          </w:tcPr>
          <w:p>
            <w:pPr>
              <w:jc w:val="right"/>
              <w:ind w:right="60"/>
              <w:spacing w:after="0" w:line="153" w:lineRule="exact"/>
              <w:rPr>
                <w:sz w:val="20"/>
                <w:szCs w:val="20"/>
                <w:color w:val="auto"/>
              </w:rPr>
            </w:pPr>
            <w:r>
              <w:rPr>
                <w:rFonts w:ascii="Arial" w:cs="Arial" w:eastAsia="Arial" w:hAnsi="Arial"/>
                <w:sz w:val="10"/>
                <w:szCs w:val="10"/>
                <w:b w:val="1"/>
                <w:bCs w:val="1"/>
                <w:color w:val="FEFEFE"/>
              </w:rPr>
              <w:t xml:space="preserve">($) </w:t>
            </w:r>
            <w:r>
              <w:rPr>
                <w:rFonts w:ascii="Arial" w:cs="Arial" w:eastAsia="Arial" w:hAnsi="Arial"/>
                <w:sz w:val="17"/>
                <w:szCs w:val="17"/>
                <w:b w:val="1"/>
                <w:bCs w:val="1"/>
                <w:color w:val="FEFEFE"/>
                <w:vertAlign w:val="subscript"/>
              </w:rPr>
              <w:t>​​</w:t>
            </w:r>
          </w:p>
        </w:tc>
        <w:tc>
          <w:tcPr>
            <w:tcW w:w="780" w:type="dxa"/>
            <w:vAlign w:val="bottom"/>
            <w:tcBorders>
              <w:bottom w:val="single" w:sz="8" w:color="53C072"/>
            </w:tcBorders>
            <w:gridSpan w:val="2"/>
            <w:shd w:val="clear" w:color="auto" w:fill="53C072"/>
          </w:tcPr>
          <w:p>
            <w:pPr>
              <w:jc w:val="right"/>
              <w:ind w:right="42"/>
              <w:spacing w:after="0" w:line="153" w:lineRule="exact"/>
              <w:rPr>
                <w:sz w:val="20"/>
                <w:szCs w:val="20"/>
                <w:color w:val="auto"/>
              </w:rPr>
            </w:pPr>
            <w:r>
              <w:rPr>
                <w:rFonts w:ascii="Arial" w:cs="Arial" w:eastAsia="Arial" w:hAnsi="Arial"/>
                <w:sz w:val="10"/>
                <w:szCs w:val="10"/>
                <w:b w:val="1"/>
                <w:bCs w:val="1"/>
                <w:color w:val="FEFEFE"/>
              </w:rPr>
              <w:t xml:space="preserve">(#) </w:t>
            </w:r>
            <w:r>
              <w:rPr>
                <w:rFonts w:ascii="Arial" w:cs="Arial" w:eastAsia="Arial" w:hAnsi="Arial"/>
                <w:sz w:val="17"/>
                <w:szCs w:val="17"/>
                <w:b w:val="1"/>
                <w:bCs w:val="1"/>
                <w:color w:val="FEFEFE"/>
                <w:vertAlign w:val="subscript"/>
              </w:rPr>
              <w:t>​​</w:t>
            </w:r>
          </w:p>
        </w:tc>
        <w:tc>
          <w:tcPr>
            <w:tcW w:w="460" w:type="dxa"/>
            <w:vAlign w:val="bottom"/>
            <w:tcBorders>
              <w:bottom w:val="single" w:sz="8" w:color="53C072"/>
            </w:tcBorders>
            <w:gridSpan w:val="2"/>
            <w:shd w:val="clear" w:color="auto" w:fill="53C072"/>
          </w:tcPr>
          <w:p>
            <w:pPr>
              <w:jc w:val="right"/>
              <w:ind w:right="6"/>
              <w:spacing w:after="0" w:line="153" w:lineRule="exact"/>
              <w:rPr>
                <w:sz w:val="20"/>
                <w:szCs w:val="20"/>
                <w:color w:val="auto"/>
              </w:rPr>
            </w:pPr>
            <w:r>
              <w:rPr>
                <w:rFonts w:ascii="Arial" w:cs="Arial" w:eastAsia="Arial" w:hAnsi="Arial"/>
                <w:sz w:val="10"/>
                <w:szCs w:val="10"/>
                <w:b w:val="1"/>
                <w:bCs w:val="1"/>
                <w:color w:val="FEFEFE"/>
              </w:rPr>
              <w:t xml:space="preserve">(#) </w:t>
            </w:r>
            <w:r>
              <w:rPr>
                <w:rFonts w:ascii="Arial" w:cs="Arial" w:eastAsia="Arial" w:hAnsi="Arial"/>
                <w:sz w:val="17"/>
                <w:szCs w:val="17"/>
                <w:b w:val="1"/>
                <w:bCs w:val="1"/>
                <w:color w:val="FEFEFE"/>
                <w:vertAlign w:val="subscript"/>
              </w:rPr>
              <w:t>​​</w:t>
            </w:r>
          </w:p>
        </w:tc>
        <w:tc>
          <w:tcPr>
            <w:tcW w:w="580" w:type="dxa"/>
            <w:vAlign w:val="bottom"/>
            <w:tcBorders>
              <w:bottom w:val="single" w:sz="8" w:color="53C072"/>
              <w:right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80" w:type="dxa"/>
            <w:vAlign w:val="bottom"/>
            <w:tcBorders>
              <w:bottom w:val="single" w:sz="8" w:color="53C072"/>
            </w:tcBorders>
            <w:shd w:val="clear" w:color="auto" w:fill="53C072"/>
          </w:tcPr>
          <w:p>
            <w:pPr>
              <w:spacing w:after="0"/>
              <w:rPr>
                <w:sz w:val="20"/>
                <w:szCs w:val="20"/>
                <w:color w:val="auto"/>
              </w:rPr>
            </w:pPr>
            <w:r>
              <w:rPr>
                <w:rFonts w:ascii="Arial" w:cs="Arial" w:eastAsia="Arial" w:hAnsi="Arial"/>
                <w:sz w:val="13"/>
                <w:szCs w:val="13"/>
                <w:b w:val="1"/>
                <w:bCs w:val="1"/>
                <w:color w:val="FEFEFE"/>
              </w:rPr>
              <w:t>​​</w:t>
            </w:r>
          </w:p>
        </w:tc>
        <w:tc>
          <w:tcPr>
            <w:tcW w:w="760" w:type="dxa"/>
            <w:vAlign w:val="bottom"/>
            <w:tcBorders>
              <w:bottom w:val="single" w:sz="8" w:color="53C072"/>
            </w:tcBorders>
            <w:gridSpan w:val="2"/>
            <w:shd w:val="clear" w:color="auto" w:fill="53C072"/>
          </w:tcPr>
          <w:p>
            <w:pPr>
              <w:jc w:val="right"/>
              <w:spacing w:after="0" w:line="153" w:lineRule="exact"/>
              <w:rPr>
                <w:sz w:val="20"/>
                <w:szCs w:val="20"/>
                <w:color w:val="auto"/>
              </w:rPr>
            </w:pPr>
            <w:r>
              <w:rPr>
                <w:rFonts w:ascii="Arial" w:cs="Arial" w:eastAsia="Arial" w:hAnsi="Arial"/>
                <w:sz w:val="10"/>
                <w:szCs w:val="10"/>
                <w:b w:val="1"/>
                <w:bCs w:val="1"/>
                <w:color w:val="FEFEFE"/>
              </w:rPr>
              <w:t xml:space="preserve">(#) </w:t>
            </w:r>
            <w:r>
              <w:rPr>
                <w:rFonts w:ascii="Arial" w:cs="Arial" w:eastAsia="Arial" w:hAnsi="Arial"/>
                <w:sz w:val="17"/>
                <w:szCs w:val="17"/>
                <w:b w:val="1"/>
                <w:bCs w:val="1"/>
                <w:color w:val="FEFEFE"/>
                <w:vertAlign w:val="subscript"/>
              </w:rPr>
              <w:t>​​</w:t>
            </w:r>
          </w:p>
        </w:tc>
        <w:tc>
          <w:tcPr>
            <w:tcW w:w="780" w:type="dxa"/>
            <w:vAlign w:val="bottom"/>
            <w:tcBorders>
              <w:bottom w:val="single" w:sz="8" w:color="53C072"/>
            </w:tcBorders>
            <w:gridSpan w:val="2"/>
            <w:shd w:val="clear" w:color="auto" w:fill="53C072"/>
          </w:tcPr>
          <w:p>
            <w:pPr>
              <w:jc w:val="right"/>
              <w:spacing w:after="0" w:line="153" w:lineRule="exact"/>
              <w:rPr>
                <w:sz w:val="20"/>
                <w:szCs w:val="20"/>
                <w:color w:val="auto"/>
              </w:rPr>
            </w:pPr>
            <w:r>
              <w:rPr>
                <w:rFonts w:ascii="Arial" w:cs="Arial" w:eastAsia="Arial" w:hAnsi="Arial"/>
                <w:sz w:val="10"/>
                <w:szCs w:val="10"/>
                <w:b w:val="1"/>
                <w:bCs w:val="1"/>
                <w:color w:val="FEFEFE"/>
              </w:rPr>
              <w:t xml:space="preserve">(#) </w:t>
            </w:r>
            <w:r>
              <w:rPr>
                <w:rFonts w:ascii="Arial" w:cs="Arial" w:eastAsia="Arial" w:hAnsi="Arial"/>
                <w:sz w:val="17"/>
                <w:szCs w:val="17"/>
                <w:b w:val="1"/>
                <w:bCs w:val="1"/>
                <w:color w:val="FEFEFE"/>
                <w:vertAlign w:val="subscript"/>
              </w:rPr>
              <w:t>​​</w:t>
            </w:r>
          </w:p>
        </w:tc>
        <w:tc>
          <w:tcPr>
            <w:tcW w:w="800" w:type="dxa"/>
            <w:vAlign w:val="bottom"/>
            <w:tcBorders>
              <w:bottom w:val="single" w:sz="8" w:color="53C072"/>
            </w:tcBorders>
            <w:gridSpan w:val="2"/>
            <w:shd w:val="clear" w:color="auto" w:fill="53C072"/>
          </w:tcPr>
          <w:p>
            <w:pPr>
              <w:jc w:val="right"/>
              <w:spacing w:after="0" w:line="153" w:lineRule="exact"/>
              <w:rPr>
                <w:sz w:val="20"/>
                <w:szCs w:val="20"/>
                <w:color w:val="auto"/>
              </w:rPr>
            </w:pPr>
            <w:r>
              <w:rPr>
                <w:rFonts w:ascii="Arial" w:cs="Arial" w:eastAsia="Arial" w:hAnsi="Arial"/>
                <w:sz w:val="10"/>
                <w:szCs w:val="10"/>
                <w:b w:val="1"/>
                <w:bCs w:val="1"/>
                <w:color w:val="FEFEFE"/>
              </w:rPr>
              <w:t xml:space="preserve">($/Sh) </w:t>
            </w:r>
            <w:r>
              <w:rPr>
                <w:rFonts w:ascii="Arial" w:cs="Arial" w:eastAsia="Arial" w:hAnsi="Arial"/>
                <w:sz w:val="17"/>
                <w:szCs w:val="17"/>
                <w:b w:val="1"/>
                <w:bCs w:val="1"/>
                <w:color w:val="FEFEFE"/>
                <w:vertAlign w:val="subscript"/>
              </w:rPr>
              <w:t>​​</w:t>
            </w:r>
          </w:p>
        </w:tc>
        <w:tc>
          <w:tcPr>
            <w:tcW w:w="70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Awards</w:t>
            </w:r>
          </w:p>
        </w:tc>
        <w:tc>
          <w:tcPr>
            <w:tcW w:w="40" w:type="dxa"/>
            <w:vAlign w:val="bottom"/>
          </w:tcPr>
          <w:p>
            <w:pPr>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80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200" w:type="dxa"/>
            <w:vAlign w:val="bottom"/>
          </w:tcPr>
          <w:p>
            <w:pPr>
              <w:ind w:left="40"/>
              <w:spacing w:after="0" w:line="95"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8"/>
                <w:szCs w:val="8"/>
                <w:color w:val="auto"/>
              </w:rPr>
            </w:pPr>
          </w:p>
        </w:tc>
        <w:tc>
          <w:tcPr>
            <w:tcW w:w="1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tcPr>
          <w:p>
            <w:pPr>
              <w:spacing w:after="0"/>
              <w:rPr>
                <w:sz w:val="8"/>
                <w:szCs w:val="8"/>
                <w:color w:val="auto"/>
              </w:rPr>
            </w:pP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tcPr>
          <w:p>
            <w:pPr>
              <w:spacing w:after="0"/>
              <w:rPr>
                <w:sz w:val="8"/>
                <w:szCs w:val="8"/>
                <w:color w:val="auto"/>
              </w:rPr>
            </w:pP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line="144" w:lineRule="exact"/>
              <w:rPr>
                <w:sz w:val="20"/>
                <w:szCs w:val="20"/>
                <w:color w:val="auto"/>
              </w:rPr>
            </w:pPr>
            <w:r>
              <w:rPr>
                <w:rFonts w:ascii="Arial" w:cs="Arial" w:eastAsia="Arial" w:hAnsi="Arial"/>
                <w:sz w:val="13"/>
                <w:szCs w:val="13"/>
                <w:color w:val="auto"/>
                <w:w w:val="96"/>
              </w:rPr>
              <w:t>3,600,000</w:t>
            </w:r>
          </w:p>
        </w:tc>
        <w:tc>
          <w:tcPr>
            <w:tcW w:w="180" w:type="dxa"/>
            <w:vAlign w:val="bottom"/>
            <w:gridSpan w:val="2"/>
          </w:tcPr>
          <w:p>
            <w:pPr>
              <w:jc w:val="right"/>
              <w:ind w:right="60"/>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jc w:val="right"/>
              <w:ind w:right="42"/>
              <w:spacing w:after="0" w:line="95" w:lineRule="exact"/>
              <w:rPr>
                <w:sz w:val="20"/>
                <w:szCs w:val="20"/>
                <w:color w:val="auto"/>
              </w:rPr>
            </w:pPr>
            <w:r>
              <w:rPr>
                <w:rFonts w:ascii="Arial" w:cs="Arial" w:eastAsia="Arial" w:hAnsi="Arial"/>
                <w:sz w:val="10"/>
                <w:szCs w:val="10"/>
                <w:color w:val="auto"/>
              </w:rPr>
              <w:t>​​</w:t>
            </w:r>
          </w:p>
        </w:tc>
        <w:tc>
          <w:tcPr>
            <w:tcW w:w="300" w:type="dxa"/>
            <w:vAlign w:val="bottom"/>
            <w:vMerge w:val="restart"/>
          </w:tcPr>
          <w:p>
            <w:pPr>
              <w:ind w:left="14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6"/>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tcPr>
          <w:p>
            <w:pPr>
              <w:ind w:left="560"/>
              <w:spacing w:after="0" w:line="144" w:lineRule="exact"/>
              <w:rPr>
                <w:sz w:val="20"/>
                <w:szCs w:val="20"/>
                <w:color w:val="auto"/>
              </w:rPr>
            </w:pPr>
            <w:r>
              <w:rPr>
                <w:rFonts w:ascii="Arial" w:cs="Arial" w:eastAsia="Arial" w:hAnsi="Arial"/>
                <w:sz w:val="13"/>
                <w:szCs w:val="13"/>
                <w:color w:val="auto"/>
                <w:w w:val="91"/>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1800" w:type="dxa"/>
            <w:vAlign w:val="bottom"/>
          </w:tcPr>
          <w:p>
            <w:pPr>
              <w:spacing w:after="0" w:line="50" w:lineRule="exact"/>
              <w:rPr>
                <w:sz w:val="20"/>
                <w:szCs w:val="20"/>
                <w:color w:val="auto"/>
              </w:rPr>
            </w:pPr>
            <w:r>
              <w:rPr>
                <w:rFonts w:ascii="Arial" w:cs="Arial" w:eastAsia="Arial" w:hAnsi="Arial"/>
                <w:sz w:val="5"/>
                <w:szCs w:val="5"/>
                <w:color w:val="auto"/>
              </w:rPr>
              <w:t>Philip R. Gallagher</w:t>
            </w:r>
          </w:p>
        </w:tc>
        <w:tc>
          <w:tcPr>
            <w:tcW w:w="640" w:type="dxa"/>
            <w:vAlign w:val="bottom"/>
            <w:gridSpan w:val="2"/>
          </w:tcPr>
          <w:p>
            <w:pPr>
              <w:ind w:left="100"/>
              <w:spacing w:after="0" w:line="50" w:lineRule="exact"/>
              <w:rPr>
                <w:sz w:val="20"/>
                <w:szCs w:val="20"/>
                <w:color w:val="auto"/>
              </w:rPr>
            </w:pPr>
            <w:r>
              <w:rPr>
                <w:rFonts w:ascii="Arial" w:cs="Arial" w:eastAsia="Arial" w:hAnsi="Arial"/>
                <w:sz w:val="5"/>
                <w:szCs w:val="5"/>
                <w:color w:val="auto"/>
              </w:rPr>
              <w:t>8/15/2024</w:t>
            </w:r>
          </w:p>
        </w:tc>
        <w:tc>
          <w:tcPr>
            <w:tcW w:w="140" w:type="dxa"/>
            <w:vAlign w:val="bottom"/>
          </w:tcPr>
          <w:p>
            <w:pPr>
              <w:spacing w:after="0"/>
              <w:rPr>
                <w:sz w:val="4"/>
                <w:szCs w:val="4"/>
                <w:color w:val="auto"/>
              </w:rPr>
            </w:pPr>
          </w:p>
        </w:tc>
        <w:tc>
          <w:tcPr>
            <w:tcW w:w="1280" w:type="dxa"/>
            <w:vAlign w:val="bottom"/>
            <w:gridSpan w:val="3"/>
          </w:tcPr>
          <w:p>
            <w:pPr>
              <w:jc w:val="right"/>
              <w:spacing w:after="0" w:line="50" w:lineRule="exact"/>
              <w:rPr>
                <w:sz w:val="20"/>
                <w:szCs w:val="20"/>
                <w:color w:val="auto"/>
              </w:rPr>
            </w:pPr>
            <w:r>
              <w:rPr>
                <w:rFonts w:ascii="Arial" w:cs="Arial" w:eastAsia="Arial" w:hAnsi="Arial"/>
                <w:sz w:val="5"/>
                <w:szCs w:val="5"/>
                <w:color w:val="auto"/>
              </w:rPr>
              <w:t>576,000  1,800,000</w:t>
            </w:r>
          </w:p>
        </w:tc>
        <w:tc>
          <w:tcPr>
            <w:tcW w:w="1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80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gridSpan w:val="3"/>
          </w:tcPr>
          <w:p>
            <w:pPr>
              <w:ind w:left="4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8/15/2024 </w:t>
            </w:r>
            <w:r>
              <w:rPr>
                <w:rFonts w:ascii="Arial" w:cs="Arial" w:eastAsia="Arial" w:hAnsi="Arial"/>
                <w:sz w:val="20"/>
                <w:szCs w:val="20"/>
                <w:color w:val="auto"/>
                <w:vertAlign w:val="superscript"/>
              </w:rPr>
              <w:t>​​</w:t>
            </w:r>
          </w:p>
        </w:tc>
        <w:tc>
          <w:tcPr>
            <w:tcW w:w="76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64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60" w:type="dxa"/>
            <w:vAlign w:val="bottom"/>
            <w:gridSpan w:val="3"/>
          </w:tcPr>
          <w:p>
            <w:pPr>
              <w:jc w:val="right"/>
              <w:ind w:right="6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42"/>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6"/>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70,996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80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00" w:type="dxa"/>
            <w:vAlign w:val="bottom"/>
          </w:tcPr>
          <w:p>
            <w:pPr>
              <w:jc w:val="right"/>
              <w:spacing w:after="0"/>
              <w:rPr>
                <w:sz w:val="20"/>
                <w:szCs w:val="20"/>
                <w:color w:val="auto"/>
              </w:rPr>
            </w:pPr>
            <w:r>
              <w:rPr>
                <w:rFonts w:ascii="Arial" w:cs="Arial" w:eastAsia="Arial" w:hAnsi="Arial"/>
                <w:sz w:val="13"/>
                <w:szCs w:val="13"/>
                <w:color w:val="auto"/>
              </w:rPr>
              <w:t>3,697,836</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gridSpan w:val="3"/>
          </w:tcPr>
          <w:p>
            <w:pPr>
              <w:ind w:left="4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8/15/2024 </w:t>
            </w:r>
            <w:r>
              <w:rPr>
                <w:rFonts w:ascii="Arial" w:cs="Arial" w:eastAsia="Arial" w:hAnsi="Arial"/>
                <w:sz w:val="20"/>
                <w:szCs w:val="20"/>
                <w:color w:val="auto"/>
                <w:vertAlign w:val="superscript"/>
              </w:rPr>
              <w:t>​​</w:t>
            </w:r>
          </w:p>
        </w:tc>
        <w:tc>
          <w:tcPr>
            <w:tcW w:w="76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64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60" w:type="dxa"/>
            <w:vAlign w:val="bottom"/>
            <w:gridSpan w:val="3"/>
          </w:tcPr>
          <w:p>
            <w:pPr>
              <w:jc w:val="right"/>
              <w:ind w:right="6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580" w:type="dxa"/>
            <w:vAlign w:val="bottom"/>
          </w:tcPr>
          <w:p>
            <w:pPr>
              <w:jc w:val="right"/>
              <w:spacing w:after="0"/>
              <w:rPr>
                <w:sz w:val="20"/>
                <w:szCs w:val="20"/>
                <w:color w:val="auto"/>
              </w:rPr>
            </w:pPr>
            <w:r>
              <w:rPr>
                <w:rFonts w:ascii="Arial" w:cs="Arial" w:eastAsia="Arial" w:hAnsi="Arial"/>
                <w:sz w:val="13"/>
                <w:szCs w:val="13"/>
                <w:color w:val="auto"/>
              </w:rPr>
              <w:t>23,961</w:t>
            </w:r>
          </w:p>
        </w:tc>
        <w:tc>
          <w:tcPr>
            <w:tcW w:w="660" w:type="dxa"/>
            <w:vAlign w:val="bottom"/>
            <w:gridSpan w:val="3"/>
          </w:tcPr>
          <w:p>
            <w:pPr>
              <w:jc w:val="right"/>
              <w:ind w:right="6"/>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70,997 </w:t>
            </w:r>
            <w:r>
              <w:rPr>
                <w:rFonts w:ascii="Arial" w:cs="Arial" w:eastAsia="Arial" w:hAnsi="Arial"/>
                <w:sz w:val="20"/>
                <w:szCs w:val="20"/>
                <w:color w:val="auto"/>
                <w:vertAlign w:val="superscript"/>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141,994</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8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80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00" w:type="dxa"/>
            <w:vAlign w:val="bottom"/>
          </w:tcPr>
          <w:p>
            <w:pPr>
              <w:jc w:val="right"/>
              <w:spacing w:after="0"/>
              <w:rPr>
                <w:sz w:val="20"/>
                <w:szCs w:val="20"/>
                <w:color w:val="auto"/>
              </w:rPr>
            </w:pPr>
            <w:r>
              <w:rPr>
                <w:rFonts w:ascii="Arial" w:cs="Arial" w:eastAsia="Arial" w:hAnsi="Arial"/>
                <w:sz w:val="13"/>
                <w:szCs w:val="13"/>
                <w:color w:val="auto"/>
              </w:rPr>
              <w:t>3,611,321</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vMerge w:val="restart"/>
          </w:tcPr>
          <w:p>
            <w:pPr>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94"/>
        </w:trPr>
        <w:tc>
          <w:tcPr>
            <w:tcW w:w="40" w:type="dxa"/>
            <w:vAlign w:val="bottom"/>
            <w:shd w:val="clear" w:color="auto" w:fill="CBECD5"/>
          </w:tcPr>
          <w:p>
            <w:pPr>
              <w:spacing w:after="0"/>
              <w:rPr>
                <w:sz w:val="8"/>
                <w:szCs w:val="8"/>
                <w:color w:val="auto"/>
              </w:rPr>
            </w:pPr>
          </w:p>
        </w:tc>
        <w:tc>
          <w:tcPr>
            <w:tcW w:w="1800" w:type="dxa"/>
            <w:vAlign w:val="bottom"/>
            <w:shd w:val="clear" w:color="auto" w:fill="CBECD5"/>
          </w:tcPr>
          <w:p>
            <w:pPr>
              <w:spacing w:after="0" w:line="95" w:lineRule="exact"/>
              <w:rPr>
                <w:sz w:val="20"/>
                <w:szCs w:val="20"/>
                <w:color w:val="auto"/>
              </w:rPr>
            </w:pPr>
            <w:r>
              <w:rPr>
                <w:rFonts w:ascii="Arial" w:cs="Arial" w:eastAsia="Arial" w:hAnsi="Arial"/>
                <w:sz w:val="10"/>
                <w:szCs w:val="10"/>
                <w:color w:val="auto"/>
              </w:rPr>
              <w:t>​</w:t>
            </w:r>
          </w:p>
        </w:tc>
        <w:tc>
          <w:tcPr>
            <w:tcW w:w="200" w:type="dxa"/>
            <w:vAlign w:val="bottom"/>
            <w:shd w:val="clear" w:color="auto" w:fill="CBECD5"/>
          </w:tcPr>
          <w:p>
            <w:pPr>
              <w:ind w:left="40"/>
              <w:spacing w:after="0" w:line="95" w:lineRule="exact"/>
              <w:rPr>
                <w:sz w:val="20"/>
                <w:szCs w:val="20"/>
                <w:color w:val="auto"/>
              </w:rPr>
            </w:pPr>
            <w:r>
              <w:rPr>
                <w:rFonts w:ascii="Arial" w:cs="Arial" w:eastAsia="Arial" w:hAnsi="Arial"/>
                <w:sz w:val="10"/>
                <w:szCs w:val="10"/>
                <w:color w:val="auto"/>
              </w:rPr>
              <w:t>​​</w:t>
            </w:r>
          </w:p>
        </w:tc>
        <w:tc>
          <w:tcPr>
            <w:tcW w:w="440" w:type="dxa"/>
            <w:vAlign w:val="bottom"/>
            <w:shd w:val="clear" w:color="auto" w:fill="CBECD5"/>
          </w:tcPr>
          <w:p>
            <w:pPr>
              <w:spacing w:after="0"/>
              <w:rPr>
                <w:sz w:val="8"/>
                <w:szCs w:val="8"/>
                <w:color w:val="auto"/>
              </w:rPr>
            </w:pPr>
          </w:p>
        </w:tc>
        <w:tc>
          <w:tcPr>
            <w:tcW w:w="140" w:type="dxa"/>
            <w:vAlign w:val="bottom"/>
            <w:tcBorders>
              <w:right w:val="single" w:sz="8" w:color="CBECD5"/>
            </w:tcBorders>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216,000</w:t>
            </w:r>
          </w:p>
        </w:tc>
        <w:tc>
          <w:tcPr>
            <w:tcW w:w="12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675,000</w:t>
            </w:r>
          </w:p>
        </w:tc>
        <w:tc>
          <w:tcPr>
            <w:tcW w:w="12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w w:val="96"/>
              </w:rPr>
              <w:t>1,350,000</w:t>
            </w:r>
          </w:p>
        </w:tc>
        <w:tc>
          <w:tcPr>
            <w:tcW w:w="180" w:type="dxa"/>
            <w:vAlign w:val="bottom"/>
            <w:gridSpan w:val="2"/>
            <w:shd w:val="clear" w:color="auto" w:fill="CBECD5"/>
          </w:tcPr>
          <w:p>
            <w:pPr>
              <w:jc w:val="right"/>
              <w:ind w:right="60"/>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BECD5"/>
          </w:tcPr>
          <w:p>
            <w:pPr>
              <w:jc w:val="right"/>
              <w:ind w:right="42"/>
              <w:spacing w:after="0" w:line="95" w:lineRule="exact"/>
              <w:rPr>
                <w:sz w:val="20"/>
                <w:szCs w:val="20"/>
                <w:color w:val="auto"/>
              </w:rPr>
            </w:pPr>
            <w:r>
              <w:rPr>
                <w:rFonts w:ascii="Arial" w:cs="Arial" w:eastAsia="Arial" w:hAnsi="Arial"/>
                <w:sz w:val="10"/>
                <w:szCs w:val="10"/>
                <w:color w:val="auto"/>
              </w:rPr>
              <w:t>​​</w:t>
            </w:r>
          </w:p>
        </w:tc>
        <w:tc>
          <w:tcPr>
            <w:tcW w:w="300" w:type="dxa"/>
            <w:vAlign w:val="bottom"/>
            <w:vMerge w:val="restart"/>
            <w:shd w:val="clear" w:color="auto" w:fill="CBECD5"/>
          </w:tcPr>
          <w:p>
            <w:pPr>
              <w:ind w:lef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BECD5"/>
          </w:tcPr>
          <w:p>
            <w:pPr>
              <w:jc w:val="right"/>
              <w:ind w:right="6"/>
              <w:spacing w:after="0" w:line="9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BECD5"/>
            </w:tcBorders>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BECD5"/>
          </w:tcPr>
          <w:p>
            <w:pPr>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shd w:val="clear" w:color="auto" w:fill="CBECD5"/>
          </w:tcPr>
          <w:p>
            <w:pPr>
              <w:ind w:left="56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40" w:type="dxa"/>
            <w:vAlign w:val="bottom"/>
            <w:shd w:val="clear" w:color="auto" w:fill="CBECD5"/>
          </w:tcPr>
          <w:p>
            <w:pPr>
              <w:spacing w:after="0"/>
              <w:rPr>
                <w:sz w:val="5"/>
                <w:szCs w:val="5"/>
                <w:color w:val="auto"/>
              </w:rPr>
            </w:pPr>
          </w:p>
        </w:tc>
        <w:tc>
          <w:tcPr>
            <w:tcW w:w="1800" w:type="dxa"/>
            <w:vAlign w:val="bottom"/>
            <w:shd w:val="clear" w:color="auto" w:fill="CBECD5"/>
          </w:tcPr>
          <w:p>
            <w:pPr>
              <w:spacing w:after="0" w:line="63" w:lineRule="exact"/>
              <w:rPr>
                <w:sz w:val="20"/>
                <w:szCs w:val="20"/>
                <w:color w:val="auto"/>
              </w:rPr>
            </w:pPr>
            <w:r>
              <w:rPr>
                <w:rFonts w:ascii="Arial" w:cs="Arial" w:eastAsia="Arial" w:hAnsi="Arial"/>
                <w:sz w:val="7"/>
                <w:szCs w:val="7"/>
                <w:color w:val="auto"/>
              </w:rPr>
              <w:t>Kenneth Jacobson</w:t>
            </w:r>
          </w:p>
        </w:tc>
        <w:tc>
          <w:tcPr>
            <w:tcW w:w="640" w:type="dxa"/>
            <w:vAlign w:val="bottom"/>
            <w:gridSpan w:val="2"/>
            <w:shd w:val="clear" w:color="auto" w:fill="CBECD5"/>
          </w:tcPr>
          <w:p>
            <w:pPr>
              <w:ind w:left="100"/>
              <w:spacing w:after="0" w:line="63" w:lineRule="exact"/>
              <w:rPr>
                <w:sz w:val="20"/>
                <w:szCs w:val="20"/>
                <w:color w:val="auto"/>
              </w:rPr>
            </w:pPr>
            <w:r>
              <w:rPr>
                <w:rFonts w:ascii="Arial" w:cs="Arial" w:eastAsia="Arial" w:hAnsi="Arial"/>
                <w:sz w:val="7"/>
                <w:szCs w:val="7"/>
                <w:color w:val="auto"/>
              </w:rPr>
              <w:t>8/15/2024</w:t>
            </w:r>
          </w:p>
        </w:tc>
        <w:tc>
          <w:tcPr>
            <w:tcW w:w="140" w:type="dxa"/>
            <w:vAlign w:val="bottom"/>
            <w:tcBorders>
              <w:right w:val="single" w:sz="8" w:color="CBECD5"/>
            </w:tcBorders>
            <w:shd w:val="clear" w:color="auto" w:fill="CBECD5"/>
          </w:tcPr>
          <w:p>
            <w:pPr>
              <w:spacing w:after="0"/>
              <w:rPr>
                <w:sz w:val="5"/>
                <w:szCs w:val="5"/>
                <w:color w:val="auto"/>
              </w:rPr>
            </w:pPr>
          </w:p>
        </w:tc>
        <w:tc>
          <w:tcPr>
            <w:tcW w:w="640" w:type="dxa"/>
            <w:vAlign w:val="bottom"/>
            <w:vMerge w:val="continue"/>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520" w:type="dxa"/>
            <w:vAlign w:val="bottom"/>
            <w:vMerge w:val="continue"/>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580" w:type="dxa"/>
            <w:vAlign w:val="bottom"/>
            <w:vMerge w:val="continue"/>
            <w:shd w:val="clear" w:color="auto" w:fill="CBECD5"/>
          </w:tcPr>
          <w:p>
            <w:pPr>
              <w:spacing w:after="0"/>
              <w:rPr>
                <w:sz w:val="5"/>
                <w:szCs w:val="5"/>
                <w:color w:val="auto"/>
              </w:rPr>
            </w:pPr>
          </w:p>
        </w:tc>
        <w:tc>
          <w:tcPr>
            <w:tcW w:w="80" w:type="dxa"/>
            <w:vAlign w:val="bottom"/>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580" w:type="dxa"/>
            <w:vAlign w:val="bottom"/>
            <w:vMerge w:val="continue"/>
            <w:shd w:val="clear" w:color="auto" w:fill="CBECD5"/>
          </w:tcPr>
          <w:p>
            <w:pPr>
              <w:spacing w:after="0"/>
              <w:rPr>
                <w:sz w:val="5"/>
                <w:szCs w:val="5"/>
                <w:color w:val="auto"/>
              </w:rPr>
            </w:pPr>
          </w:p>
        </w:tc>
        <w:tc>
          <w:tcPr>
            <w:tcW w:w="200" w:type="dxa"/>
            <w:vAlign w:val="bottom"/>
            <w:shd w:val="clear" w:color="auto" w:fill="CBECD5"/>
          </w:tcPr>
          <w:p>
            <w:pPr>
              <w:spacing w:after="0"/>
              <w:rPr>
                <w:sz w:val="5"/>
                <w:szCs w:val="5"/>
                <w:color w:val="auto"/>
              </w:rPr>
            </w:pPr>
          </w:p>
        </w:tc>
        <w:tc>
          <w:tcPr>
            <w:tcW w:w="300" w:type="dxa"/>
            <w:vAlign w:val="bottom"/>
            <w:vMerge w:val="continue"/>
            <w:shd w:val="clear" w:color="auto" w:fill="CBECD5"/>
          </w:tcPr>
          <w:p>
            <w:pPr>
              <w:spacing w:after="0"/>
              <w:rPr>
                <w:sz w:val="5"/>
                <w:szCs w:val="5"/>
                <w:color w:val="auto"/>
              </w:rPr>
            </w:pPr>
          </w:p>
        </w:tc>
        <w:tc>
          <w:tcPr>
            <w:tcW w:w="160" w:type="dxa"/>
            <w:vAlign w:val="bottom"/>
            <w:shd w:val="clear" w:color="auto" w:fill="CBECD5"/>
          </w:tcPr>
          <w:p>
            <w:pPr>
              <w:spacing w:after="0"/>
              <w:rPr>
                <w:sz w:val="5"/>
                <w:szCs w:val="5"/>
                <w:color w:val="auto"/>
              </w:rPr>
            </w:pPr>
          </w:p>
        </w:tc>
        <w:tc>
          <w:tcPr>
            <w:tcW w:w="580" w:type="dxa"/>
            <w:vAlign w:val="bottom"/>
            <w:tcBorders>
              <w:right w:val="single" w:sz="8" w:color="CBECD5"/>
            </w:tcBorders>
            <w:vMerge w:val="continue"/>
            <w:shd w:val="clear" w:color="auto" w:fill="CBECD5"/>
          </w:tcPr>
          <w:p>
            <w:pPr>
              <w:spacing w:after="0"/>
              <w:rPr>
                <w:sz w:val="5"/>
                <w:szCs w:val="5"/>
                <w:color w:val="auto"/>
              </w:rPr>
            </w:pPr>
          </w:p>
        </w:tc>
        <w:tc>
          <w:tcPr>
            <w:tcW w:w="80" w:type="dxa"/>
            <w:vAlign w:val="bottom"/>
            <w:shd w:val="clear" w:color="auto" w:fill="CBECD5"/>
          </w:tcPr>
          <w:p>
            <w:pPr>
              <w:spacing w:after="0"/>
              <w:rPr>
                <w:sz w:val="5"/>
                <w:szCs w:val="5"/>
                <w:color w:val="auto"/>
              </w:rPr>
            </w:pPr>
          </w:p>
        </w:tc>
        <w:tc>
          <w:tcPr>
            <w:tcW w:w="640" w:type="dxa"/>
            <w:vAlign w:val="bottom"/>
            <w:vMerge w:val="continue"/>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680" w:type="dxa"/>
            <w:vAlign w:val="bottom"/>
            <w:vMerge w:val="continue"/>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700" w:type="dxa"/>
            <w:vAlign w:val="bottom"/>
            <w:vMerge w:val="continue"/>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700" w:type="dxa"/>
            <w:vAlign w:val="bottom"/>
            <w:vMerge w:val="continue"/>
            <w:shd w:val="clear" w:color="auto" w:fill="CBECD5"/>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BECD5"/>
          </w:tcPr>
          <w:p>
            <w:pPr>
              <w:spacing w:after="0"/>
              <w:rPr>
                <w:sz w:val="16"/>
                <w:szCs w:val="16"/>
                <w:color w:val="auto"/>
              </w:rPr>
            </w:pPr>
          </w:p>
        </w:tc>
        <w:tc>
          <w:tcPr>
            <w:tcW w:w="180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BECD5"/>
            </w:tcBorders>
            <w:gridSpan w:val="3"/>
            <w:shd w:val="clear" w:color="auto" w:fill="CBECD5"/>
          </w:tcPr>
          <w:p>
            <w:pPr>
              <w:ind w:left="4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8/15/2024 </w:t>
            </w:r>
            <w:r>
              <w:rPr>
                <w:rFonts w:ascii="Arial" w:cs="Arial" w:eastAsia="Arial" w:hAnsi="Arial"/>
                <w:sz w:val="21"/>
                <w:szCs w:val="21"/>
                <w:color w:val="auto"/>
                <w:vertAlign w:val="superscript"/>
              </w:rPr>
              <w:t>​​</w:t>
            </w:r>
          </w:p>
        </w:tc>
        <w:tc>
          <w:tcPr>
            <w:tcW w:w="76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4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60" w:type="dxa"/>
            <w:vAlign w:val="bottom"/>
            <w:gridSpan w:val="3"/>
            <w:shd w:val="clear" w:color="auto" w:fill="CBECD5"/>
          </w:tcPr>
          <w:p>
            <w:pPr>
              <w:jc w:val="right"/>
              <w:ind w:right="6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5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BECD5"/>
          </w:tcPr>
          <w:p>
            <w:pPr>
              <w:jc w:val="right"/>
              <w:ind w:right="42"/>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BECD5"/>
          </w:tcPr>
          <w:p>
            <w:pPr>
              <w:jc w:val="right"/>
              <w:ind w:right="6"/>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58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17,404</w:t>
            </w:r>
          </w:p>
        </w:tc>
        <w:tc>
          <w:tcPr>
            <w:tcW w:w="1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80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906,490</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40" w:type="dxa"/>
            <w:vAlign w:val="bottom"/>
            <w:tcBorders>
              <w:bottom w:val="single" w:sz="8" w:color="CBECD5"/>
            </w:tcBorders>
            <w:shd w:val="clear" w:color="auto" w:fill="CBECD5"/>
          </w:tcPr>
          <w:p>
            <w:pPr>
              <w:spacing w:after="0"/>
              <w:rPr>
                <w:sz w:val="17"/>
                <w:szCs w:val="17"/>
                <w:color w:val="auto"/>
              </w:rPr>
            </w:pPr>
          </w:p>
        </w:tc>
        <w:tc>
          <w:tcPr>
            <w:tcW w:w="1800" w:type="dxa"/>
            <w:vAlign w:val="bottom"/>
            <w:tcBorders>
              <w:bottom w:val="single" w:sz="8" w:color="CBECD5"/>
            </w:tcBorders>
            <w:shd w:val="clear" w:color="auto" w:fill="CBECD5"/>
          </w:tcPr>
          <w:p>
            <w:pP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BECD5"/>
              <w:right w:val="single" w:sz="8" w:color="CBECD5"/>
            </w:tcBorders>
            <w:gridSpan w:val="3"/>
            <w:shd w:val="clear" w:color="auto" w:fill="CBECD5"/>
          </w:tcPr>
          <w:p>
            <w:pPr>
              <w:ind w:left="4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8/15/2024 </w:t>
            </w:r>
            <w:r>
              <w:rPr>
                <w:rFonts w:ascii="Arial" w:cs="Arial" w:eastAsia="Arial" w:hAnsi="Arial"/>
                <w:sz w:val="21"/>
                <w:szCs w:val="21"/>
                <w:color w:val="auto"/>
                <w:vertAlign w:val="superscript"/>
              </w:rPr>
              <w:t>​​</w:t>
            </w:r>
          </w:p>
        </w:tc>
        <w:tc>
          <w:tcPr>
            <w:tcW w:w="760" w:type="dxa"/>
            <w:vAlign w:val="bottom"/>
            <w:tcBorders>
              <w:bottom w:val="single" w:sz="8" w:color="CBECD5"/>
            </w:tcBorders>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40" w:type="dxa"/>
            <w:vAlign w:val="bottom"/>
            <w:tcBorders>
              <w:bottom w:val="single" w:sz="8" w:color="CBECD5"/>
            </w:tcBorders>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60" w:type="dxa"/>
            <w:vAlign w:val="bottom"/>
            <w:tcBorders>
              <w:bottom w:val="single" w:sz="8" w:color="CBECD5"/>
            </w:tcBorders>
            <w:gridSpan w:val="3"/>
            <w:shd w:val="clear" w:color="auto" w:fill="CBECD5"/>
          </w:tcPr>
          <w:p>
            <w:pPr>
              <w:jc w:val="right"/>
              <w:ind w:right="6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58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5,875</w:t>
            </w:r>
          </w:p>
        </w:tc>
        <w:tc>
          <w:tcPr>
            <w:tcW w:w="660" w:type="dxa"/>
            <w:vAlign w:val="bottom"/>
            <w:tcBorders>
              <w:bottom w:val="single" w:sz="8" w:color="CBECD5"/>
            </w:tcBorders>
            <w:gridSpan w:val="3"/>
            <w:shd w:val="clear" w:color="auto" w:fill="CBECD5"/>
          </w:tcPr>
          <w:p>
            <w:pPr>
              <w:jc w:val="right"/>
              <w:ind w:right="6"/>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17,406 </w:t>
            </w:r>
            <w:r>
              <w:rPr>
                <w:rFonts w:ascii="Arial" w:cs="Arial" w:eastAsia="Arial" w:hAnsi="Arial"/>
                <w:sz w:val="21"/>
                <w:szCs w:val="21"/>
                <w:color w:val="auto"/>
                <w:vertAlign w:val="superscript"/>
              </w:rPr>
              <w:t>​​</w:t>
            </w:r>
          </w:p>
        </w:tc>
        <w:tc>
          <w:tcPr>
            <w:tcW w:w="580" w:type="dxa"/>
            <w:vAlign w:val="bottom"/>
            <w:tcBorders>
              <w:bottom w:val="single" w:sz="8" w:color="CBECD5"/>
              <w:right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34,812</w:t>
            </w:r>
          </w:p>
        </w:tc>
        <w:tc>
          <w:tcPr>
            <w:tcW w:w="80" w:type="dxa"/>
            <w:vAlign w:val="bottom"/>
            <w:tcBorders>
              <w:bottom w:val="single" w:sz="8" w:color="CBECD5"/>
            </w:tcBorders>
            <w:shd w:val="clear" w:color="auto" w:fill="CBECD5"/>
          </w:tcPr>
          <w:p>
            <w:pPr>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BECD5"/>
            </w:tcBorders>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80" w:type="dxa"/>
            <w:vAlign w:val="bottom"/>
            <w:tcBorders>
              <w:bottom w:val="single" w:sz="8" w:color="CBECD5"/>
            </w:tcBorders>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800" w:type="dxa"/>
            <w:vAlign w:val="bottom"/>
            <w:tcBorders>
              <w:bottom w:val="single" w:sz="8" w:color="CBECD5"/>
            </w:tcBorders>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0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885,371</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80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200" w:type="dxa"/>
            <w:vAlign w:val="bottom"/>
          </w:tcPr>
          <w:p>
            <w:pPr>
              <w:ind w:left="40"/>
              <w:spacing w:after="0" w:line="95"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8"/>
                <w:szCs w:val="8"/>
                <w:color w:val="auto"/>
              </w:rPr>
            </w:pPr>
          </w:p>
        </w:tc>
        <w:tc>
          <w:tcPr>
            <w:tcW w:w="1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134,400</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420,000</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840,000</w:t>
            </w:r>
          </w:p>
        </w:tc>
        <w:tc>
          <w:tcPr>
            <w:tcW w:w="180" w:type="dxa"/>
            <w:vAlign w:val="bottom"/>
            <w:gridSpan w:val="2"/>
          </w:tcPr>
          <w:p>
            <w:pPr>
              <w:jc w:val="right"/>
              <w:ind w:right="60"/>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jc w:val="right"/>
              <w:ind w:right="42"/>
              <w:spacing w:after="0" w:line="95" w:lineRule="exact"/>
              <w:rPr>
                <w:sz w:val="20"/>
                <w:szCs w:val="20"/>
                <w:color w:val="auto"/>
              </w:rPr>
            </w:pPr>
            <w:r>
              <w:rPr>
                <w:rFonts w:ascii="Arial" w:cs="Arial" w:eastAsia="Arial" w:hAnsi="Arial"/>
                <w:sz w:val="10"/>
                <w:szCs w:val="10"/>
                <w:color w:val="auto"/>
              </w:rPr>
              <w:t>​​</w:t>
            </w:r>
          </w:p>
        </w:tc>
        <w:tc>
          <w:tcPr>
            <w:tcW w:w="300" w:type="dxa"/>
            <w:vAlign w:val="bottom"/>
            <w:vMerge w:val="restart"/>
          </w:tcPr>
          <w:p>
            <w:pPr>
              <w:ind w:left="14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6"/>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tcPr>
          <w:p>
            <w:pPr>
              <w:ind w:left="560"/>
              <w:spacing w:after="0" w:line="144" w:lineRule="exact"/>
              <w:rPr>
                <w:sz w:val="20"/>
                <w:szCs w:val="20"/>
                <w:color w:val="auto"/>
              </w:rPr>
            </w:pPr>
            <w:r>
              <w:rPr>
                <w:rFonts w:ascii="Arial" w:cs="Arial" w:eastAsia="Arial" w:hAnsi="Arial"/>
                <w:sz w:val="13"/>
                <w:szCs w:val="13"/>
                <w:color w:val="auto"/>
                <w:w w:val="91"/>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1800" w:type="dxa"/>
            <w:vAlign w:val="bottom"/>
          </w:tcPr>
          <w:p>
            <w:pPr>
              <w:spacing w:after="0" w:line="50" w:lineRule="exact"/>
              <w:rPr>
                <w:sz w:val="20"/>
                <w:szCs w:val="20"/>
                <w:color w:val="auto"/>
              </w:rPr>
            </w:pPr>
            <w:r>
              <w:rPr>
                <w:rFonts w:ascii="Arial" w:cs="Arial" w:eastAsia="Arial" w:hAnsi="Arial"/>
                <w:sz w:val="5"/>
                <w:szCs w:val="5"/>
                <w:color w:val="auto"/>
              </w:rPr>
              <w:t>Ken E. Arnold</w:t>
            </w:r>
          </w:p>
        </w:tc>
        <w:tc>
          <w:tcPr>
            <w:tcW w:w="640" w:type="dxa"/>
            <w:vAlign w:val="bottom"/>
            <w:gridSpan w:val="2"/>
          </w:tcPr>
          <w:p>
            <w:pPr>
              <w:ind w:left="100"/>
              <w:spacing w:after="0" w:line="50" w:lineRule="exact"/>
              <w:rPr>
                <w:sz w:val="20"/>
                <w:szCs w:val="20"/>
                <w:color w:val="auto"/>
              </w:rPr>
            </w:pPr>
            <w:r>
              <w:rPr>
                <w:rFonts w:ascii="Arial" w:cs="Arial" w:eastAsia="Arial" w:hAnsi="Arial"/>
                <w:sz w:val="5"/>
                <w:szCs w:val="5"/>
                <w:color w:val="auto"/>
              </w:rPr>
              <w:t>8/15/2024</w:t>
            </w:r>
          </w:p>
        </w:tc>
        <w:tc>
          <w:tcPr>
            <w:tcW w:w="1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gridSpan w:val="3"/>
          </w:tcPr>
          <w:p>
            <w:pPr>
              <w:ind w:left="4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8/15/2024 </w:t>
            </w:r>
            <w:r>
              <w:rPr>
                <w:rFonts w:ascii="Arial" w:cs="Arial" w:eastAsia="Arial" w:hAnsi="Arial"/>
                <w:sz w:val="20"/>
                <w:szCs w:val="20"/>
                <w:color w:val="auto"/>
                <w:vertAlign w:val="superscript"/>
              </w:rPr>
              <w:t>​​</w:t>
            </w:r>
          </w:p>
        </w:tc>
        <w:tc>
          <w:tcPr>
            <w:tcW w:w="76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64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60" w:type="dxa"/>
            <w:vAlign w:val="bottom"/>
            <w:gridSpan w:val="3"/>
          </w:tcPr>
          <w:p>
            <w:pPr>
              <w:jc w:val="right"/>
              <w:ind w:right="6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42"/>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6"/>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12,368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80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00" w:type="dxa"/>
            <w:vAlign w:val="bottom"/>
          </w:tcPr>
          <w:p>
            <w:pPr>
              <w:jc w:val="right"/>
              <w:spacing w:after="0"/>
              <w:rPr>
                <w:sz w:val="20"/>
                <w:szCs w:val="20"/>
                <w:color w:val="auto"/>
              </w:rPr>
            </w:pPr>
            <w:r>
              <w:rPr>
                <w:rFonts w:ascii="Arial" w:cs="Arial" w:eastAsia="Arial" w:hAnsi="Arial"/>
                <w:sz w:val="13"/>
                <w:szCs w:val="13"/>
                <w:color w:val="auto"/>
              </w:rPr>
              <w:t>644,189</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80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gridSpan w:val="3"/>
          </w:tcPr>
          <w:p>
            <w:pPr>
              <w:ind w:left="4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8/15/2024 </w:t>
            </w:r>
            <w:r>
              <w:rPr>
                <w:rFonts w:ascii="Arial" w:cs="Arial" w:eastAsia="Arial" w:hAnsi="Arial"/>
                <w:sz w:val="20"/>
                <w:szCs w:val="20"/>
                <w:color w:val="auto"/>
                <w:vertAlign w:val="superscript"/>
              </w:rPr>
              <w:t>​​</w:t>
            </w:r>
          </w:p>
        </w:tc>
        <w:tc>
          <w:tcPr>
            <w:tcW w:w="76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64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60" w:type="dxa"/>
            <w:vAlign w:val="bottom"/>
            <w:gridSpan w:val="3"/>
          </w:tcPr>
          <w:p>
            <w:pPr>
              <w:jc w:val="right"/>
              <w:ind w:right="6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580" w:type="dxa"/>
            <w:vAlign w:val="bottom"/>
          </w:tcPr>
          <w:p>
            <w:pPr>
              <w:jc w:val="right"/>
              <w:spacing w:after="0"/>
              <w:rPr>
                <w:sz w:val="20"/>
                <w:szCs w:val="20"/>
                <w:color w:val="auto"/>
              </w:rPr>
            </w:pPr>
            <w:r>
              <w:rPr>
                <w:rFonts w:ascii="Arial" w:cs="Arial" w:eastAsia="Arial" w:hAnsi="Arial"/>
                <w:sz w:val="13"/>
                <w:szCs w:val="13"/>
                <w:color w:val="auto"/>
              </w:rPr>
              <w:t>4,174</w:t>
            </w:r>
          </w:p>
        </w:tc>
        <w:tc>
          <w:tcPr>
            <w:tcW w:w="660" w:type="dxa"/>
            <w:vAlign w:val="bottom"/>
            <w:gridSpan w:val="3"/>
          </w:tcPr>
          <w:p>
            <w:pPr>
              <w:jc w:val="right"/>
              <w:ind w:right="6"/>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12,367 </w:t>
            </w:r>
            <w:r>
              <w:rPr>
                <w:rFonts w:ascii="Arial" w:cs="Arial" w:eastAsia="Arial" w:hAnsi="Arial"/>
                <w:sz w:val="20"/>
                <w:szCs w:val="20"/>
                <w:color w:val="auto"/>
                <w:vertAlign w:val="superscript"/>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24,734</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8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80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00" w:type="dxa"/>
            <w:vAlign w:val="bottom"/>
          </w:tcPr>
          <w:p>
            <w:pPr>
              <w:jc w:val="right"/>
              <w:spacing w:after="0"/>
              <w:rPr>
                <w:sz w:val="20"/>
                <w:szCs w:val="20"/>
                <w:color w:val="auto"/>
              </w:rPr>
            </w:pPr>
            <w:r>
              <w:rPr>
                <w:rFonts w:ascii="Arial" w:cs="Arial" w:eastAsia="Arial" w:hAnsi="Arial"/>
                <w:sz w:val="13"/>
                <w:szCs w:val="13"/>
                <w:color w:val="auto"/>
              </w:rPr>
              <w:t>629,058</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vMerge w:val="restart"/>
          </w:tcPr>
          <w:p>
            <w:pPr>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94"/>
        </w:trPr>
        <w:tc>
          <w:tcPr>
            <w:tcW w:w="40" w:type="dxa"/>
            <w:vAlign w:val="bottom"/>
            <w:shd w:val="clear" w:color="auto" w:fill="CBECD5"/>
          </w:tcPr>
          <w:p>
            <w:pPr>
              <w:spacing w:after="0"/>
              <w:rPr>
                <w:sz w:val="8"/>
                <w:szCs w:val="8"/>
                <w:color w:val="auto"/>
              </w:rPr>
            </w:pPr>
          </w:p>
        </w:tc>
        <w:tc>
          <w:tcPr>
            <w:tcW w:w="1800" w:type="dxa"/>
            <w:vAlign w:val="bottom"/>
            <w:shd w:val="clear" w:color="auto" w:fill="CBECD5"/>
          </w:tcPr>
          <w:p>
            <w:pPr>
              <w:spacing w:after="0" w:line="95" w:lineRule="exact"/>
              <w:rPr>
                <w:sz w:val="20"/>
                <w:szCs w:val="20"/>
                <w:color w:val="auto"/>
              </w:rPr>
            </w:pPr>
            <w:r>
              <w:rPr>
                <w:rFonts w:ascii="Arial" w:cs="Arial" w:eastAsia="Arial" w:hAnsi="Arial"/>
                <w:sz w:val="10"/>
                <w:szCs w:val="10"/>
                <w:color w:val="auto"/>
              </w:rPr>
              <w:t>​</w:t>
            </w:r>
          </w:p>
        </w:tc>
        <w:tc>
          <w:tcPr>
            <w:tcW w:w="200" w:type="dxa"/>
            <w:vAlign w:val="bottom"/>
            <w:shd w:val="clear" w:color="auto" w:fill="CBECD5"/>
          </w:tcPr>
          <w:p>
            <w:pPr>
              <w:ind w:left="40"/>
              <w:spacing w:after="0" w:line="95" w:lineRule="exact"/>
              <w:rPr>
                <w:sz w:val="20"/>
                <w:szCs w:val="20"/>
                <w:color w:val="auto"/>
              </w:rPr>
            </w:pPr>
            <w:r>
              <w:rPr>
                <w:rFonts w:ascii="Arial" w:cs="Arial" w:eastAsia="Arial" w:hAnsi="Arial"/>
                <w:sz w:val="10"/>
                <w:szCs w:val="10"/>
                <w:color w:val="auto"/>
              </w:rPr>
              <w:t>​​</w:t>
            </w:r>
          </w:p>
        </w:tc>
        <w:tc>
          <w:tcPr>
            <w:tcW w:w="440" w:type="dxa"/>
            <w:vAlign w:val="bottom"/>
            <w:shd w:val="clear" w:color="auto" w:fill="CBECD5"/>
          </w:tcPr>
          <w:p>
            <w:pPr>
              <w:spacing w:after="0"/>
              <w:rPr>
                <w:sz w:val="8"/>
                <w:szCs w:val="8"/>
                <w:color w:val="auto"/>
              </w:rPr>
            </w:pPr>
          </w:p>
        </w:tc>
        <w:tc>
          <w:tcPr>
            <w:tcW w:w="140" w:type="dxa"/>
            <w:vAlign w:val="bottom"/>
            <w:tcBorders>
              <w:right w:val="single" w:sz="8" w:color="CBECD5"/>
            </w:tcBorders>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140,800</w:t>
            </w:r>
          </w:p>
        </w:tc>
        <w:tc>
          <w:tcPr>
            <w:tcW w:w="12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440,000</w:t>
            </w:r>
          </w:p>
        </w:tc>
        <w:tc>
          <w:tcPr>
            <w:tcW w:w="12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880,000</w:t>
            </w:r>
          </w:p>
        </w:tc>
        <w:tc>
          <w:tcPr>
            <w:tcW w:w="180" w:type="dxa"/>
            <w:vAlign w:val="bottom"/>
            <w:gridSpan w:val="2"/>
            <w:shd w:val="clear" w:color="auto" w:fill="CBECD5"/>
          </w:tcPr>
          <w:p>
            <w:pPr>
              <w:jc w:val="right"/>
              <w:ind w:right="60"/>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BECD5"/>
          </w:tcPr>
          <w:p>
            <w:pPr>
              <w:jc w:val="right"/>
              <w:ind w:right="42"/>
              <w:spacing w:after="0" w:line="95" w:lineRule="exact"/>
              <w:rPr>
                <w:sz w:val="20"/>
                <w:szCs w:val="20"/>
                <w:color w:val="auto"/>
              </w:rPr>
            </w:pPr>
            <w:r>
              <w:rPr>
                <w:rFonts w:ascii="Arial" w:cs="Arial" w:eastAsia="Arial" w:hAnsi="Arial"/>
                <w:sz w:val="10"/>
                <w:szCs w:val="10"/>
                <w:color w:val="auto"/>
              </w:rPr>
              <w:t>​​</w:t>
            </w:r>
          </w:p>
        </w:tc>
        <w:tc>
          <w:tcPr>
            <w:tcW w:w="300" w:type="dxa"/>
            <w:vAlign w:val="bottom"/>
            <w:vMerge w:val="restart"/>
            <w:shd w:val="clear" w:color="auto" w:fill="CBECD5"/>
          </w:tcPr>
          <w:p>
            <w:pPr>
              <w:ind w:lef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BECD5"/>
          </w:tcPr>
          <w:p>
            <w:pPr>
              <w:jc w:val="right"/>
              <w:ind w:right="6"/>
              <w:spacing w:after="0" w:line="9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BECD5"/>
            </w:tcBorders>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BECD5"/>
          </w:tcPr>
          <w:p>
            <w:pPr>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shd w:val="clear" w:color="auto" w:fill="CBECD5"/>
          </w:tcPr>
          <w:p>
            <w:pPr>
              <w:ind w:left="56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40" w:type="dxa"/>
            <w:vAlign w:val="bottom"/>
            <w:shd w:val="clear" w:color="auto" w:fill="CBECD5"/>
          </w:tcPr>
          <w:p>
            <w:pPr>
              <w:spacing w:after="0"/>
              <w:rPr>
                <w:sz w:val="5"/>
                <w:szCs w:val="5"/>
                <w:color w:val="auto"/>
              </w:rPr>
            </w:pPr>
          </w:p>
        </w:tc>
        <w:tc>
          <w:tcPr>
            <w:tcW w:w="1800" w:type="dxa"/>
            <w:vAlign w:val="bottom"/>
            <w:shd w:val="clear" w:color="auto" w:fill="CBECD5"/>
          </w:tcPr>
          <w:p>
            <w:pPr>
              <w:spacing w:after="0" w:line="63" w:lineRule="exact"/>
              <w:rPr>
                <w:sz w:val="20"/>
                <w:szCs w:val="20"/>
                <w:color w:val="auto"/>
              </w:rPr>
            </w:pPr>
            <w:r>
              <w:rPr>
                <w:rFonts w:ascii="Arial" w:cs="Arial" w:eastAsia="Arial" w:hAnsi="Arial"/>
                <w:sz w:val="7"/>
                <w:szCs w:val="7"/>
                <w:color w:val="auto"/>
              </w:rPr>
              <w:t>Max Chan</w:t>
            </w:r>
          </w:p>
        </w:tc>
        <w:tc>
          <w:tcPr>
            <w:tcW w:w="640" w:type="dxa"/>
            <w:vAlign w:val="bottom"/>
            <w:gridSpan w:val="2"/>
            <w:shd w:val="clear" w:color="auto" w:fill="CBECD5"/>
          </w:tcPr>
          <w:p>
            <w:pPr>
              <w:ind w:left="100"/>
              <w:spacing w:after="0" w:line="63" w:lineRule="exact"/>
              <w:rPr>
                <w:sz w:val="20"/>
                <w:szCs w:val="20"/>
                <w:color w:val="auto"/>
              </w:rPr>
            </w:pPr>
            <w:r>
              <w:rPr>
                <w:rFonts w:ascii="Arial" w:cs="Arial" w:eastAsia="Arial" w:hAnsi="Arial"/>
                <w:sz w:val="7"/>
                <w:szCs w:val="7"/>
                <w:color w:val="auto"/>
              </w:rPr>
              <w:t>8/15/2024</w:t>
            </w:r>
          </w:p>
        </w:tc>
        <w:tc>
          <w:tcPr>
            <w:tcW w:w="140" w:type="dxa"/>
            <w:vAlign w:val="bottom"/>
            <w:tcBorders>
              <w:right w:val="single" w:sz="8" w:color="CBECD5"/>
            </w:tcBorders>
            <w:shd w:val="clear" w:color="auto" w:fill="CBECD5"/>
          </w:tcPr>
          <w:p>
            <w:pPr>
              <w:spacing w:after="0"/>
              <w:rPr>
                <w:sz w:val="5"/>
                <w:szCs w:val="5"/>
                <w:color w:val="auto"/>
              </w:rPr>
            </w:pPr>
          </w:p>
        </w:tc>
        <w:tc>
          <w:tcPr>
            <w:tcW w:w="640" w:type="dxa"/>
            <w:vAlign w:val="bottom"/>
            <w:vMerge w:val="continue"/>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520" w:type="dxa"/>
            <w:vAlign w:val="bottom"/>
            <w:vMerge w:val="continue"/>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580" w:type="dxa"/>
            <w:vAlign w:val="bottom"/>
            <w:vMerge w:val="continue"/>
            <w:shd w:val="clear" w:color="auto" w:fill="CBECD5"/>
          </w:tcPr>
          <w:p>
            <w:pPr>
              <w:spacing w:after="0"/>
              <w:rPr>
                <w:sz w:val="5"/>
                <w:szCs w:val="5"/>
                <w:color w:val="auto"/>
              </w:rPr>
            </w:pPr>
          </w:p>
        </w:tc>
        <w:tc>
          <w:tcPr>
            <w:tcW w:w="80" w:type="dxa"/>
            <w:vAlign w:val="bottom"/>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580" w:type="dxa"/>
            <w:vAlign w:val="bottom"/>
            <w:vMerge w:val="continue"/>
            <w:shd w:val="clear" w:color="auto" w:fill="CBECD5"/>
          </w:tcPr>
          <w:p>
            <w:pPr>
              <w:spacing w:after="0"/>
              <w:rPr>
                <w:sz w:val="5"/>
                <w:szCs w:val="5"/>
                <w:color w:val="auto"/>
              </w:rPr>
            </w:pPr>
          </w:p>
        </w:tc>
        <w:tc>
          <w:tcPr>
            <w:tcW w:w="200" w:type="dxa"/>
            <w:vAlign w:val="bottom"/>
            <w:shd w:val="clear" w:color="auto" w:fill="CBECD5"/>
          </w:tcPr>
          <w:p>
            <w:pPr>
              <w:spacing w:after="0"/>
              <w:rPr>
                <w:sz w:val="5"/>
                <w:szCs w:val="5"/>
                <w:color w:val="auto"/>
              </w:rPr>
            </w:pPr>
          </w:p>
        </w:tc>
        <w:tc>
          <w:tcPr>
            <w:tcW w:w="300" w:type="dxa"/>
            <w:vAlign w:val="bottom"/>
            <w:vMerge w:val="continue"/>
            <w:shd w:val="clear" w:color="auto" w:fill="CBECD5"/>
          </w:tcPr>
          <w:p>
            <w:pPr>
              <w:spacing w:after="0"/>
              <w:rPr>
                <w:sz w:val="5"/>
                <w:szCs w:val="5"/>
                <w:color w:val="auto"/>
              </w:rPr>
            </w:pPr>
          </w:p>
        </w:tc>
        <w:tc>
          <w:tcPr>
            <w:tcW w:w="160" w:type="dxa"/>
            <w:vAlign w:val="bottom"/>
            <w:shd w:val="clear" w:color="auto" w:fill="CBECD5"/>
          </w:tcPr>
          <w:p>
            <w:pPr>
              <w:spacing w:after="0"/>
              <w:rPr>
                <w:sz w:val="5"/>
                <w:szCs w:val="5"/>
                <w:color w:val="auto"/>
              </w:rPr>
            </w:pPr>
          </w:p>
        </w:tc>
        <w:tc>
          <w:tcPr>
            <w:tcW w:w="580" w:type="dxa"/>
            <w:vAlign w:val="bottom"/>
            <w:tcBorders>
              <w:right w:val="single" w:sz="8" w:color="CBECD5"/>
            </w:tcBorders>
            <w:vMerge w:val="continue"/>
            <w:shd w:val="clear" w:color="auto" w:fill="CBECD5"/>
          </w:tcPr>
          <w:p>
            <w:pPr>
              <w:spacing w:after="0"/>
              <w:rPr>
                <w:sz w:val="5"/>
                <w:szCs w:val="5"/>
                <w:color w:val="auto"/>
              </w:rPr>
            </w:pPr>
          </w:p>
        </w:tc>
        <w:tc>
          <w:tcPr>
            <w:tcW w:w="80" w:type="dxa"/>
            <w:vAlign w:val="bottom"/>
            <w:shd w:val="clear" w:color="auto" w:fill="CBECD5"/>
          </w:tcPr>
          <w:p>
            <w:pPr>
              <w:spacing w:after="0"/>
              <w:rPr>
                <w:sz w:val="5"/>
                <w:szCs w:val="5"/>
                <w:color w:val="auto"/>
              </w:rPr>
            </w:pPr>
          </w:p>
        </w:tc>
        <w:tc>
          <w:tcPr>
            <w:tcW w:w="640" w:type="dxa"/>
            <w:vAlign w:val="bottom"/>
            <w:vMerge w:val="continue"/>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680" w:type="dxa"/>
            <w:vAlign w:val="bottom"/>
            <w:vMerge w:val="continue"/>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700" w:type="dxa"/>
            <w:vAlign w:val="bottom"/>
            <w:vMerge w:val="continue"/>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700" w:type="dxa"/>
            <w:vAlign w:val="bottom"/>
            <w:vMerge w:val="continue"/>
            <w:shd w:val="clear" w:color="auto" w:fill="CBECD5"/>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BECD5"/>
          </w:tcPr>
          <w:p>
            <w:pPr>
              <w:spacing w:after="0"/>
              <w:rPr>
                <w:sz w:val="16"/>
                <w:szCs w:val="16"/>
                <w:color w:val="auto"/>
              </w:rPr>
            </w:pPr>
          </w:p>
        </w:tc>
        <w:tc>
          <w:tcPr>
            <w:tcW w:w="180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BECD5"/>
            </w:tcBorders>
            <w:gridSpan w:val="3"/>
            <w:shd w:val="clear" w:color="auto" w:fill="CBECD5"/>
          </w:tcPr>
          <w:p>
            <w:pPr>
              <w:ind w:left="4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8/15/2024 </w:t>
            </w:r>
            <w:r>
              <w:rPr>
                <w:rFonts w:ascii="Arial" w:cs="Arial" w:eastAsia="Arial" w:hAnsi="Arial"/>
                <w:sz w:val="21"/>
                <w:szCs w:val="21"/>
                <w:color w:val="auto"/>
                <w:vertAlign w:val="superscript"/>
              </w:rPr>
              <w:t>​​</w:t>
            </w:r>
          </w:p>
        </w:tc>
        <w:tc>
          <w:tcPr>
            <w:tcW w:w="76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4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60" w:type="dxa"/>
            <w:vAlign w:val="bottom"/>
            <w:gridSpan w:val="3"/>
            <w:shd w:val="clear" w:color="auto" w:fill="CBECD5"/>
          </w:tcPr>
          <w:p>
            <w:pPr>
              <w:jc w:val="right"/>
              <w:ind w:right="6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5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BECD5"/>
          </w:tcPr>
          <w:p>
            <w:pPr>
              <w:jc w:val="right"/>
              <w:ind w:right="42"/>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BECD5"/>
          </w:tcPr>
          <w:p>
            <w:pPr>
              <w:jc w:val="right"/>
              <w:ind w:right="6"/>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58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7,788</w:t>
            </w:r>
          </w:p>
        </w:tc>
        <w:tc>
          <w:tcPr>
            <w:tcW w:w="1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80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405,639</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4"/>
        </w:trPr>
        <w:tc>
          <w:tcPr>
            <w:tcW w:w="40" w:type="dxa"/>
            <w:vAlign w:val="bottom"/>
            <w:tcBorders>
              <w:bottom w:val="single" w:sz="8" w:color="CBECD5"/>
            </w:tcBorders>
            <w:shd w:val="clear" w:color="auto" w:fill="CBECD5"/>
          </w:tcPr>
          <w:p>
            <w:pPr>
              <w:spacing w:after="0"/>
              <w:rPr>
                <w:sz w:val="18"/>
                <w:szCs w:val="18"/>
                <w:color w:val="auto"/>
              </w:rPr>
            </w:pPr>
          </w:p>
        </w:tc>
        <w:tc>
          <w:tcPr>
            <w:tcW w:w="1800" w:type="dxa"/>
            <w:vAlign w:val="bottom"/>
            <w:tcBorders>
              <w:bottom w:val="single" w:sz="8" w:color="CBECD5"/>
            </w:tcBorders>
            <w:shd w:val="clear" w:color="auto" w:fill="CBECD5"/>
          </w:tcPr>
          <w:p>
            <w:pP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BECD5"/>
              <w:right w:val="single" w:sz="8" w:color="CBECD5"/>
            </w:tcBorders>
            <w:gridSpan w:val="3"/>
            <w:shd w:val="clear" w:color="auto" w:fill="CBECD5"/>
          </w:tcPr>
          <w:p>
            <w:pPr>
              <w:ind w:left="4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8/15/2024 </w:t>
            </w:r>
            <w:r>
              <w:rPr>
                <w:rFonts w:ascii="Arial" w:cs="Arial" w:eastAsia="Arial" w:hAnsi="Arial"/>
                <w:sz w:val="23"/>
                <w:szCs w:val="23"/>
                <w:color w:val="auto"/>
                <w:vertAlign w:val="superscript"/>
              </w:rPr>
              <w:t>​​</w:t>
            </w:r>
          </w:p>
        </w:tc>
        <w:tc>
          <w:tcPr>
            <w:tcW w:w="760" w:type="dxa"/>
            <w:vAlign w:val="bottom"/>
            <w:tcBorders>
              <w:bottom w:val="single" w:sz="8" w:color="CBECD5"/>
            </w:tcBorders>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640" w:type="dxa"/>
            <w:vAlign w:val="bottom"/>
            <w:tcBorders>
              <w:bottom w:val="single" w:sz="8" w:color="CBECD5"/>
            </w:tcBorders>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760" w:type="dxa"/>
            <w:vAlign w:val="bottom"/>
            <w:tcBorders>
              <w:bottom w:val="single" w:sz="8" w:color="CBECD5"/>
            </w:tcBorders>
            <w:gridSpan w:val="3"/>
            <w:shd w:val="clear" w:color="auto" w:fill="CBECD5"/>
          </w:tcPr>
          <w:p>
            <w:pPr>
              <w:jc w:val="right"/>
              <w:ind w:right="6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58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2,628</w:t>
            </w:r>
          </w:p>
        </w:tc>
        <w:tc>
          <w:tcPr>
            <w:tcW w:w="660" w:type="dxa"/>
            <w:vAlign w:val="bottom"/>
            <w:tcBorders>
              <w:bottom w:val="single" w:sz="8" w:color="CBECD5"/>
            </w:tcBorders>
            <w:gridSpan w:val="3"/>
            <w:shd w:val="clear" w:color="auto" w:fill="CBECD5"/>
          </w:tcPr>
          <w:p>
            <w:pPr>
              <w:jc w:val="right"/>
              <w:ind w:right="6"/>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 7,787 </w:t>
            </w:r>
            <w:r>
              <w:rPr>
                <w:rFonts w:ascii="Arial" w:cs="Arial" w:eastAsia="Arial" w:hAnsi="Arial"/>
                <w:sz w:val="23"/>
                <w:szCs w:val="23"/>
                <w:color w:val="auto"/>
                <w:vertAlign w:val="superscript"/>
              </w:rPr>
              <w:t>​​</w:t>
            </w:r>
          </w:p>
        </w:tc>
        <w:tc>
          <w:tcPr>
            <w:tcW w:w="580" w:type="dxa"/>
            <w:vAlign w:val="bottom"/>
            <w:tcBorders>
              <w:bottom w:val="single" w:sz="8" w:color="CBECD5"/>
              <w:right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15,574</w:t>
            </w:r>
          </w:p>
        </w:tc>
        <w:tc>
          <w:tcPr>
            <w:tcW w:w="80" w:type="dxa"/>
            <w:vAlign w:val="bottom"/>
            <w:tcBorders>
              <w:bottom w:val="single" w:sz="8" w:color="CBECD5"/>
            </w:tcBorders>
            <w:shd w:val="clear" w:color="auto" w:fill="CBECD5"/>
          </w:tcPr>
          <w:p>
            <w:pPr>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BECD5"/>
            </w:tcBorders>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780" w:type="dxa"/>
            <w:vAlign w:val="bottom"/>
            <w:tcBorders>
              <w:bottom w:val="single" w:sz="8" w:color="CBECD5"/>
            </w:tcBorders>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800" w:type="dxa"/>
            <w:vAlign w:val="bottom"/>
            <w:tcBorders>
              <w:bottom w:val="single" w:sz="8" w:color="CBECD5"/>
            </w:tcBorders>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70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396,092</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80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200" w:type="dxa"/>
            <w:vAlign w:val="bottom"/>
          </w:tcPr>
          <w:p>
            <w:pPr>
              <w:ind w:left="40"/>
              <w:spacing w:after="0" w:line="95"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8"/>
                <w:szCs w:val="8"/>
                <w:color w:val="auto"/>
              </w:rPr>
            </w:pPr>
          </w:p>
        </w:tc>
        <w:tc>
          <w:tcPr>
            <w:tcW w:w="1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152,320</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476,000</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952,000</w:t>
            </w:r>
          </w:p>
        </w:tc>
        <w:tc>
          <w:tcPr>
            <w:tcW w:w="180" w:type="dxa"/>
            <w:vAlign w:val="bottom"/>
            <w:gridSpan w:val="2"/>
          </w:tcPr>
          <w:p>
            <w:pPr>
              <w:jc w:val="right"/>
              <w:ind w:right="60"/>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42"/>
              <w:spacing w:after="0" w:line="95" w:lineRule="exact"/>
              <w:rPr>
                <w:sz w:val="20"/>
                <w:szCs w:val="20"/>
                <w:color w:val="auto"/>
              </w:rPr>
            </w:pPr>
            <w:r>
              <w:rPr>
                <w:rFonts w:ascii="Arial" w:cs="Arial" w:eastAsia="Arial" w:hAnsi="Arial"/>
                <w:sz w:val="10"/>
                <w:szCs w:val="10"/>
                <w:color w:val="auto"/>
              </w:rPr>
              <w:t>​​</w:t>
            </w:r>
          </w:p>
        </w:tc>
        <w:tc>
          <w:tcPr>
            <w:tcW w:w="300" w:type="dxa"/>
            <w:vAlign w:val="bottom"/>
            <w:vMerge w:val="restart"/>
          </w:tcPr>
          <w:p>
            <w:pPr>
              <w:ind w:left="1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6"/>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tcPr>
          <w:p>
            <w:pPr>
              <w:ind w:left="560"/>
              <w:spacing w:after="0"/>
              <w:rPr>
                <w:sz w:val="20"/>
                <w:szCs w:val="20"/>
                <w:color w:val="auto"/>
              </w:rPr>
            </w:pPr>
            <w:r>
              <w:rPr>
                <w:rFonts w:ascii="Arial" w:cs="Arial" w:eastAsia="Arial" w:hAnsi="Arial"/>
                <w:sz w:val="13"/>
                <w:szCs w:val="13"/>
                <w:color w:val="auto"/>
                <w:w w:val="91"/>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1800" w:type="dxa"/>
            <w:vAlign w:val="bottom"/>
          </w:tcPr>
          <w:p>
            <w:pPr>
              <w:spacing w:after="0" w:line="63" w:lineRule="exact"/>
              <w:rPr>
                <w:sz w:val="20"/>
                <w:szCs w:val="20"/>
                <w:color w:val="auto"/>
              </w:rPr>
            </w:pPr>
            <w:r>
              <w:rPr>
                <w:rFonts w:ascii="Arial" w:cs="Arial" w:eastAsia="Arial" w:hAnsi="Arial"/>
                <w:sz w:val="7"/>
                <w:szCs w:val="7"/>
                <w:color w:val="auto"/>
              </w:rPr>
              <w:t>Michael R. McCoy</w:t>
            </w:r>
          </w:p>
        </w:tc>
        <w:tc>
          <w:tcPr>
            <w:tcW w:w="640" w:type="dxa"/>
            <w:vAlign w:val="bottom"/>
            <w:gridSpan w:val="2"/>
          </w:tcPr>
          <w:p>
            <w:pPr>
              <w:ind w:left="100"/>
              <w:spacing w:after="0" w:line="63" w:lineRule="exact"/>
              <w:rPr>
                <w:sz w:val="20"/>
                <w:szCs w:val="20"/>
                <w:color w:val="auto"/>
              </w:rPr>
            </w:pPr>
            <w:r>
              <w:rPr>
                <w:rFonts w:ascii="Arial" w:cs="Arial" w:eastAsia="Arial" w:hAnsi="Arial"/>
                <w:sz w:val="7"/>
                <w:szCs w:val="7"/>
                <w:color w:val="auto"/>
              </w:rPr>
              <w:t>8/15/2024</w:t>
            </w: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80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gridSpan w:val="3"/>
          </w:tcPr>
          <w:p>
            <w:pPr>
              <w:ind w:left="4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8/15/2024 </w:t>
            </w:r>
            <w:r>
              <w:rPr>
                <w:rFonts w:ascii="Arial" w:cs="Arial" w:eastAsia="Arial" w:hAnsi="Arial"/>
                <w:sz w:val="21"/>
                <w:szCs w:val="21"/>
                <w:color w:val="auto"/>
                <w:vertAlign w:val="superscript"/>
              </w:rPr>
              <w:t>​​</w:t>
            </w:r>
          </w:p>
        </w:tc>
        <w:tc>
          <w:tcPr>
            <w:tcW w:w="76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4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60" w:type="dxa"/>
            <w:vAlign w:val="bottom"/>
            <w:gridSpan w:val="3"/>
          </w:tcPr>
          <w:p>
            <w:pPr>
              <w:jc w:val="right"/>
              <w:ind w:right="6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42"/>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6"/>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13,420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80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00" w:type="dxa"/>
            <w:vAlign w:val="bottom"/>
          </w:tcPr>
          <w:p>
            <w:pPr>
              <w:jc w:val="right"/>
              <w:spacing w:after="0"/>
              <w:rPr>
                <w:sz w:val="20"/>
                <w:szCs w:val="20"/>
                <w:color w:val="auto"/>
              </w:rPr>
            </w:pPr>
            <w:r>
              <w:rPr>
                <w:rFonts w:ascii="Arial" w:cs="Arial" w:eastAsia="Arial" w:hAnsi="Arial"/>
                <w:sz w:val="13"/>
                <w:szCs w:val="13"/>
                <w:color w:val="auto"/>
              </w:rPr>
              <w:t>698,982</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8"/>
        </w:trPr>
        <w:tc>
          <w:tcPr>
            <w:tcW w:w="40" w:type="dxa"/>
            <w:vAlign w:val="bottom"/>
            <w:tcBorders>
              <w:bottom w:val="single" w:sz="8" w:color="53C072"/>
            </w:tcBorders>
          </w:tcPr>
          <w:p>
            <w:pPr>
              <w:spacing w:after="0"/>
              <w:rPr>
                <w:sz w:val="23"/>
                <w:szCs w:val="23"/>
                <w:color w:val="auto"/>
              </w:rPr>
            </w:pPr>
          </w:p>
        </w:tc>
        <w:tc>
          <w:tcPr>
            <w:tcW w:w="1800" w:type="dxa"/>
            <w:vAlign w:val="bottom"/>
            <w:tcBorders>
              <w:bottom w:val="single" w:sz="8" w:color="53C072"/>
            </w:tcBorders>
          </w:tcPr>
          <w:p>
            <w:pP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53C072"/>
            </w:tcBorders>
            <w:gridSpan w:val="3"/>
          </w:tcPr>
          <w:p>
            <w:pPr>
              <w:ind w:left="40"/>
              <w:spacing w:after="0" w:line="26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8/15/2024 </w:t>
            </w:r>
            <w:r>
              <w:rPr>
                <w:rFonts w:ascii="Arial" w:cs="Arial" w:eastAsia="Arial" w:hAnsi="Arial"/>
                <w:sz w:val="25"/>
                <w:szCs w:val="25"/>
                <w:color w:val="auto"/>
                <w:vertAlign w:val="superscript"/>
              </w:rPr>
              <w:t>​​</w:t>
            </w:r>
          </w:p>
        </w:tc>
        <w:tc>
          <w:tcPr>
            <w:tcW w:w="760" w:type="dxa"/>
            <w:vAlign w:val="bottom"/>
            <w:tcBorders>
              <w:bottom w:val="single" w:sz="8" w:color="53C072"/>
            </w:tcBorders>
            <w:gridSpan w:val="2"/>
          </w:tcPr>
          <w:p>
            <w:pPr>
              <w:jc w:val="right"/>
              <w:spacing w:after="0" w:line="26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640" w:type="dxa"/>
            <w:vAlign w:val="bottom"/>
            <w:tcBorders>
              <w:bottom w:val="single" w:sz="8" w:color="53C072"/>
            </w:tcBorders>
            <w:gridSpan w:val="2"/>
          </w:tcPr>
          <w:p>
            <w:pPr>
              <w:jc w:val="right"/>
              <w:spacing w:after="0" w:line="26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760" w:type="dxa"/>
            <w:vAlign w:val="bottom"/>
            <w:tcBorders>
              <w:bottom w:val="single" w:sz="8" w:color="53C072"/>
            </w:tcBorders>
            <w:gridSpan w:val="3"/>
          </w:tcPr>
          <w:p>
            <w:pPr>
              <w:jc w:val="right"/>
              <w:ind w:right="60"/>
              <w:spacing w:after="0" w:line="26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580" w:type="dxa"/>
            <w:vAlign w:val="bottom"/>
            <w:tcBorders>
              <w:bottom w:val="single" w:sz="8" w:color="53C072"/>
            </w:tcBorders>
          </w:tcPr>
          <w:p>
            <w:pPr>
              <w:jc w:val="right"/>
              <w:spacing w:after="0"/>
              <w:rPr>
                <w:sz w:val="20"/>
                <w:szCs w:val="20"/>
                <w:color w:val="auto"/>
              </w:rPr>
            </w:pPr>
            <w:r>
              <w:rPr>
                <w:rFonts w:ascii="Arial" w:cs="Arial" w:eastAsia="Arial" w:hAnsi="Arial"/>
                <w:sz w:val="13"/>
                <w:szCs w:val="13"/>
                <w:color w:val="auto"/>
              </w:rPr>
              <w:t>4,530</w:t>
            </w:r>
          </w:p>
        </w:tc>
        <w:tc>
          <w:tcPr>
            <w:tcW w:w="660" w:type="dxa"/>
            <w:vAlign w:val="bottom"/>
            <w:tcBorders>
              <w:bottom w:val="single" w:sz="8" w:color="53C072"/>
            </w:tcBorders>
            <w:gridSpan w:val="3"/>
          </w:tcPr>
          <w:p>
            <w:pPr>
              <w:jc w:val="right"/>
              <w:ind w:right="6"/>
              <w:spacing w:after="0" w:line="26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13,421 </w:t>
            </w:r>
            <w:r>
              <w:rPr>
                <w:rFonts w:ascii="Arial" w:cs="Arial" w:eastAsia="Arial" w:hAnsi="Arial"/>
                <w:sz w:val="25"/>
                <w:szCs w:val="25"/>
                <w:color w:val="auto"/>
                <w:vertAlign w:val="superscript"/>
              </w:rPr>
              <w:t>​​</w:t>
            </w:r>
          </w:p>
        </w:tc>
        <w:tc>
          <w:tcPr>
            <w:tcW w:w="580" w:type="dxa"/>
            <w:vAlign w:val="bottom"/>
            <w:tcBorders>
              <w:bottom w:val="single" w:sz="8" w:color="53C072"/>
            </w:tcBorders>
          </w:tcPr>
          <w:p>
            <w:pPr>
              <w:jc w:val="right"/>
              <w:spacing w:after="0"/>
              <w:rPr>
                <w:sz w:val="20"/>
                <w:szCs w:val="20"/>
                <w:color w:val="auto"/>
              </w:rPr>
            </w:pPr>
            <w:r>
              <w:rPr>
                <w:rFonts w:ascii="Arial" w:cs="Arial" w:eastAsia="Arial" w:hAnsi="Arial"/>
                <w:sz w:val="13"/>
                <w:szCs w:val="13"/>
                <w:color w:val="auto"/>
              </w:rPr>
              <w:t>26,842</w:t>
            </w:r>
          </w:p>
        </w:tc>
        <w:tc>
          <w:tcPr>
            <w:tcW w:w="80" w:type="dxa"/>
            <w:vAlign w:val="bottom"/>
            <w:tcBorders>
              <w:bottom w:val="single" w:sz="8" w:color="53C072"/>
            </w:tcBorders>
          </w:tcPr>
          <w:p>
            <w:pPr>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53C072"/>
            </w:tcBorders>
            <w:gridSpan w:val="2"/>
          </w:tcPr>
          <w:p>
            <w:pPr>
              <w:jc w:val="right"/>
              <w:spacing w:after="0" w:line="26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780" w:type="dxa"/>
            <w:vAlign w:val="bottom"/>
            <w:tcBorders>
              <w:bottom w:val="single" w:sz="8" w:color="53C072"/>
            </w:tcBorders>
            <w:gridSpan w:val="2"/>
          </w:tcPr>
          <w:p>
            <w:pPr>
              <w:jc w:val="right"/>
              <w:spacing w:after="0" w:line="26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800" w:type="dxa"/>
            <w:vAlign w:val="bottom"/>
            <w:tcBorders>
              <w:bottom w:val="single" w:sz="8" w:color="53C072"/>
            </w:tcBorders>
            <w:gridSpan w:val="2"/>
          </w:tcPr>
          <w:p>
            <w:pPr>
              <w:jc w:val="right"/>
              <w:spacing w:after="0" w:line="26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700" w:type="dxa"/>
            <w:vAlign w:val="bottom"/>
            <w:tcBorders>
              <w:bottom w:val="single" w:sz="8" w:color="53C072"/>
            </w:tcBorders>
          </w:tcPr>
          <w:p>
            <w:pPr>
              <w:jc w:val="right"/>
              <w:spacing w:after="0"/>
              <w:rPr>
                <w:sz w:val="20"/>
                <w:szCs w:val="20"/>
                <w:color w:val="auto"/>
              </w:rPr>
            </w:pPr>
            <w:r>
              <w:rPr>
                <w:rFonts w:ascii="Arial" w:cs="Arial" w:eastAsia="Arial" w:hAnsi="Arial"/>
                <w:sz w:val="13"/>
                <w:szCs w:val="13"/>
                <w:color w:val="auto"/>
              </w:rPr>
              <w:t>682,670</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-2022475</wp:posOffset>
            </wp:positionV>
            <wp:extent cx="254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vesting schedules for the RSU and PSU grants made in fiscal 2025 are as follows:</w:t>
      </w:r>
    </w:p>
    <w:p>
      <w:pPr>
        <w:spacing w:after="0" w:line="203"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326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FFFFF"/>
              </w:rPr>
              <w:t>Type of Awards Made in Fiscal 2025</w:t>
            </w:r>
          </w:p>
        </w:tc>
        <w:tc>
          <w:tcPr>
            <w:tcW w:w="5500" w:type="dxa"/>
            <w:vAlign w:val="bottom"/>
            <w:shd w:val="clear" w:color="auto" w:fill="53C072"/>
          </w:tcPr>
          <w:p>
            <w:pPr>
              <w:ind w:left="540"/>
              <w:spacing w:after="0"/>
              <w:rPr>
                <w:sz w:val="20"/>
                <w:szCs w:val="20"/>
                <w:color w:val="auto"/>
              </w:rPr>
            </w:pPr>
            <w:r>
              <w:rPr>
                <w:rFonts w:ascii="Arial" w:cs="Arial" w:eastAsia="Arial" w:hAnsi="Arial"/>
                <w:sz w:val="14"/>
                <w:szCs w:val="14"/>
                <w:b w:val="1"/>
                <w:bCs w:val="1"/>
                <w:color w:val="FFFFFF"/>
              </w:rPr>
              <w:t>Vesting Schedule</w:t>
            </w:r>
          </w:p>
        </w:tc>
      </w:tr>
      <w:tr>
        <w:trPr>
          <w:trHeight w:val="224"/>
        </w:trPr>
        <w:tc>
          <w:tcPr>
            <w:tcW w:w="3260" w:type="dxa"/>
            <w:vAlign w:val="bottom"/>
          </w:tcPr>
          <w:p>
            <w:pPr>
              <w:ind w:left="120"/>
              <w:spacing w:after="0"/>
              <w:rPr>
                <w:sz w:val="20"/>
                <w:szCs w:val="20"/>
                <w:color w:val="auto"/>
              </w:rPr>
            </w:pPr>
            <w:r>
              <w:rPr>
                <w:rFonts w:ascii="Arial" w:cs="Arial" w:eastAsia="Arial" w:hAnsi="Arial"/>
                <w:sz w:val="18"/>
                <w:szCs w:val="18"/>
                <w:color w:val="auto"/>
              </w:rPr>
              <w:t>Restricted Stock Units (RSUs)</w:t>
            </w:r>
          </w:p>
        </w:tc>
        <w:tc>
          <w:tcPr>
            <w:tcW w:w="5500" w:type="dxa"/>
            <w:vAlign w:val="bottom"/>
          </w:tcPr>
          <w:p>
            <w:pPr>
              <w:ind w:left="540"/>
              <w:spacing w:after="0"/>
              <w:rPr>
                <w:sz w:val="20"/>
                <w:szCs w:val="20"/>
                <w:color w:val="auto"/>
              </w:rPr>
            </w:pPr>
            <w:r>
              <w:rPr>
                <w:rFonts w:ascii="Arial" w:cs="Arial" w:eastAsia="Arial" w:hAnsi="Arial"/>
                <w:sz w:val="18"/>
                <w:szCs w:val="18"/>
                <w:color w:val="auto"/>
              </w:rPr>
              <w:t>25% each on the first business day in January of 2025</w:t>
            </w:r>
          </w:p>
        </w:tc>
      </w:tr>
      <w:tr>
        <w:trPr>
          <w:trHeight w:val="244"/>
        </w:trPr>
        <w:tc>
          <w:tcPr>
            <w:tcW w:w="3260" w:type="dxa"/>
            <w:vAlign w:val="bottom"/>
          </w:tcPr>
          <w:p>
            <w:pPr>
              <w:spacing w:after="0"/>
              <w:rPr>
                <w:sz w:val="21"/>
                <w:szCs w:val="21"/>
                <w:color w:val="auto"/>
              </w:rPr>
            </w:pPr>
          </w:p>
        </w:tc>
        <w:tc>
          <w:tcPr>
            <w:tcW w:w="5500" w:type="dxa"/>
            <w:vAlign w:val="bottom"/>
          </w:tcPr>
          <w:p>
            <w:pPr>
              <w:ind w:left="540"/>
              <w:spacing w:after="0"/>
              <w:rPr>
                <w:sz w:val="20"/>
                <w:szCs w:val="20"/>
                <w:color w:val="auto"/>
              </w:rPr>
            </w:pPr>
            <w:r>
              <w:rPr>
                <w:rFonts w:ascii="Arial" w:cs="Arial" w:eastAsia="Arial" w:hAnsi="Arial"/>
                <w:sz w:val="18"/>
                <w:szCs w:val="18"/>
                <w:color w:val="auto"/>
              </w:rPr>
              <w:t>through 2028.</w:t>
            </w:r>
          </w:p>
        </w:tc>
      </w:tr>
      <w:tr>
        <w:trPr>
          <w:trHeight w:val="229"/>
        </w:trPr>
        <w:tc>
          <w:tcPr>
            <w:tcW w:w="3260" w:type="dxa"/>
            <w:vAlign w:val="bottom"/>
            <w:shd w:val="clear" w:color="auto" w:fill="CBECD5"/>
          </w:tcPr>
          <w:p>
            <w:pPr>
              <w:ind w:left="120"/>
              <w:spacing w:after="0"/>
              <w:rPr>
                <w:sz w:val="20"/>
                <w:szCs w:val="20"/>
                <w:color w:val="auto"/>
              </w:rPr>
            </w:pPr>
            <w:r>
              <w:rPr>
                <w:rFonts w:ascii="Arial" w:cs="Arial" w:eastAsia="Arial" w:hAnsi="Arial"/>
                <w:sz w:val="18"/>
                <w:szCs w:val="18"/>
                <w:color w:val="auto"/>
              </w:rPr>
              <w:t>Performance Share Units (PSUs)</w:t>
            </w:r>
          </w:p>
        </w:tc>
        <w:tc>
          <w:tcPr>
            <w:tcW w:w="5500" w:type="dxa"/>
            <w:vAlign w:val="bottom"/>
            <w:shd w:val="clear" w:color="auto" w:fill="CBECD5"/>
          </w:tcPr>
          <w:p>
            <w:pPr>
              <w:ind w:left="540"/>
              <w:spacing w:after="0"/>
              <w:rPr>
                <w:sz w:val="20"/>
                <w:szCs w:val="20"/>
                <w:color w:val="auto"/>
              </w:rPr>
            </w:pPr>
            <w:r>
              <w:rPr>
                <w:rFonts w:ascii="Arial" w:cs="Arial" w:eastAsia="Arial" w:hAnsi="Arial"/>
                <w:sz w:val="18"/>
                <w:szCs w:val="18"/>
                <w:color w:val="auto"/>
              </w:rPr>
              <w:t>Vests, to the extent earned under all three tranches if at all, at</w:t>
            </w:r>
          </w:p>
        </w:tc>
      </w:tr>
      <w:tr>
        <w:trPr>
          <w:trHeight w:val="216"/>
        </w:trPr>
        <w:tc>
          <w:tcPr>
            <w:tcW w:w="3260" w:type="dxa"/>
            <w:vAlign w:val="bottom"/>
            <w:shd w:val="clear" w:color="auto" w:fill="CBECD5"/>
          </w:tcPr>
          <w:p>
            <w:pPr>
              <w:spacing w:after="0"/>
              <w:rPr>
                <w:sz w:val="18"/>
                <w:szCs w:val="18"/>
                <w:color w:val="auto"/>
              </w:rPr>
            </w:pPr>
          </w:p>
        </w:tc>
        <w:tc>
          <w:tcPr>
            <w:tcW w:w="5500" w:type="dxa"/>
            <w:vAlign w:val="bottom"/>
            <w:shd w:val="clear" w:color="auto" w:fill="CBECD5"/>
          </w:tcPr>
          <w:p>
            <w:pPr>
              <w:ind w:left="540"/>
              <w:spacing w:after="0"/>
              <w:rPr>
                <w:sz w:val="20"/>
                <w:szCs w:val="20"/>
                <w:color w:val="auto"/>
              </w:rPr>
            </w:pPr>
            <w:r>
              <w:rPr>
                <w:rFonts w:ascii="Arial" w:cs="Arial" w:eastAsia="Arial" w:hAnsi="Arial"/>
                <w:sz w:val="18"/>
                <w:szCs w:val="18"/>
                <w:color w:val="auto"/>
              </w:rPr>
              <w:t>the end of fiscal 2027, July 3, 2027. The one-fiscal-year</w:t>
            </w:r>
          </w:p>
        </w:tc>
      </w:tr>
      <w:tr>
        <w:trPr>
          <w:trHeight w:val="216"/>
        </w:trPr>
        <w:tc>
          <w:tcPr>
            <w:tcW w:w="3260" w:type="dxa"/>
            <w:vAlign w:val="bottom"/>
            <w:shd w:val="clear" w:color="auto" w:fill="CBECD5"/>
          </w:tcPr>
          <w:p>
            <w:pPr>
              <w:spacing w:after="0"/>
              <w:rPr>
                <w:sz w:val="18"/>
                <w:szCs w:val="18"/>
                <w:color w:val="auto"/>
              </w:rPr>
            </w:pPr>
          </w:p>
        </w:tc>
        <w:tc>
          <w:tcPr>
            <w:tcW w:w="5500" w:type="dxa"/>
            <w:vAlign w:val="bottom"/>
            <w:shd w:val="clear" w:color="auto" w:fill="CBECD5"/>
          </w:tcPr>
          <w:p>
            <w:pPr>
              <w:ind w:left="540"/>
              <w:spacing w:after="0"/>
              <w:rPr>
                <w:sz w:val="20"/>
                <w:szCs w:val="20"/>
                <w:color w:val="auto"/>
              </w:rPr>
            </w:pPr>
            <w:r>
              <w:rPr>
                <w:rFonts w:ascii="Arial" w:cs="Arial" w:eastAsia="Arial" w:hAnsi="Arial"/>
                <w:sz w:val="18"/>
                <w:szCs w:val="18"/>
                <w:color w:val="auto"/>
              </w:rPr>
              <w:t>performance period for each tranche over the three-year</w:t>
            </w:r>
          </w:p>
        </w:tc>
      </w:tr>
      <w:tr>
        <w:trPr>
          <w:trHeight w:val="216"/>
        </w:trPr>
        <w:tc>
          <w:tcPr>
            <w:tcW w:w="3260" w:type="dxa"/>
            <w:vAlign w:val="bottom"/>
            <w:shd w:val="clear" w:color="auto" w:fill="CBECD5"/>
          </w:tcPr>
          <w:p>
            <w:pPr>
              <w:spacing w:after="0"/>
              <w:rPr>
                <w:sz w:val="18"/>
                <w:szCs w:val="18"/>
                <w:color w:val="auto"/>
              </w:rPr>
            </w:pPr>
          </w:p>
        </w:tc>
        <w:tc>
          <w:tcPr>
            <w:tcW w:w="5500" w:type="dxa"/>
            <w:vAlign w:val="bottom"/>
            <w:shd w:val="clear" w:color="auto" w:fill="CBECD5"/>
          </w:tcPr>
          <w:p>
            <w:pPr>
              <w:ind w:left="540"/>
              <w:spacing w:after="0"/>
              <w:rPr>
                <w:sz w:val="20"/>
                <w:szCs w:val="20"/>
                <w:color w:val="auto"/>
              </w:rPr>
            </w:pPr>
            <w:r>
              <w:rPr>
                <w:rFonts w:ascii="Arial" w:cs="Arial" w:eastAsia="Arial" w:hAnsi="Arial"/>
                <w:sz w:val="18"/>
                <w:szCs w:val="18"/>
                <w:color w:val="auto"/>
              </w:rPr>
              <w:t>period is measured on a discrete basis as further explained in</w:t>
            </w:r>
          </w:p>
        </w:tc>
      </w:tr>
      <w:tr>
        <w:trPr>
          <w:trHeight w:val="269"/>
        </w:trPr>
        <w:tc>
          <w:tcPr>
            <w:tcW w:w="3260" w:type="dxa"/>
            <w:vAlign w:val="bottom"/>
            <w:tcBorders>
              <w:bottom w:val="single" w:sz="8" w:color="CBECD5"/>
            </w:tcBorders>
            <w:shd w:val="clear" w:color="auto" w:fill="CBECD5"/>
          </w:tcPr>
          <w:p>
            <w:pPr>
              <w:spacing w:after="0"/>
              <w:rPr>
                <w:sz w:val="23"/>
                <w:szCs w:val="23"/>
                <w:color w:val="auto"/>
              </w:rPr>
            </w:pPr>
          </w:p>
        </w:tc>
        <w:tc>
          <w:tcPr>
            <w:tcW w:w="5500" w:type="dxa"/>
            <w:vAlign w:val="bottom"/>
            <w:tcBorders>
              <w:bottom w:val="single" w:sz="8" w:color="CBECD5"/>
            </w:tcBorders>
            <w:shd w:val="clear" w:color="auto" w:fill="CBECD5"/>
          </w:tcPr>
          <w:p>
            <w:pPr>
              <w:ind w:left="540"/>
              <w:spacing w:after="0"/>
              <w:rPr>
                <w:sz w:val="20"/>
                <w:szCs w:val="20"/>
                <w:color w:val="auto"/>
              </w:rPr>
            </w:pPr>
            <w:r>
              <w:rPr>
                <w:rFonts w:ascii="Arial" w:cs="Arial" w:eastAsia="Arial" w:hAnsi="Arial"/>
                <w:sz w:val="18"/>
                <w:szCs w:val="18"/>
                <w:color w:val="auto"/>
              </w:rPr>
              <w:t>the CD&amp;A.</w:t>
            </w:r>
          </w:p>
        </w:tc>
      </w:tr>
      <w:tr>
        <w:trPr>
          <w:trHeight w:val="27"/>
        </w:trPr>
        <w:tc>
          <w:tcPr>
            <w:tcW w:w="3260" w:type="dxa"/>
            <w:vAlign w:val="bottom"/>
            <w:shd w:val="clear" w:color="auto" w:fill="53C072"/>
          </w:tcPr>
          <w:p>
            <w:pPr>
              <w:spacing w:after="0"/>
              <w:rPr>
                <w:sz w:val="2"/>
                <w:szCs w:val="2"/>
                <w:color w:val="auto"/>
              </w:rPr>
            </w:pPr>
          </w:p>
        </w:tc>
        <w:tc>
          <w:tcPr>
            <w:tcW w:w="5500" w:type="dxa"/>
            <w:vAlign w:val="bottom"/>
            <w:shd w:val="clear" w:color="auto" w:fill="53C072"/>
          </w:tcPr>
          <w:p>
            <w:pPr>
              <w:spacing w:after="0"/>
              <w:rPr>
                <w:sz w:val="2"/>
                <w:szCs w:val="2"/>
                <w:color w:val="auto"/>
              </w:rPr>
            </w:pPr>
          </w:p>
        </w:tc>
      </w:tr>
    </w:tbl>
    <w:p>
      <w:pPr>
        <w:spacing w:after="0" w:line="89" w:lineRule="exact"/>
        <w:rPr>
          <w:sz w:val="20"/>
          <w:szCs w:val="20"/>
          <w:color w:val="auto"/>
        </w:rPr>
      </w:pPr>
    </w:p>
    <w:p>
      <w:pPr>
        <w:ind w:left="1000" w:right="540"/>
        <w:spacing w:after="0" w:line="268" w:lineRule="auto"/>
        <w:rPr>
          <w:sz w:val="20"/>
          <w:szCs w:val="20"/>
          <w:color w:val="auto"/>
        </w:rPr>
      </w:pPr>
      <w:r>
        <w:rPr>
          <w:rFonts w:ascii="Arial" w:cs="Arial" w:eastAsia="Arial" w:hAnsi="Arial"/>
          <w:sz w:val="18"/>
          <w:szCs w:val="18"/>
          <w:color w:val="auto"/>
        </w:rPr>
        <w:t>For additional description of the terms and awards of RSUs and PSUs made in fiscal 2025, see the description of long-term incentives in the CD&amp;A and Note 12 to the Company’s Consolidated Financial Statements included in its Form 10-K for the fiscal year ended June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60     </w:t>
      </w:r>
      <w:r>
        <w:rPr>
          <w:sz w:val="1"/>
          <w:szCs w:val="1"/>
          <w:color w:val="auto"/>
        </w:rPr>
        <w:drawing>
          <wp:inline distT="0" distB="0" distL="0" distR="0">
            <wp:extent cx="1242695" cy="24003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92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820" w:type="dxa"/>
            <w:vAlign w:val="bottom"/>
            <w:vMerge w:val="restart"/>
          </w:tcPr>
          <w:p>
            <w:pPr>
              <w:ind w:left="2580"/>
              <w:spacing w:after="0"/>
              <w:rPr>
                <w:sz w:val="20"/>
                <w:szCs w:val="20"/>
                <w:color w:val="auto"/>
              </w:rPr>
            </w:pPr>
            <w:r>
              <w:rPr>
                <w:rFonts w:ascii="Arial" w:cs="Arial" w:eastAsia="Arial" w:hAnsi="Arial"/>
                <w:sz w:val="14"/>
                <w:szCs w:val="14"/>
                <w:color w:val="auto"/>
                <w:w w:val="99"/>
              </w:rPr>
              <w:t>Compensation of Executive Officers</w:t>
            </w:r>
          </w:p>
        </w:tc>
        <w:tc>
          <w:tcPr>
            <w:tcW w:w="0" w:type="dxa"/>
            <w:vAlign w:val="bottom"/>
          </w:tcPr>
          <w:p>
            <w:pPr>
              <w:spacing w:after="0"/>
              <w:rPr>
                <w:sz w:val="1"/>
                <w:szCs w:val="1"/>
                <w:color w:val="auto"/>
              </w:rPr>
            </w:pPr>
          </w:p>
        </w:tc>
      </w:tr>
      <w:tr>
        <w:trPr>
          <w:trHeight w:val="89"/>
        </w:trPr>
        <w:tc>
          <w:tcPr>
            <w:tcW w:w="4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920" w:type="dxa"/>
            <w:vAlign w:val="bottom"/>
            <w:vMerge w:val="continue"/>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OUTSTANDING EQUITY AWARDS AT FISCAL YEAR-END</w:t>
      </w:r>
    </w:p>
    <w:p>
      <w:pPr>
        <w:spacing w:after="0" w:line="162" w:lineRule="exact"/>
        <w:rPr>
          <w:sz w:val="20"/>
          <w:szCs w:val="20"/>
          <w:color w:val="auto"/>
        </w:rPr>
      </w:pPr>
    </w:p>
    <w:p>
      <w:pPr>
        <w:ind w:left="1000" w:right="540"/>
        <w:spacing w:after="0" w:line="254" w:lineRule="auto"/>
        <w:rPr>
          <w:sz w:val="20"/>
          <w:szCs w:val="20"/>
          <w:color w:val="auto"/>
        </w:rPr>
      </w:pPr>
      <w:r>
        <w:rPr>
          <w:rFonts w:ascii="Arial" w:cs="Arial" w:eastAsia="Arial" w:hAnsi="Arial"/>
          <w:sz w:val="18"/>
          <w:szCs w:val="18"/>
          <w:color w:val="auto"/>
        </w:rPr>
        <w:t>The following table provides information on NEOs’ current stock options and stock awards as of June 28, 2025. It includes unexercised and unearned option grants, as well as unvested RSUs. The PSUs in the table below include the unvested PSUs earned under the first and second tranches of the fiscal 2024 grant and the first tranche of the fiscal 2025 grant, based on the achievement of performance goals for those fiscal years, and assumes achievement of performance goals at target for the remaining tranches. Each equity grant is shown separately for each NEO. The vesting schedule for each grant is shown following this table, based on the option grant date or stock award date. The market value of the stock awards is based on the closing market price of the Company’s Common Stock as of June 28, 2025, which was $52.66. For additional information about the option grants and stock awards, see the description of long-term incentives in the CD&amp;A and Note 12 to the Company’s Consolidated Financial Statements included in its Form 10-K for the fiscal year ended June 28, 2025.</w:t>
      </w:r>
    </w:p>
    <w:p>
      <w:pPr>
        <w:spacing w:after="0" w:line="201"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0" w:type="dxa"/>
            <w:vAlign w:val="bottom"/>
            <w:shd w:val="clear" w:color="auto" w:fill="53C072"/>
          </w:tcPr>
          <w:p>
            <w:pPr>
              <w:spacing w:after="0"/>
              <w:rPr>
                <w:sz w:val="16"/>
                <w:szCs w:val="16"/>
                <w:color w:val="auto"/>
              </w:rPr>
            </w:pPr>
          </w:p>
        </w:tc>
        <w:tc>
          <w:tcPr>
            <w:tcW w:w="280" w:type="dxa"/>
            <w:vAlign w:val="bottom"/>
            <w:shd w:val="clear" w:color="auto" w:fill="53C072"/>
          </w:tcPr>
          <w:p>
            <w:pPr>
              <w:spacing w:after="0"/>
              <w:rPr>
                <w:sz w:val="20"/>
                <w:szCs w:val="20"/>
                <w:color w:val="auto"/>
              </w:rPr>
            </w:pPr>
            <w:r>
              <w:rPr>
                <w:rFonts w:ascii="Arial" w:cs="Arial" w:eastAsia="Arial" w:hAnsi="Arial"/>
                <w:sz w:val="13"/>
                <w:szCs w:val="13"/>
                <w:b w:val="1"/>
                <w:bCs w:val="1"/>
                <w:color w:val="FEFEFE"/>
              </w:rPr>
              <w:t>​</w:t>
            </w:r>
          </w:p>
        </w:tc>
        <w:tc>
          <w:tcPr>
            <w:tcW w:w="8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40" w:type="dxa"/>
            <w:vAlign w:val="bottom"/>
            <w:shd w:val="clear" w:color="auto" w:fill="53C072"/>
          </w:tcPr>
          <w:p>
            <w:pPr>
              <w:spacing w:after="0"/>
              <w:rPr>
                <w:sz w:val="16"/>
                <w:szCs w:val="16"/>
                <w:color w:val="auto"/>
              </w:rPr>
            </w:pPr>
          </w:p>
        </w:tc>
        <w:tc>
          <w:tcPr>
            <w:tcW w:w="860" w:type="dxa"/>
            <w:vAlign w:val="bottom"/>
            <w:shd w:val="clear" w:color="auto" w:fill="53C072"/>
          </w:tcPr>
          <w:p>
            <w:pPr>
              <w:spacing w:after="0"/>
              <w:rPr>
                <w:sz w:val="16"/>
                <w:szCs w:val="16"/>
                <w:color w:val="auto"/>
              </w:rPr>
            </w:pPr>
          </w:p>
        </w:tc>
        <w:tc>
          <w:tcPr>
            <w:tcW w:w="180" w:type="dxa"/>
            <w:vAlign w:val="bottom"/>
            <w:shd w:val="clear" w:color="auto" w:fill="53C072"/>
          </w:tcPr>
          <w:p>
            <w:pPr>
              <w:ind w:left="40"/>
              <w:spacing w:after="0"/>
              <w:rPr>
                <w:sz w:val="20"/>
                <w:szCs w:val="20"/>
                <w:color w:val="auto"/>
              </w:rPr>
            </w:pPr>
            <w:r>
              <w:rPr>
                <w:rFonts w:ascii="Arial" w:cs="Arial" w:eastAsia="Arial" w:hAnsi="Arial"/>
                <w:sz w:val="13"/>
                <w:szCs w:val="13"/>
                <w:b w:val="1"/>
                <w:bCs w:val="1"/>
                <w:color w:val="FEFEFE"/>
              </w:rPr>
              <w:t>​​</w:t>
            </w:r>
          </w:p>
        </w:tc>
        <w:tc>
          <w:tcPr>
            <w:tcW w:w="56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78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88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1440" w:type="dxa"/>
            <w:vAlign w:val="bottom"/>
            <w:gridSpan w:val="4"/>
            <w:shd w:val="clear" w:color="auto" w:fill="53C072"/>
          </w:tcPr>
          <w:p>
            <w:pPr>
              <w:ind w:left="340"/>
              <w:spacing w:after="0"/>
              <w:rPr>
                <w:sz w:val="20"/>
                <w:szCs w:val="20"/>
                <w:color w:val="auto"/>
              </w:rPr>
            </w:pPr>
            <w:r>
              <w:rPr>
                <w:rFonts w:ascii="Arial" w:cs="Arial" w:eastAsia="Arial" w:hAnsi="Arial"/>
                <w:sz w:val="13"/>
                <w:szCs w:val="13"/>
                <w:b w:val="1"/>
                <w:bCs w:val="1"/>
                <w:color w:val="FEFEFE"/>
              </w:rPr>
              <w:t>Option Awards ​​</w:t>
            </w:r>
          </w:p>
        </w:tc>
        <w:tc>
          <w:tcPr>
            <w:tcW w:w="620" w:type="dxa"/>
            <w:vAlign w:val="bottom"/>
            <w:shd w:val="clear" w:color="auto" w:fill="53C072"/>
          </w:tcPr>
          <w:p>
            <w:pPr>
              <w:spacing w:after="0"/>
              <w:rPr>
                <w:sz w:val="16"/>
                <w:szCs w:val="16"/>
                <w:color w:val="auto"/>
              </w:rPr>
            </w:pPr>
          </w:p>
        </w:tc>
        <w:tc>
          <w:tcPr>
            <w:tcW w:w="700" w:type="dxa"/>
            <w:vAlign w:val="bottom"/>
            <w:shd w:val="clear" w:color="auto" w:fill="53C072"/>
          </w:tcPr>
          <w:p>
            <w:pPr>
              <w:spacing w:after="0"/>
              <w:rPr>
                <w:sz w:val="16"/>
                <w:szCs w:val="16"/>
                <w:color w:val="auto"/>
              </w:rPr>
            </w:pPr>
          </w:p>
        </w:tc>
        <w:tc>
          <w:tcPr>
            <w:tcW w:w="80" w:type="dxa"/>
            <w:vAlign w:val="bottom"/>
            <w:shd w:val="clear" w:color="auto" w:fill="53C072"/>
          </w:tcPr>
          <w:p>
            <w:pPr>
              <w:spacing w:after="0"/>
              <w:rPr>
                <w:sz w:val="16"/>
                <w:szCs w:val="16"/>
                <w:color w:val="auto"/>
              </w:rPr>
            </w:pPr>
          </w:p>
        </w:tc>
        <w:tc>
          <w:tcPr>
            <w:tcW w:w="640" w:type="dxa"/>
            <w:vAlign w:val="bottom"/>
            <w:shd w:val="clear" w:color="auto" w:fill="53C072"/>
          </w:tcPr>
          <w:p>
            <w:pPr>
              <w:spacing w:after="0"/>
              <w:rPr>
                <w:sz w:val="16"/>
                <w:szCs w:val="16"/>
                <w:color w:val="auto"/>
              </w:rPr>
            </w:pPr>
          </w:p>
        </w:tc>
        <w:tc>
          <w:tcPr>
            <w:tcW w:w="180" w:type="dxa"/>
            <w:vAlign w:val="bottom"/>
            <w:shd w:val="clear" w:color="auto" w:fill="53C072"/>
          </w:tcPr>
          <w:p>
            <w:pPr>
              <w:spacing w:after="0"/>
              <w:rPr>
                <w:sz w:val="16"/>
                <w:szCs w:val="16"/>
                <w:color w:val="auto"/>
              </w:rPr>
            </w:pPr>
          </w:p>
        </w:tc>
        <w:tc>
          <w:tcPr>
            <w:tcW w:w="840" w:type="dxa"/>
            <w:vAlign w:val="bottom"/>
            <w:shd w:val="clear" w:color="auto" w:fill="53C072"/>
          </w:tcPr>
          <w:p>
            <w:pPr>
              <w:spacing w:after="0"/>
              <w:rPr>
                <w:sz w:val="16"/>
                <w:szCs w:val="16"/>
                <w:color w:val="auto"/>
              </w:rPr>
            </w:pPr>
          </w:p>
        </w:tc>
        <w:tc>
          <w:tcPr>
            <w:tcW w:w="80" w:type="dxa"/>
            <w:vAlign w:val="bottom"/>
            <w:shd w:val="clear" w:color="auto" w:fill="53C072"/>
          </w:tcPr>
          <w:p>
            <w:pPr>
              <w:spacing w:after="0"/>
              <w:rPr>
                <w:sz w:val="16"/>
                <w:szCs w:val="16"/>
                <w:color w:val="auto"/>
              </w:rPr>
            </w:pPr>
          </w:p>
        </w:tc>
        <w:tc>
          <w:tcPr>
            <w:tcW w:w="96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Stock Awards</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47"/>
        </w:trPr>
        <w:tc>
          <w:tcPr>
            <w:tcW w:w="40" w:type="dxa"/>
            <w:vAlign w:val="bottom"/>
            <w:shd w:val="clear" w:color="auto" w:fill="53C072"/>
          </w:tcPr>
          <w:p>
            <w:pPr>
              <w:spacing w:after="0"/>
              <w:rPr>
                <w:sz w:val="12"/>
                <w:szCs w:val="12"/>
                <w:color w:val="auto"/>
              </w:rPr>
            </w:pPr>
          </w:p>
        </w:tc>
        <w:tc>
          <w:tcPr>
            <w:tcW w:w="28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40" w:type="dxa"/>
            <w:vAlign w:val="bottom"/>
            <w:shd w:val="clear" w:color="auto" w:fill="53C072"/>
          </w:tcPr>
          <w:p>
            <w:pPr>
              <w:spacing w:after="0"/>
              <w:rPr>
                <w:sz w:val="12"/>
                <w:szCs w:val="12"/>
                <w:color w:val="auto"/>
              </w:rPr>
            </w:pPr>
          </w:p>
        </w:tc>
        <w:tc>
          <w:tcPr>
            <w:tcW w:w="860" w:type="dxa"/>
            <w:vAlign w:val="bottom"/>
            <w:shd w:val="clear" w:color="auto" w:fill="53C072"/>
          </w:tcPr>
          <w:p>
            <w:pPr>
              <w:spacing w:after="0"/>
              <w:rPr>
                <w:sz w:val="12"/>
                <w:szCs w:val="12"/>
                <w:color w:val="auto"/>
              </w:rPr>
            </w:pPr>
          </w:p>
        </w:tc>
        <w:tc>
          <w:tcPr>
            <w:tcW w:w="180" w:type="dxa"/>
            <w:vAlign w:val="bottom"/>
            <w:shd w:val="clear" w:color="auto" w:fill="53C072"/>
          </w:tcPr>
          <w:p>
            <w:pPr>
              <w:spacing w:after="0"/>
              <w:rPr>
                <w:sz w:val="12"/>
                <w:szCs w:val="12"/>
                <w:color w:val="auto"/>
              </w:rPr>
            </w:pPr>
          </w:p>
        </w:tc>
        <w:tc>
          <w:tcPr>
            <w:tcW w:w="56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54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62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80" w:type="dxa"/>
            <w:vAlign w:val="bottom"/>
            <w:shd w:val="clear" w:color="auto" w:fill="53C072"/>
          </w:tcPr>
          <w:p>
            <w:pPr>
              <w:spacing w:after="0"/>
              <w:rPr>
                <w:sz w:val="12"/>
                <w:szCs w:val="12"/>
                <w:color w:val="auto"/>
              </w:rPr>
            </w:pPr>
          </w:p>
        </w:tc>
        <w:tc>
          <w:tcPr>
            <w:tcW w:w="840" w:type="dxa"/>
            <w:vAlign w:val="bottom"/>
            <w:shd w:val="clear" w:color="auto" w:fill="53C072"/>
          </w:tcPr>
          <w:p>
            <w:pPr>
              <w:jc w:val="right"/>
              <w:spacing w:after="0" w:line="148" w:lineRule="exact"/>
              <w:rPr>
                <w:sz w:val="20"/>
                <w:szCs w:val="20"/>
                <w:color w:val="auto"/>
              </w:rPr>
            </w:pPr>
            <w:r>
              <w:rPr>
                <w:rFonts w:ascii="Arial" w:cs="Arial" w:eastAsia="Arial" w:hAnsi="Arial"/>
                <w:sz w:val="13"/>
                <w:szCs w:val="13"/>
                <w:b w:val="1"/>
                <w:bCs w:val="1"/>
                <w:color w:val="FEFEFE"/>
              </w:rPr>
              <w:t>Equity</w:t>
            </w:r>
          </w:p>
        </w:tc>
        <w:tc>
          <w:tcPr>
            <w:tcW w:w="80" w:type="dxa"/>
            <w:vAlign w:val="bottom"/>
            <w:shd w:val="clear" w:color="auto" w:fill="53C072"/>
          </w:tcPr>
          <w:p>
            <w:pPr>
              <w:spacing w:after="0"/>
              <w:rPr>
                <w:sz w:val="12"/>
                <w:szCs w:val="12"/>
                <w:color w:val="auto"/>
              </w:rPr>
            </w:pPr>
          </w:p>
        </w:tc>
        <w:tc>
          <w:tcPr>
            <w:tcW w:w="960" w:type="dxa"/>
            <w:vAlign w:val="bottom"/>
            <w:shd w:val="clear" w:color="auto" w:fill="53C072"/>
          </w:tcPr>
          <w:p>
            <w:pPr>
              <w:jc w:val="right"/>
              <w:ind w:right="33"/>
              <w:spacing w:after="0" w:line="148" w:lineRule="exact"/>
              <w:rPr>
                <w:sz w:val="20"/>
                <w:szCs w:val="20"/>
                <w:color w:val="auto"/>
              </w:rPr>
            </w:pPr>
            <w:r>
              <w:rPr>
                <w:rFonts w:ascii="Arial" w:cs="Arial" w:eastAsia="Arial" w:hAnsi="Arial"/>
                <w:sz w:val="13"/>
                <w:szCs w:val="13"/>
                <w:b w:val="1"/>
                <w:bCs w:val="1"/>
                <w:color w:val="FEFEFE"/>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53C072"/>
          </w:tcPr>
          <w:p>
            <w:pPr>
              <w:spacing w:after="0"/>
              <w:rPr>
                <w:sz w:val="12"/>
                <w:szCs w:val="12"/>
                <w:color w:val="auto"/>
              </w:rPr>
            </w:pPr>
          </w:p>
        </w:tc>
        <w:tc>
          <w:tcPr>
            <w:tcW w:w="28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40" w:type="dxa"/>
            <w:vAlign w:val="bottom"/>
            <w:shd w:val="clear" w:color="auto" w:fill="53C072"/>
          </w:tcPr>
          <w:p>
            <w:pPr>
              <w:spacing w:after="0"/>
              <w:rPr>
                <w:sz w:val="12"/>
                <w:szCs w:val="12"/>
                <w:color w:val="auto"/>
              </w:rPr>
            </w:pPr>
          </w:p>
        </w:tc>
        <w:tc>
          <w:tcPr>
            <w:tcW w:w="860" w:type="dxa"/>
            <w:vAlign w:val="bottom"/>
            <w:shd w:val="clear" w:color="auto" w:fill="53C072"/>
          </w:tcPr>
          <w:p>
            <w:pPr>
              <w:spacing w:after="0"/>
              <w:rPr>
                <w:sz w:val="12"/>
                <w:szCs w:val="12"/>
                <w:color w:val="auto"/>
              </w:rPr>
            </w:pPr>
          </w:p>
        </w:tc>
        <w:tc>
          <w:tcPr>
            <w:tcW w:w="180" w:type="dxa"/>
            <w:vAlign w:val="bottom"/>
            <w:shd w:val="clear" w:color="auto" w:fill="53C072"/>
          </w:tcPr>
          <w:p>
            <w:pPr>
              <w:spacing w:after="0"/>
              <w:rPr>
                <w:sz w:val="12"/>
                <w:szCs w:val="12"/>
                <w:color w:val="auto"/>
              </w:rPr>
            </w:pPr>
          </w:p>
        </w:tc>
        <w:tc>
          <w:tcPr>
            <w:tcW w:w="56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54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62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80" w:type="dxa"/>
            <w:vAlign w:val="bottom"/>
            <w:shd w:val="clear" w:color="auto" w:fill="53C072"/>
          </w:tcPr>
          <w:p>
            <w:pPr>
              <w:spacing w:after="0"/>
              <w:rPr>
                <w:sz w:val="12"/>
                <w:szCs w:val="12"/>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Incentive</w:t>
            </w:r>
          </w:p>
        </w:tc>
        <w:tc>
          <w:tcPr>
            <w:tcW w:w="80" w:type="dxa"/>
            <w:vAlign w:val="bottom"/>
            <w:shd w:val="clear" w:color="auto" w:fill="53C072"/>
          </w:tcPr>
          <w:p>
            <w:pPr>
              <w:spacing w:after="0"/>
              <w:rPr>
                <w:sz w:val="12"/>
                <w:szCs w:val="12"/>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Incentive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53C072"/>
          </w:tcPr>
          <w:p>
            <w:pPr>
              <w:spacing w:after="0"/>
              <w:rPr>
                <w:sz w:val="14"/>
                <w:szCs w:val="14"/>
                <w:color w:val="auto"/>
              </w:rPr>
            </w:pPr>
          </w:p>
        </w:tc>
        <w:tc>
          <w:tcPr>
            <w:tcW w:w="280" w:type="dxa"/>
            <w:vAlign w:val="bottom"/>
            <w:shd w:val="clear" w:color="auto" w:fill="53C072"/>
          </w:tcPr>
          <w:p>
            <w:pPr>
              <w:spacing w:after="0"/>
              <w:rPr>
                <w:sz w:val="14"/>
                <w:szCs w:val="14"/>
                <w:color w:val="auto"/>
              </w:rPr>
            </w:pPr>
          </w:p>
        </w:tc>
        <w:tc>
          <w:tcPr>
            <w:tcW w:w="8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40" w:type="dxa"/>
            <w:vAlign w:val="bottom"/>
            <w:shd w:val="clear" w:color="auto" w:fill="53C072"/>
          </w:tcPr>
          <w:p>
            <w:pPr>
              <w:spacing w:after="0"/>
              <w:rPr>
                <w:sz w:val="14"/>
                <w:szCs w:val="14"/>
                <w:color w:val="auto"/>
              </w:rPr>
            </w:pPr>
          </w:p>
        </w:tc>
        <w:tc>
          <w:tcPr>
            <w:tcW w:w="860" w:type="dxa"/>
            <w:vAlign w:val="bottom"/>
            <w:shd w:val="clear" w:color="auto" w:fill="53C072"/>
          </w:tcPr>
          <w:p>
            <w:pPr>
              <w:spacing w:after="0"/>
              <w:rPr>
                <w:sz w:val="14"/>
                <w:szCs w:val="14"/>
                <w:color w:val="auto"/>
              </w:rPr>
            </w:pPr>
          </w:p>
        </w:tc>
        <w:tc>
          <w:tcPr>
            <w:tcW w:w="180" w:type="dxa"/>
            <w:vAlign w:val="bottom"/>
            <w:shd w:val="clear" w:color="auto" w:fill="53C072"/>
          </w:tcPr>
          <w:p>
            <w:pPr>
              <w:spacing w:after="0"/>
              <w:rPr>
                <w:sz w:val="14"/>
                <w:szCs w:val="14"/>
                <w:color w:val="auto"/>
              </w:rPr>
            </w:pPr>
          </w:p>
        </w:tc>
        <w:tc>
          <w:tcPr>
            <w:tcW w:w="56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78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88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54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640" w:type="dxa"/>
            <w:vAlign w:val="bottom"/>
            <w:shd w:val="clear" w:color="auto" w:fill="53C072"/>
          </w:tcPr>
          <w:p>
            <w:pPr>
              <w:spacing w:after="0"/>
              <w:rPr>
                <w:sz w:val="14"/>
                <w:szCs w:val="14"/>
                <w:color w:val="auto"/>
              </w:rPr>
            </w:pPr>
          </w:p>
        </w:tc>
        <w:tc>
          <w:tcPr>
            <w:tcW w:w="140" w:type="dxa"/>
            <w:vAlign w:val="bottom"/>
            <w:shd w:val="clear" w:color="auto" w:fill="53C072"/>
          </w:tcPr>
          <w:p>
            <w:pPr>
              <w:spacing w:after="0"/>
              <w:rPr>
                <w:sz w:val="14"/>
                <w:szCs w:val="14"/>
                <w:color w:val="auto"/>
              </w:rPr>
            </w:pPr>
          </w:p>
        </w:tc>
        <w:tc>
          <w:tcPr>
            <w:tcW w:w="62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80" w:type="dxa"/>
            <w:vAlign w:val="bottom"/>
            <w:shd w:val="clear" w:color="auto" w:fill="53C072"/>
          </w:tcPr>
          <w:p>
            <w:pPr>
              <w:spacing w:after="0"/>
              <w:rPr>
                <w:sz w:val="14"/>
                <w:szCs w:val="14"/>
                <w:color w:val="auto"/>
              </w:rPr>
            </w:pPr>
          </w:p>
        </w:tc>
        <w:tc>
          <w:tcPr>
            <w:tcW w:w="640" w:type="dxa"/>
            <w:vAlign w:val="bottom"/>
            <w:shd w:val="clear" w:color="auto" w:fill="53C072"/>
          </w:tcPr>
          <w:p>
            <w:pPr>
              <w:spacing w:after="0"/>
              <w:rPr>
                <w:sz w:val="14"/>
                <w:szCs w:val="14"/>
                <w:color w:val="auto"/>
              </w:rPr>
            </w:pPr>
          </w:p>
        </w:tc>
        <w:tc>
          <w:tcPr>
            <w:tcW w:w="180" w:type="dxa"/>
            <w:vAlign w:val="bottom"/>
            <w:shd w:val="clear" w:color="auto" w:fill="53C072"/>
          </w:tcPr>
          <w:p>
            <w:pPr>
              <w:spacing w:after="0"/>
              <w:rPr>
                <w:sz w:val="14"/>
                <w:szCs w:val="14"/>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Plan</w:t>
            </w:r>
          </w:p>
        </w:tc>
        <w:tc>
          <w:tcPr>
            <w:tcW w:w="80" w:type="dxa"/>
            <w:vAlign w:val="bottom"/>
            <w:shd w:val="clear" w:color="auto" w:fill="53C072"/>
          </w:tcPr>
          <w:p>
            <w:pPr>
              <w:spacing w:after="0"/>
              <w:rPr>
                <w:sz w:val="14"/>
                <w:szCs w:val="14"/>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Plan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53C072"/>
          </w:tcPr>
          <w:p>
            <w:pPr>
              <w:spacing w:after="0"/>
              <w:rPr>
                <w:sz w:val="12"/>
                <w:szCs w:val="12"/>
                <w:color w:val="auto"/>
              </w:rPr>
            </w:pPr>
          </w:p>
        </w:tc>
        <w:tc>
          <w:tcPr>
            <w:tcW w:w="28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40" w:type="dxa"/>
            <w:vAlign w:val="bottom"/>
            <w:shd w:val="clear" w:color="auto" w:fill="53C072"/>
          </w:tcPr>
          <w:p>
            <w:pPr>
              <w:spacing w:after="0"/>
              <w:rPr>
                <w:sz w:val="12"/>
                <w:szCs w:val="12"/>
                <w:color w:val="auto"/>
              </w:rPr>
            </w:pPr>
          </w:p>
        </w:tc>
        <w:tc>
          <w:tcPr>
            <w:tcW w:w="860" w:type="dxa"/>
            <w:vAlign w:val="bottom"/>
            <w:shd w:val="clear" w:color="auto" w:fill="53C072"/>
          </w:tcPr>
          <w:p>
            <w:pPr>
              <w:spacing w:after="0"/>
              <w:rPr>
                <w:sz w:val="12"/>
                <w:szCs w:val="12"/>
                <w:color w:val="auto"/>
              </w:rPr>
            </w:pPr>
          </w:p>
        </w:tc>
        <w:tc>
          <w:tcPr>
            <w:tcW w:w="180" w:type="dxa"/>
            <w:vAlign w:val="bottom"/>
            <w:shd w:val="clear" w:color="auto" w:fill="53C072"/>
          </w:tcPr>
          <w:p>
            <w:pPr>
              <w:spacing w:after="0"/>
              <w:rPr>
                <w:sz w:val="12"/>
                <w:szCs w:val="12"/>
                <w:color w:val="auto"/>
              </w:rPr>
            </w:pPr>
          </w:p>
        </w:tc>
        <w:tc>
          <w:tcPr>
            <w:tcW w:w="56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54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62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80" w:type="dxa"/>
            <w:vAlign w:val="bottom"/>
            <w:shd w:val="clear" w:color="auto" w:fill="53C072"/>
          </w:tcPr>
          <w:p>
            <w:pPr>
              <w:spacing w:after="0"/>
              <w:rPr>
                <w:sz w:val="12"/>
                <w:szCs w:val="12"/>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Awards:</w:t>
            </w:r>
          </w:p>
        </w:tc>
        <w:tc>
          <w:tcPr>
            <w:tcW w:w="80" w:type="dxa"/>
            <w:vAlign w:val="bottom"/>
            <w:shd w:val="clear" w:color="auto" w:fill="53C072"/>
          </w:tcPr>
          <w:p>
            <w:pPr>
              <w:spacing w:after="0"/>
              <w:rPr>
                <w:sz w:val="12"/>
                <w:szCs w:val="12"/>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53C072"/>
          </w:tcPr>
          <w:p>
            <w:pPr>
              <w:spacing w:after="0"/>
              <w:rPr>
                <w:sz w:val="12"/>
                <w:szCs w:val="12"/>
                <w:color w:val="auto"/>
              </w:rPr>
            </w:pPr>
          </w:p>
        </w:tc>
        <w:tc>
          <w:tcPr>
            <w:tcW w:w="28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40" w:type="dxa"/>
            <w:vAlign w:val="bottom"/>
            <w:shd w:val="clear" w:color="auto" w:fill="53C072"/>
          </w:tcPr>
          <w:p>
            <w:pPr>
              <w:spacing w:after="0"/>
              <w:rPr>
                <w:sz w:val="12"/>
                <w:szCs w:val="12"/>
                <w:color w:val="auto"/>
              </w:rPr>
            </w:pPr>
          </w:p>
        </w:tc>
        <w:tc>
          <w:tcPr>
            <w:tcW w:w="860" w:type="dxa"/>
            <w:vAlign w:val="bottom"/>
            <w:shd w:val="clear" w:color="auto" w:fill="53C072"/>
          </w:tcPr>
          <w:p>
            <w:pPr>
              <w:spacing w:after="0"/>
              <w:rPr>
                <w:sz w:val="12"/>
                <w:szCs w:val="12"/>
                <w:color w:val="auto"/>
              </w:rPr>
            </w:pPr>
          </w:p>
        </w:tc>
        <w:tc>
          <w:tcPr>
            <w:tcW w:w="180" w:type="dxa"/>
            <w:vAlign w:val="bottom"/>
            <w:shd w:val="clear" w:color="auto" w:fill="53C072"/>
          </w:tcPr>
          <w:p>
            <w:pPr>
              <w:spacing w:after="0"/>
              <w:rPr>
                <w:sz w:val="12"/>
                <w:szCs w:val="12"/>
                <w:color w:val="auto"/>
              </w:rPr>
            </w:pPr>
          </w:p>
        </w:tc>
        <w:tc>
          <w:tcPr>
            <w:tcW w:w="56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54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62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80" w:type="dxa"/>
            <w:vAlign w:val="bottom"/>
            <w:shd w:val="clear" w:color="auto" w:fill="53C072"/>
          </w:tcPr>
          <w:p>
            <w:pPr>
              <w:spacing w:after="0"/>
              <w:rPr>
                <w:sz w:val="12"/>
                <w:szCs w:val="12"/>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Number of</w:t>
            </w:r>
          </w:p>
        </w:tc>
        <w:tc>
          <w:tcPr>
            <w:tcW w:w="80" w:type="dxa"/>
            <w:vAlign w:val="bottom"/>
            <w:shd w:val="clear" w:color="auto" w:fill="53C072"/>
          </w:tcPr>
          <w:p>
            <w:pPr>
              <w:spacing w:after="0"/>
              <w:rPr>
                <w:sz w:val="12"/>
                <w:szCs w:val="12"/>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Market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0" w:type="dxa"/>
            <w:vAlign w:val="bottom"/>
            <w:shd w:val="clear" w:color="auto" w:fill="53C072"/>
          </w:tcPr>
          <w:p>
            <w:pPr>
              <w:spacing w:after="0"/>
              <w:rPr>
                <w:sz w:val="13"/>
                <w:szCs w:val="13"/>
                <w:color w:val="auto"/>
              </w:rPr>
            </w:pPr>
          </w:p>
        </w:tc>
        <w:tc>
          <w:tcPr>
            <w:tcW w:w="280" w:type="dxa"/>
            <w:vAlign w:val="bottom"/>
            <w:shd w:val="clear" w:color="auto" w:fill="53C072"/>
          </w:tcPr>
          <w:p>
            <w:pPr>
              <w:spacing w:after="0"/>
              <w:rPr>
                <w:sz w:val="13"/>
                <w:szCs w:val="13"/>
                <w:color w:val="auto"/>
              </w:rPr>
            </w:pPr>
          </w:p>
        </w:tc>
        <w:tc>
          <w:tcPr>
            <w:tcW w:w="8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860" w:type="dxa"/>
            <w:vAlign w:val="bottom"/>
            <w:shd w:val="clear" w:color="auto" w:fill="53C072"/>
          </w:tcPr>
          <w:p>
            <w:pPr>
              <w:spacing w:after="0"/>
              <w:rPr>
                <w:sz w:val="13"/>
                <w:szCs w:val="13"/>
                <w:color w:val="auto"/>
              </w:rPr>
            </w:pPr>
          </w:p>
        </w:tc>
        <w:tc>
          <w:tcPr>
            <w:tcW w:w="180" w:type="dxa"/>
            <w:vAlign w:val="bottom"/>
            <w:shd w:val="clear" w:color="auto" w:fill="53C072"/>
          </w:tcPr>
          <w:p>
            <w:pPr>
              <w:spacing w:after="0"/>
              <w:rPr>
                <w:sz w:val="13"/>
                <w:szCs w:val="13"/>
                <w:color w:val="auto"/>
              </w:rPr>
            </w:pPr>
          </w:p>
        </w:tc>
        <w:tc>
          <w:tcPr>
            <w:tcW w:w="56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88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54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640" w:type="dxa"/>
            <w:vAlign w:val="bottom"/>
            <w:shd w:val="clear" w:color="auto" w:fill="53C072"/>
          </w:tcPr>
          <w:p>
            <w:pPr>
              <w:spacing w:after="0"/>
              <w:rPr>
                <w:sz w:val="13"/>
                <w:szCs w:val="13"/>
                <w:color w:val="auto"/>
              </w:rPr>
            </w:pPr>
          </w:p>
        </w:tc>
        <w:tc>
          <w:tcPr>
            <w:tcW w:w="140" w:type="dxa"/>
            <w:vAlign w:val="bottom"/>
            <w:shd w:val="clear" w:color="auto" w:fill="53C072"/>
          </w:tcPr>
          <w:p>
            <w:pPr>
              <w:spacing w:after="0"/>
              <w:rPr>
                <w:sz w:val="13"/>
                <w:szCs w:val="13"/>
                <w:color w:val="auto"/>
              </w:rPr>
            </w:pPr>
          </w:p>
        </w:tc>
        <w:tc>
          <w:tcPr>
            <w:tcW w:w="1320" w:type="dxa"/>
            <w:vAlign w:val="bottom"/>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Number of</w:t>
            </w:r>
          </w:p>
        </w:tc>
        <w:tc>
          <w:tcPr>
            <w:tcW w:w="80" w:type="dxa"/>
            <w:vAlign w:val="bottom"/>
            <w:shd w:val="clear" w:color="auto" w:fill="53C072"/>
          </w:tcPr>
          <w:p>
            <w:pPr>
              <w:spacing w:after="0"/>
              <w:rPr>
                <w:sz w:val="13"/>
                <w:szCs w:val="13"/>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Market</w:t>
            </w:r>
          </w:p>
        </w:tc>
        <w:tc>
          <w:tcPr>
            <w:tcW w:w="180" w:type="dxa"/>
            <w:vAlign w:val="bottom"/>
            <w:shd w:val="clear" w:color="auto" w:fill="53C072"/>
          </w:tcPr>
          <w:p>
            <w:pPr>
              <w:spacing w:after="0"/>
              <w:rPr>
                <w:sz w:val="13"/>
                <w:szCs w:val="13"/>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Unearned</w:t>
            </w:r>
          </w:p>
        </w:tc>
        <w:tc>
          <w:tcPr>
            <w:tcW w:w="80" w:type="dxa"/>
            <w:vAlign w:val="bottom"/>
            <w:shd w:val="clear" w:color="auto" w:fill="53C072"/>
          </w:tcPr>
          <w:p>
            <w:pPr>
              <w:spacing w:after="0"/>
              <w:rPr>
                <w:sz w:val="13"/>
                <w:szCs w:val="13"/>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Payout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0" w:type="dxa"/>
            <w:vAlign w:val="bottom"/>
            <w:shd w:val="clear" w:color="auto" w:fill="53C072"/>
          </w:tcPr>
          <w:p>
            <w:pPr>
              <w:spacing w:after="0"/>
              <w:rPr>
                <w:sz w:val="13"/>
                <w:szCs w:val="13"/>
                <w:color w:val="auto"/>
              </w:rPr>
            </w:pPr>
          </w:p>
        </w:tc>
        <w:tc>
          <w:tcPr>
            <w:tcW w:w="280" w:type="dxa"/>
            <w:vAlign w:val="bottom"/>
            <w:shd w:val="clear" w:color="auto" w:fill="53C072"/>
          </w:tcPr>
          <w:p>
            <w:pPr>
              <w:spacing w:after="0"/>
              <w:rPr>
                <w:sz w:val="13"/>
                <w:szCs w:val="13"/>
                <w:color w:val="auto"/>
              </w:rPr>
            </w:pPr>
          </w:p>
        </w:tc>
        <w:tc>
          <w:tcPr>
            <w:tcW w:w="8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860" w:type="dxa"/>
            <w:vAlign w:val="bottom"/>
            <w:shd w:val="clear" w:color="auto" w:fill="53C072"/>
          </w:tcPr>
          <w:p>
            <w:pPr>
              <w:spacing w:after="0"/>
              <w:rPr>
                <w:sz w:val="13"/>
                <w:szCs w:val="13"/>
                <w:color w:val="auto"/>
              </w:rPr>
            </w:pPr>
          </w:p>
        </w:tc>
        <w:tc>
          <w:tcPr>
            <w:tcW w:w="180" w:type="dxa"/>
            <w:vAlign w:val="bottom"/>
            <w:shd w:val="clear" w:color="auto" w:fill="53C072"/>
          </w:tcPr>
          <w:p>
            <w:pPr>
              <w:spacing w:after="0"/>
              <w:rPr>
                <w:sz w:val="13"/>
                <w:szCs w:val="13"/>
                <w:color w:val="auto"/>
              </w:rPr>
            </w:pPr>
          </w:p>
        </w:tc>
        <w:tc>
          <w:tcPr>
            <w:tcW w:w="56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78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Number of</w:t>
            </w:r>
          </w:p>
        </w:tc>
        <w:tc>
          <w:tcPr>
            <w:tcW w:w="120" w:type="dxa"/>
            <w:vAlign w:val="bottom"/>
            <w:shd w:val="clear" w:color="auto" w:fill="53C072"/>
          </w:tcPr>
          <w:p>
            <w:pPr>
              <w:spacing w:after="0"/>
              <w:rPr>
                <w:sz w:val="13"/>
                <w:szCs w:val="13"/>
                <w:color w:val="auto"/>
              </w:rPr>
            </w:pPr>
          </w:p>
        </w:tc>
        <w:tc>
          <w:tcPr>
            <w:tcW w:w="88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Number of</w:t>
            </w:r>
          </w:p>
        </w:tc>
        <w:tc>
          <w:tcPr>
            <w:tcW w:w="120" w:type="dxa"/>
            <w:vAlign w:val="bottom"/>
            <w:shd w:val="clear" w:color="auto" w:fill="53C072"/>
          </w:tcPr>
          <w:p>
            <w:pPr>
              <w:spacing w:after="0"/>
              <w:rPr>
                <w:sz w:val="13"/>
                <w:szCs w:val="13"/>
                <w:color w:val="auto"/>
              </w:rPr>
            </w:pPr>
          </w:p>
        </w:tc>
        <w:tc>
          <w:tcPr>
            <w:tcW w:w="54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640" w:type="dxa"/>
            <w:vAlign w:val="bottom"/>
            <w:shd w:val="clear" w:color="auto" w:fill="53C072"/>
          </w:tcPr>
          <w:p>
            <w:pPr>
              <w:spacing w:after="0"/>
              <w:rPr>
                <w:sz w:val="13"/>
                <w:szCs w:val="13"/>
                <w:color w:val="auto"/>
              </w:rPr>
            </w:pPr>
          </w:p>
        </w:tc>
        <w:tc>
          <w:tcPr>
            <w:tcW w:w="140" w:type="dxa"/>
            <w:vAlign w:val="bottom"/>
            <w:shd w:val="clear" w:color="auto" w:fill="53C072"/>
          </w:tcPr>
          <w:p>
            <w:pPr>
              <w:spacing w:after="0"/>
              <w:rPr>
                <w:sz w:val="13"/>
                <w:szCs w:val="13"/>
                <w:color w:val="auto"/>
              </w:rPr>
            </w:pPr>
          </w:p>
        </w:tc>
        <w:tc>
          <w:tcPr>
            <w:tcW w:w="620" w:type="dxa"/>
            <w:vAlign w:val="bottom"/>
            <w:shd w:val="clear" w:color="auto" w:fill="53C072"/>
          </w:tcPr>
          <w:p>
            <w:pPr>
              <w:spacing w:after="0"/>
              <w:rPr>
                <w:sz w:val="13"/>
                <w:szCs w:val="13"/>
                <w:color w:val="auto"/>
              </w:rPr>
            </w:pPr>
          </w:p>
        </w:tc>
        <w:tc>
          <w:tcPr>
            <w:tcW w:w="7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Shares or</w:t>
            </w:r>
          </w:p>
        </w:tc>
        <w:tc>
          <w:tcPr>
            <w:tcW w:w="80" w:type="dxa"/>
            <w:vAlign w:val="bottom"/>
            <w:shd w:val="clear" w:color="auto" w:fill="53C072"/>
          </w:tcPr>
          <w:p>
            <w:pPr>
              <w:spacing w:after="0"/>
              <w:rPr>
                <w:sz w:val="13"/>
                <w:szCs w:val="13"/>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Value of</w:t>
            </w:r>
          </w:p>
        </w:tc>
        <w:tc>
          <w:tcPr>
            <w:tcW w:w="180" w:type="dxa"/>
            <w:vAlign w:val="bottom"/>
            <w:shd w:val="clear" w:color="auto" w:fill="53C072"/>
          </w:tcPr>
          <w:p>
            <w:pPr>
              <w:spacing w:after="0"/>
              <w:rPr>
                <w:sz w:val="13"/>
                <w:szCs w:val="13"/>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Shares,</w:t>
            </w:r>
          </w:p>
        </w:tc>
        <w:tc>
          <w:tcPr>
            <w:tcW w:w="80" w:type="dxa"/>
            <w:vAlign w:val="bottom"/>
            <w:shd w:val="clear" w:color="auto" w:fill="53C072"/>
          </w:tcPr>
          <w:p>
            <w:pPr>
              <w:spacing w:after="0"/>
              <w:rPr>
                <w:sz w:val="13"/>
                <w:szCs w:val="13"/>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Value of</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53C072"/>
          </w:tcPr>
          <w:p>
            <w:pPr>
              <w:spacing w:after="0"/>
              <w:rPr>
                <w:sz w:val="12"/>
                <w:szCs w:val="12"/>
                <w:color w:val="auto"/>
              </w:rPr>
            </w:pPr>
          </w:p>
        </w:tc>
        <w:tc>
          <w:tcPr>
            <w:tcW w:w="28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40" w:type="dxa"/>
            <w:vAlign w:val="bottom"/>
            <w:shd w:val="clear" w:color="auto" w:fill="53C072"/>
          </w:tcPr>
          <w:p>
            <w:pPr>
              <w:spacing w:after="0"/>
              <w:rPr>
                <w:sz w:val="12"/>
                <w:szCs w:val="12"/>
                <w:color w:val="auto"/>
              </w:rPr>
            </w:pPr>
          </w:p>
        </w:tc>
        <w:tc>
          <w:tcPr>
            <w:tcW w:w="860" w:type="dxa"/>
            <w:vAlign w:val="bottom"/>
            <w:shd w:val="clear" w:color="auto" w:fill="53C072"/>
          </w:tcPr>
          <w:p>
            <w:pPr>
              <w:spacing w:after="0"/>
              <w:rPr>
                <w:sz w:val="12"/>
                <w:szCs w:val="12"/>
                <w:color w:val="auto"/>
              </w:rPr>
            </w:pPr>
          </w:p>
        </w:tc>
        <w:tc>
          <w:tcPr>
            <w:tcW w:w="180" w:type="dxa"/>
            <w:vAlign w:val="bottom"/>
            <w:shd w:val="clear" w:color="auto" w:fill="53C072"/>
          </w:tcPr>
          <w:p>
            <w:pPr>
              <w:spacing w:after="0"/>
              <w:rPr>
                <w:sz w:val="12"/>
                <w:szCs w:val="12"/>
                <w:color w:val="auto"/>
              </w:rPr>
            </w:pPr>
          </w:p>
        </w:tc>
        <w:tc>
          <w:tcPr>
            <w:tcW w:w="56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780" w:type="dxa"/>
            <w:vAlign w:val="bottom"/>
            <w:vMerge w:val="continue"/>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80" w:type="dxa"/>
            <w:vAlign w:val="bottom"/>
            <w:vMerge w:val="continue"/>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54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620" w:type="dxa"/>
            <w:vAlign w:val="bottom"/>
            <w:shd w:val="clear" w:color="auto" w:fill="53C072"/>
          </w:tcPr>
          <w:p>
            <w:pPr>
              <w:spacing w:after="0"/>
              <w:rPr>
                <w:sz w:val="12"/>
                <w:szCs w:val="12"/>
                <w:color w:val="auto"/>
              </w:rPr>
            </w:pPr>
          </w:p>
        </w:tc>
        <w:tc>
          <w:tcPr>
            <w:tcW w:w="7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Units of</w:t>
            </w:r>
          </w:p>
        </w:tc>
        <w:tc>
          <w:tcPr>
            <w:tcW w:w="720" w:type="dxa"/>
            <w:vAlign w:val="bottom"/>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Shares or</w:t>
            </w:r>
          </w:p>
        </w:tc>
        <w:tc>
          <w:tcPr>
            <w:tcW w:w="180" w:type="dxa"/>
            <w:vAlign w:val="bottom"/>
            <w:shd w:val="clear" w:color="auto" w:fill="53C072"/>
          </w:tcPr>
          <w:p>
            <w:pPr>
              <w:spacing w:after="0"/>
              <w:rPr>
                <w:sz w:val="12"/>
                <w:szCs w:val="12"/>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Units or</w:t>
            </w:r>
          </w:p>
        </w:tc>
        <w:tc>
          <w:tcPr>
            <w:tcW w:w="80" w:type="dxa"/>
            <w:vAlign w:val="bottom"/>
            <w:shd w:val="clear" w:color="auto" w:fill="53C072"/>
          </w:tcPr>
          <w:p>
            <w:pPr>
              <w:spacing w:after="0"/>
              <w:rPr>
                <w:sz w:val="12"/>
                <w:szCs w:val="12"/>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Unearned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0" w:type="dxa"/>
            <w:vAlign w:val="bottom"/>
            <w:shd w:val="clear" w:color="auto" w:fill="53C072"/>
          </w:tcPr>
          <w:p>
            <w:pPr>
              <w:spacing w:after="0"/>
              <w:rPr>
                <w:sz w:val="13"/>
                <w:szCs w:val="13"/>
                <w:color w:val="auto"/>
              </w:rPr>
            </w:pPr>
          </w:p>
        </w:tc>
        <w:tc>
          <w:tcPr>
            <w:tcW w:w="280" w:type="dxa"/>
            <w:vAlign w:val="bottom"/>
            <w:shd w:val="clear" w:color="auto" w:fill="53C072"/>
          </w:tcPr>
          <w:p>
            <w:pPr>
              <w:spacing w:after="0"/>
              <w:rPr>
                <w:sz w:val="13"/>
                <w:szCs w:val="13"/>
                <w:color w:val="auto"/>
              </w:rPr>
            </w:pPr>
          </w:p>
        </w:tc>
        <w:tc>
          <w:tcPr>
            <w:tcW w:w="8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860" w:type="dxa"/>
            <w:vAlign w:val="bottom"/>
            <w:shd w:val="clear" w:color="auto" w:fill="53C072"/>
          </w:tcPr>
          <w:p>
            <w:pPr>
              <w:spacing w:after="0"/>
              <w:rPr>
                <w:sz w:val="13"/>
                <w:szCs w:val="13"/>
                <w:color w:val="auto"/>
              </w:rPr>
            </w:pPr>
          </w:p>
        </w:tc>
        <w:tc>
          <w:tcPr>
            <w:tcW w:w="180" w:type="dxa"/>
            <w:vAlign w:val="bottom"/>
            <w:shd w:val="clear" w:color="auto" w:fill="53C072"/>
          </w:tcPr>
          <w:p>
            <w:pPr>
              <w:spacing w:after="0"/>
              <w:rPr>
                <w:sz w:val="13"/>
                <w:szCs w:val="13"/>
                <w:color w:val="auto"/>
              </w:rPr>
            </w:pPr>
          </w:p>
        </w:tc>
        <w:tc>
          <w:tcPr>
            <w:tcW w:w="56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7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Securities</w:t>
            </w:r>
          </w:p>
        </w:tc>
        <w:tc>
          <w:tcPr>
            <w:tcW w:w="120" w:type="dxa"/>
            <w:vAlign w:val="bottom"/>
            <w:shd w:val="clear" w:color="auto" w:fill="53C072"/>
          </w:tcPr>
          <w:p>
            <w:pPr>
              <w:spacing w:after="0"/>
              <w:rPr>
                <w:sz w:val="13"/>
                <w:szCs w:val="13"/>
                <w:color w:val="auto"/>
              </w:rPr>
            </w:pPr>
          </w:p>
        </w:tc>
        <w:tc>
          <w:tcPr>
            <w:tcW w:w="8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Securities</w:t>
            </w:r>
          </w:p>
        </w:tc>
        <w:tc>
          <w:tcPr>
            <w:tcW w:w="120" w:type="dxa"/>
            <w:vAlign w:val="bottom"/>
            <w:shd w:val="clear" w:color="auto" w:fill="53C072"/>
          </w:tcPr>
          <w:p>
            <w:pPr>
              <w:spacing w:after="0"/>
              <w:rPr>
                <w:sz w:val="13"/>
                <w:szCs w:val="13"/>
                <w:color w:val="auto"/>
              </w:rPr>
            </w:pPr>
          </w:p>
        </w:tc>
        <w:tc>
          <w:tcPr>
            <w:tcW w:w="54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640" w:type="dxa"/>
            <w:vAlign w:val="bottom"/>
            <w:shd w:val="clear" w:color="auto" w:fill="53C072"/>
          </w:tcPr>
          <w:p>
            <w:pPr>
              <w:spacing w:after="0"/>
              <w:rPr>
                <w:sz w:val="13"/>
                <w:szCs w:val="13"/>
                <w:color w:val="auto"/>
              </w:rPr>
            </w:pPr>
          </w:p>
        </w:tc>
        <w:tc>
          <w:tcPr>
            <w:tcW w:w="140" w:type="dxa"/>
            <w:vAlign w:val="bottom"/>
            <w:shd w:val="clear" w:color="auto" w:fill="53C072"/>
          </w:tcPr>
          <w:p>
            <w:pPr>
              <w:spacing w:after="0"/>
              <w:rPr>
                <w:sz w:val="13"/>
                <w:szCs w:val="13"/>
                <w:color w:val="auto"/>
              </w:rPr>
            </w:pPr>
          </w:p>
        </w:tc>
        <w:tc>
          <w:tcPr>
            <w:tcW w:w="620" w:type="dxa"/>
            <w:vAlign w:val="bottom"/>
            <w:shd w:val="clear" w:color="auto" w:fill="53C072"/>
          </w:tcPr>
          <w:p>
            <w:pPr>
              <w:spacing w:after="0"/>
              <w:rPr>
                <w:sz w:val="13"/>
                <w:szCs w:val="13"/>
                <w:color w:val="auto"/>
              </w:rPr>
            </w:pPr>
          </w:p>
        </w:tc>
        <w:tc>
          <w:tcPr>
            <w:tcW w:w="7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Stock</w:t>
            </w:r>
          </w:p>
        </w:tc>
        <w:tc>
          <w:tcPr>
            <w:tcW w:w="80" w:type="dxa"/>
            <w:vAlign w:val="bottom"/>
            <w:shd w:val="clear" w:color="auto" w:fill="53C072"/>
          </w:tcPr>
          <w:p>
            <w:pPr>
              <w:spacing w:after="0"/>
              <w:rPr>
                <w:sz w:val="13"/>
                <w:szCs w:val="13"/>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Units of</w:t>
            </w:r>
          </w:p>
        </w:tc>
        <w:tc>
          <w:tcPr>
            <w:tcW w:w="180" w:type="dxa"/>
            <w:vAlign w:val="bottom"/>
            <w:shd w:val="clear" w:color="auto" w:fill="53C072"/>
          </w:tcPr>
          <w:p>
            <w:pPr>
              <w:spacing w:after="0"/>
              <w:rPr>
                <w:sz w:val="13"/>
                <w:szCs w:val="13"/>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Other</w:t>
            </w:r>
          </w:p>
        </w:tc>
        <w:tc>
          <w:tcPr>
            <w:tcW w:w="80" w:type="dxa"/>
            <w:vAlign w:val="bottom"/>
            <w:shd w:val="clear" w:color="auto" w:fill="53C072"/>
          </w:tcPr>
          <w:p>
            <w:pPr>
              <w:spacing w:after="0"/>
              <w:rPr>
                <w:sz w:val="13"/>
                <w:szCs w:val="13"/>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Shares,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53C072"/>
          </w:tcPr>
          <w:p>
            <w:pPr>
              <w:spacing w:after="0"/>
              <w:rPr>
                <w:sz w:val="12"/>
                <w:szCs w:val="12"/>
                <w:color w:val="auto"/>
              </w:rPr>
            </w:pPr>
          </w:p>
        </w:tc>
        <w:tc>
          <w:tcPr>
            <w:tcW w:w="28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40" w:type="dxa"/>
            <w:vAlign w:val="bottom"/>
            <w:shd w:val="clear" w:color="auto" w:fill="53C072"/>
          </w:tcPr>
          <w:p>
            <w:pPr>
              <w:spacing w:after="0"/>
              <w:rPr>
                <w:sz w:val="12"/>
                <w:szCs w:val="12"/>
                <w:color w:val="auto"/>
              </w:rPr>
            </w:pPr>
          </w:p>
        </w:tc>
        <w:tc>
          <w:tcPr>
            <w:tcW w:w="860" w:type="dxa"/>
            <w:vAlign w:val="bottom"/>
            <w:shd w:val="clear" w:color="auto" w:fill="53C072"/>
          </w:tcPr>
          <w:p>
            <w:pPr>
              <w:spacing w:after="0"/>
              <w:rPr>
                <w:sz w:val="12"/>
                <w:szCs w:val="12"/>
                <w:color w:val="auto"/>
              </w:rPr>
            </w:pPr>
          </w:p>
        </w:tc>
        <w:tc>
          <w:tcPr>
            <w:tcW w:w="180" w:type="dxa"/>
            <w:vAlign w:val="bottom"/>
            <w:shd w:val="clear" w:color="auto" w:fill="53C072"/>
          </w:tcPr>
          <w:p>
            <w:pPr>
              <w:spacing w:after="0"/>
              <w:rPr>
                <w:sz w:val="12"/>
                <w:szCs w:val="12"/>
                <w:color w:val="auto"/>
              </w:rPr>
            </w:pPr>
          </w:p>
        </w:tc>
        <w:tc>
          <w:tcPr>
            <w:tcW w:w="56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7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Underlying</w:t>
            </w:r>
          </w:p>
        </w:tc>
        <w:tc>
          <w:tcPr>
            <w:tcW w:w="120" w:type="dxa"/>
            <w:vAlign w:val="bottom"/>
            <w:shd w:val="clear" w:color="auto" w:fill="53C072"/>
          </w:tcPr>
          <w:p>
            <w:pPr>
              <w:spacing w:after="0"/>
              <w:rPr>
                <w:sz w:val="12"/>
                <w:szCs w:val="12"/>
                <w:color w:val="auto"/>
              </w:rPr>
            </w:pPr>
          </w:p>
        </w:tc>
        <w:tc>
          <w:tcPr>
            <w:tcW w:w="8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Underlying</w:t>
            </w:r>
          </w:p>
        </w:tc>
        <w:tc>
          <w:tcPr>
            <w:tcW w:w="120" w:type="dxa"/>
            <w:vAlign w:val="bottom"/>
            <w:shd w:val="clear" w:color="auto" w:fill="53C072"/>
          </w:tcPr>
          <w:p>
            <w:pPr>
              <w:spacing w:after="0"/>
              <w:rPr>
                <w:sz w:val="12"/>
                <w:szCs w:val="12"/>
                <w:color w:val="auto"/>
              </w:rPr>
            </w:pPr>
          </w:p>
        </w:tc>
        <w:tc>
          <w:tcPr>
            <w:tcW w:w="54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Option</w:t>
            </w:r>
          </w:p>
        </w:tc>
        <w:tc>
          <w:tcPr>
            <w:tcW w:w="12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620" w:type="dxa"/>
            <w:vAlign w:val="bottom"/>
            <w:vMerge w:val="restart"/>
            <w:shd w:val="clear" w:color="auto" w:fill="53C072"/>
          </w:tcPr>
          <w:p>
            <w:pPr>
              <w:jc w:val="right"/>
              <w:ind w:right="73"/>
              <w:spacing w:after="0"/>
              <w:rPr>
                <w:sz w:val="20"/>
                <w:szCs w:val="20"/>
                <w:color w:val="auto"/>
              </w:rPr>
            </w:pPr>
            <w:r>
              <w:rPr>
                <w:rFonts w:ascii="Arial" w:cs="Arial" w:eastAsia="Arial" w:hAnsi="Arial"/>
                <w:sz w:val="13"/>
                <w:szCs w:val="13"/>
                <w:b w:val="1"/>
                <w:bCs w:val="1"/>
                <w:color w:val="FEFEFE"/>
              </w:rPr>
              <w:t>Stock</w:t>
            </w:r>
          </w:p>
        </w:tc>
        <w:tc>
          <w:tcPr>
            <w:tcW w:w="7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That</w:t>
            </w:r>
          </w:p>
        </w:tc>
        <w:tc>
          <w:tcPr>
            <w:tcW w:w="80" w:type="dxa"/>
            <w:vAlign w:val="bottom"/>
            <w:shd w:val="clear" w:color="auto" w:fill="53C072"/>
          </w:tcPr>
          <w:p>
            <w:pPr>
              <w:spacing w:after="0"/>
              <w:rPr>
                <w:sz w:val="12"/>
                <w:szCs w:val="12"/>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Stock</w:t>
            </w:r>
          </w:p>
        </w:tc>
        <w:tc>
          <w:tcPr>
            <w:tcW w:w="180" w:type="dxa"/>
            <w:vAlign w:val="bottom"/>
            <w:shd w:val="clear" w:color="auto" w:fill="53C072"/>
          </w:tcPr>
          <w:p>
            <w:pPr>
              <w:spacing w:after="0"/>
              <w:rPr>
                <w:sz w:val="12"/>
                <w:szCs w:val="12"/>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Rights</w:t>
            </w:r>
          </w:p>
        </w:tc>
        <w:tc>
          <w:tcPr>
            <w:tcW w:w="80" w:type="dxa"/>
            <w:vAlign w:val="bottom"/>
            <w:shd w:val="clear" w:color="auto" w:fill="53C072"/>
          </w:tcPr>
          <w:p>
            <w:pPr>
              <w:spacing w:after="0"/>
              <w:rPr>
                <w:sz w:val="12"/>
                <w:szCs w:val="12"/>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Units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 w:type="dxa"/>
            <w:vAlign w:val="bottom"/>
            <w:shd w:val="clear" w:color="auto" w:fill="53C072"/>
          </w:tcPr>
          <w:p>
            <w:pPr>
              <w:spacing w:after="0"/>
              <w:rPr>
                <w:sz w:val="13"/>
                <w:szCs w:val="13"/>
                <w:color w:val="auto"/>
              </w:rPr>
            </w:pPr>
          </w:p>
        </w:tc>
        <w:tc>
          <w:tcPr>
            <w:tcW w:w="280" w:type="dxa"/>
            <w:vAlign w:val="bottom"/>
            <w:shd w:val="clear" w:color="auto" w:fill="53C072"/>
          </w:tcPr>
          <w:p>
            <w:pPr>
              <w:spacing w:after="0"/>
              <w:rPr>
                <w:sz w:val="13"/>
                <w:szCs w:val="13"/>
                <w:color w:val="auto"/>
              </w:rPr>
            </w:pPr>
          </w:p>
        </w:tc>
        <w:tc>
          <w:tcPr>
            <w:tcW w:w="8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860" w:type="dxa"/>
            <w:vAlign w:val="bottom"/>
            <w:shd w:val="clear" w:color="auto" w:fill="53C072"/>
          </w:tcPr>
          <w:p>
            <w:pPr>
              <w:spacing w:after="0"/>
              <w:rPr>
                <w:sz w:val="13"/>
                <w:szCs w:val="13"/>
                <w:color w:val="auto"/>
              </w:rPr>
            </w:pPr>
          </w:p>
        </w:tc>
        <w:tc>
          <w:tcPr>
            <w:tcW w:w="180" w:type="dxa"/>
            <w:vAlign w:val="bottom"/>
            <w:shd w:val="clear" w:color="auto" w:fill="53C072"/>
          </w:tcPr>
          <w:p>
            <w:pPr>
              <w:spacing w:after="0"/>
              <w:rPr>
                <w:sz w:val="13"/>
                <w:szCs w:val="13"/>
                <w:color w:val="auto"/>
              </w:rPr>
            </w:pPr>
          </w:p>
        </w:tc>
        <w:tc>
          <w:tcPr>
            <w:tcW w:w="56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Option</w:t>
            </w:r>
          </w:p>
        </w:tc>
        <w:tc>
          <w:tcPr>
            <w:tcW w:w="900" w:type="dxa"/>
            <w:vAlign w:val="bottom"/>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Unexercised</w:t>
            </w:r>
          </w:p>
        </w:tc>
        <w:tc>
          <w:tcPr>
            <w:tcW w:w="120" w:type="dxa"/>
            <w:vAlign w:val="bottom"/>
            <w:shd w:val="clear" w:color="auto" w:fill="53C072"/>
          </w:tcPr>
          <w:p>
            <w:pPr>
              <w:spacing w:after="0"/>
              <w:rPr>
                <w:sz w:val="13"/>
                <w:szCs w:val="13"/>
                <w:color w:val="auto"/>
              </w:rPr>
            </w:pPr>
          </w:p>
        </w:tc>
        <w:tc>
          <w:tcPr>
            <w:tcW w:w="8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Unexercised</w:t>
            </w:r>
          </w:p>
        </w:tc>
        <w:tc>
          <w:tcPr>
            <w:tcW w:w="120" w:type="dxa"/>
            <w:vAlign w:val="bottom"/>
            <w:shd w:val="clear" w:color="auto" w:fill="53C072"/>
          </w:tcPr>
          <w:p>
            <w:pPr>
              <w:spacing w:after="0"/>
              <w:rPr>
                <w:sz w:val="13"/>
                <w:szCs w:val="13"/>
                <w:color w:val="auto"/>
              </w:rPr>
            </w:pPr>
          </w:p>
        </w:tc>
        <w:tc>
          <w:tcPr>
            <w:tcW w:w="540" w:type="dxa"/>
            <w:vAlign w:val="bottom"/>
            <w:vMerge w:val="continue"/>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64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Option</w:t>
            </w:r>
          </w:p>
        </w:tc>
        <w:tc>
          <w:tcPr>
            <w:tcW w:w="140" w:type="dxa"/>
            <w:vAlign w:val="bottom"/>
            <w:shd w:val="clear" w:color="auto" w:fill="53C072"/>
          </w:tcPr>
          <w:p>
            <w:pPr>
              <w:spacing w:after="0"/>
              <w:rPr>
                <w:sz w:val="13"/>
                <w:szCs w:val="13"/>
                <w:color w:val="auto"/>
              </w:rPr>
            </w:pPr>
          </w:p>
        </w:tc>
        <w:tc>
          <w:tcPr>
            <w:tcW w:w="620" w:type="dxa"/>
            <w:vAlign w:val="bottom"/>
            <w:vMerge w:val="continue"/>
            <w:shd w:val="clear" w:color="auto" w:fill="53C072"/>
          </w:tcPr>
          <w:p>
            <w:pPr>
              <w:spacing w:after="0"/>
              <w:rPr>
                <w:sz w:val="13"/>
                <w:szCs w:val="13"/>
                <w:color w:val="auto"/>
              </w:rPr>
            </w:pPr>
          </w:p>
        </w:tc>
        <w:tc>
          <w:tcPr>
            <w:tcW w:w="7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Have Not</w:t>
            </w:r>
          </w:p>
        </w:tc>
        <w:tc>
          <w:tcPr>
            <w:tcW w:w="80" w:type="dxa"/>
            <w:vAlign w:val="bottom"/>
            <w:shd w:val="clear" w:color="auto" w:fill="53C072"/>
          </w:tcPr>
          <w:p>
            <w:pPr>
              <w:spacing w:after="0"/>
              <w:rPr>
                <w:sz w:val="13"/>
                <w:szCs w:val="13"/>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That</w:t>
            </w:r>
          </w:p>
        </w:tc>
        <w:tc>
          <w:tcPr>
            <w:tcW w:w="1020" w:type="dxa"/>
            <w:vAlign w:val="bottom"/>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That Have Not</w:t>
            </w:r>
          </w:p>
        </w:tc>
        <w:tc>
          <w:tcPr>
            <w:tcW w:w="80" w:type="dxa"/>
            <w:vAlign w:val="bottom"/>
            <w:shd w:val="clear" w:color="auto" w:fill="53C072"/>
          </w:tcPr>
          <w:p>
            <w:pPr>
              <w:spacing w:after="0"/>
              <w:rPr>
                <w:sz w:val="13"/>
                <w:szCs w:val="13"/>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Other Rights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53C072"/>
          </w:tcPr>
          <w:p>
            <w:pPr>
              <w:spacing w:after="0"/>
              <w:rPr>
                <w:sz w:val="12"/>
                <w:szCs w:val="12"/>
                <w:color w:val="auto"/>
              </w:rPr>
            </w:pPr>
          </w:p>
        </w:tc>
        <w:tc>
          <w:tcPr>
            <w:tcW w:w="28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40" w:type="dxa"/>
            <w:vAlign w:val="bottom"/>
            <w:shd w:val="clear" w:color="auto" w:fill="53C072"/>
          </w:tcPr>
          <w:p>
            <w:pPr>
              <w:spacing w:after="0"/>
              <w:rPr>
                <w:sz w:val="12"/>
                <w:szCs w:val="12"/>
                <w:color w:val="auto"/>
              </w:rPr>
            </w:pPr>
          </w:p>
        </w:tc>
        <w:tc>
          <w:tcPr>
            <w:tcW w:w="860" w:type="dxa"/>
            <w:vAlign w:val="bottom"/>
            <w:shd w:val="clear" w:color="auto" w:fill="53C072"/>
          </w:tcPr>
          <w:p>
            <w:pPr>
              <w:spacing w:after="0"/>
              <w:rPr>
                <w:sz w:val="12"/>
                <w:szCs w:val="12"/>
                <w:color w:val="auto"/>
              </w:rPr>
            </w:pPr>
          </w:p>
        </w:tc>
        <w:tc>
          <w:tcPr>
            <w:tcW w:w="180" w:type="dxa"/>
            <w:vAlign w:val="bottom"/>
            <w:shd w:val="clear" w:color="auto" w:fill="53C072"/>
          </w:tcPr>
          <w:p>
            <w:pPr>
              <w:spacing w:after="0"/>
              <w:rPr>
                <w:sz w:val="12"/>
                <w:szCs w:val="12"/>
                <w:color w:val="auto"/>
              </w:rPr>
            </w:pPr>
          </w:p>
        </w:tc>
        <w:tc>
          <w:tcPr>
            <w:tcW w:w="560" w:type="dxa"/>
            <w:vAlign w:val="bottom"/>
            <w:vMerge w:val="continue"/>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7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Options</w:t>
            </w:r>
          </w:p>
        </w:tc>
        <w:tc>
          <w:tcPr>
            <w:tcW w:w="120" w:type="dxa"/>
            <w:vAlign w:val="bottom"/>
            <w:shd w:val="clear" w:color="auto" w:fill="53C072"/>
          </w:tcPr>
          <w:p>
            <w:pPr>
              <w:spacing w:after="0"/>
              <w:rPr>
                <w:sz w:val="12"/>
                <w:szCs w:val="12"/>
                <w:color w:val="auto"/>
              </w:rPr>
            </w:pPr>
          </w:p>
        </w:tc>
        <w:tc>
          <w:tcPr>
            <w:tcW w:w="8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Options</w:t>
            </w:r>
          </w:p>
        </w:tc>
        <w:tc>
          <w:tcPr>
            <w:tcW w:w="660" w:type="dxa"/>
            <w:vAlign w:val="bottom"/>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Exercise</w:t>
            </w:r>
          </w:p>
        </w:tc>
        <w:tc>
          <w:tcPr>
            <w:tcW w:w="120" w:type="dxa"/>
            <w:vAlign w:val="bottom"/>
            <w:shd w:val="clear" w:color="auto" w:fill="53C072"/>
          </w:tcPr>
          <w:p>
            <w:pPr>
              <w:spacing w:after="0"/>
              <w:rPr>
                <w:sz w:val="12"/>
                <w:szCs w:val="12"/>
                <w:color w:val="auto"/>
              </w:rPr>
            </w:pPr>
          </w:p>
        </w:tc>
        <w:tc>
          <w:tcPr>
            <w:tcW w:w="640" w:type="dxa"/>
            <w:vAlign w:val="bottom"/>
            <w:vMerge w:val="continue"/>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620" w:type="dxa"/>
            <w:vAlign w:val="bottom"/>
            <w:shd w:val="clear" w:color="auto" w:fill="53C072"/>
          </w:tcPr>
          <w:p>
            <w:pPr>
              <w:jc w:val="right"/>
              <w:ind w:right="73"/>
              <w:spacing w:after="0"/>
              <w:rPr>
                <w:sz w:val="20"/>
                <w:szCs w:val="20"/>
                <w:color w:val="auto"/>
              </w:rPr>
            </w:pPr>
            <w:r>
              <w:rPr>
                <w:rFonts w:ascii="Arial" w:cs="Arial" w:eastAsia="Arial" w:hAnsi="Arial"/>
                <w:sz w:val="13"/>
                <w:szCs w:val="13"/>
                <w:b w:val="1"/>
                <w:bCs w:val="1"/>
                <w:color w:val="FEFEFE"/>
              </w:rPr>
              <w:t>Award</w:t>
            </w:r>
          </w:p>
        </w:tc>
        <w:tc>
          <w:tcPr>
            <w:tcW w:w="7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Vested</w:t>
            </w:r>
          </w:p>
        </w:tc>
        <w:tc>
          <w:tcPr>
            <w:tcW w:w="80" w:type="dxa"/>
            <w:vAlign w:val="bottom"/>
            <w:shd w:val="clear" w:color="auto" w:fill="53C072"/>
          </w:tcPr>
          <w:p>
            <w:pPr>
              <w:spacing w:after="0"/>
              <w:rPr>
                <w:sz w:val="12"/>
                <w:szCs w:val="12"/>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w w:val="99"/>
              </w:rPr>
              <w:t>Have Not</w:t>
            </w:r>
          </w:p>
        </w:tc>
        <w:tc>
          <w:tcPr>
            <w:tcW w:w="180" w:type="dxa"/>
            <w:vAlign w:val="bottom"/>
            <w:shd w:val="clear" w:color="auto" w:fill="53C072"/>
          </w:tcPr>
          <w:p>
            <w:pPr>
              <w:spacing w:after="0"/>
              <w:rPr>
                <w:sz w:val="12"/>
                <w:szCs w:val="12"/>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Vested</w:t>
            </w:r>
          </w:p>
        </w:tc>
        <w:tc>
          <w:tcPr>
            <w:tcW w:w="1040" w:type="dxa"/>
            <w:vAlign w:val="bottom"/>
            <w:gridSpan w:val="2"/>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That Have Not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0" w:type="dxa"/>
            <w:vAlign w:val="bottom"/>
            <w:shd w:val="clear" w:color="auto" w:fill="53C072"/>
          </w:tcPr>
          <w:p>
            <w:pPr>
              <w:spacing w:after="0"/>
              <w:rPr>
                <w:sz w:val="13"/>
                <w:szCs w:val="13"/>
                <w:color w:val="auto"/>
              </w:rPr>
            </w:pPr>
          </w:p>
        </w:tc>
        <w:tc>
          <w:tcPr>
            <w:tcW w:w="480" w:type="dxa"/>
            <w:vAlign w:val="bottom"/>
            <w:gridSpan w:val="3"/>
            <w:vMerge w:val="restart"/>
            <w:shd w:val="clear" w:color="auto" w:fill="53C072"/>
          </w:tcPr>
          <w:p>
            <w:pPr>
              <w:spacing w:after="0"/>
              <w:rPr>
                <w:sz w:val="20"/>
                <w:szCs w:val="20"/>
                <w:color w:val="auto"/>
              </w:rPr>
            </w:pPr>
            <w:r>
              <w:rPr>
                <w:rFonts w:ascii="Arial" w:cs="Arial" w:eastAsia="Arial" w:hAnsi="Arial"/>
                <w:sz w:val="13"/>
                <w:szCs w:val="13"/>
                <w:b w:val="1"/>
                <w:bCs w:val="1"/>
                <w:color w:val="FEFEFE"/>
              </w:rPr>
              <w:t>Name​</w:t>
            </w:r>
          </w:p>
        </w:tc>
        <w:tc>
          <w:tcPr>
            <w:tcW w:w="40" w:type="dxa"/>
            <w:vAlign w:val="bottom"/>
            <w:shd w:val="clear" w:color="auto" w:fill="53C072"/>
          </w:tcPr>
          <w:p>
            <w:pPr>
              <w:spacing w:after="0"/>
              <w:rPr>
                <w:sz w:val="13"/>
                <w:szCs w:val="13"/>
                <w:color w:val="auto"/>
              </w:rPr>
            </w:pPr>
          </w:p>
        </w:tc>
        <w:tc>
          <w:tcPr>
            <w:tcW w:w="860" w:type="dxa"/>
            <w:vAlign w:val="bottom"/>
            <w:shd w:val="clear" w:color="auto" w:fill="53C072"/>
          </w:tcPr>
          <w:p>
            <w:pPr>
              <w:spacing w:after="0"/>
              <w:rPr>
                <w:sz w:val="13"/>
                <w:szCs w:val="13"/>
                <w:color w:val="auto"/>
              </w:rPr>
            </w:pPr>
          </w:p>
        </w:tc>
        <w:tc>
          <w:tcPr>
            <w:tcW w:w="180" w:type="dxa"/>
            <w:vAlign w:val="bottom"/>
            <w:vMerge w:val="restart"/>
            <w:shd w:val="clear" w:color="auto" w:fill="53C072"/>
          </w:tcPr>
          <w:p>
            <w:pPr>
              <w:ind w:left="40"/>
              <w:spacing w:after="0"/>
              <w:rPr>
                <w:sz w:val="20"/>
                <w:szCs w:val="20"/>
                <w:color w:val="auto"/>
              </w:rPr>
            </w:pPr>
            <w:r>
              <w:rPr>
                <w:rFonts w:ascii="Arial" w:cs="Arial" w:eastAsia="Arial" w:hAnsi="Arial"/>
                <w:sz w:val="13"/>
                <w:szCs w:val="13"/>
                <w:b w:val="1"/>
                <w:bCs w:val="1"/>
                <w:color w:val="FEFEFE"/>
              </w:rPr>
              <w:t>​​</w:t>
            </w:r>
          </w:p>
        </w:tc>
        <w:tc>
          <w:tcPr>
            <w:tcW w:w="56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Grant</w:t>
            </w:r>
          </w:p>
        </w:tc>
        <w:tc>
          <w:tcPr>
            <w:tcW w:w="120" w:type="dxa"/>
            <w:vAlign w:val="bottom"/>
            <w:shd w:val="clear" w:color="auto" w:fill="53C072"/>
          </w:tcPr>
          <w:p>
            <w:pPr>
              <w:spacing w:after="0"/>
              <w:rPr>
                <w:sz w:val="13"/>
                <w:szCs w:val="13"/>
                <w:color w:val="auto"/>
              </w:rPr>
            </w:pPr>
          </w:p>
        </w:tc>
        <w:tc>
          <w:tcPr>
            <w:tcW w:w="7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53C072"/>
          </w:tcPr>
          <w:p>
            <w:pPr>
              <w:spacing w:after="0"/>
              <w:rPr>
                <w:sz w:val="13"/>
                <w:szCs w:val="13"/>
                <w:color w:val="auto"/>
              </w:rPr>
            </w:pPr>
          </w:p>
        </w:tc>
        <w:tc>
          <w:tcPr>
            <w:tcW w:w="8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53C072"/>
          </w:tcPr>
          <w:p>
            <w:pPr>
              <w:spacing w:after="0"/>
              <w:rPr>
                <w:sz w:val="13"/>
                <w:szCs w:val="13"/>
                <w:color w:val="auto"/>
              </w:rPr>
            </w:pPr>
          </w:p>
        </w:tc>
        <w:tc>
          <w:tcPr>
            <w:tcW w:w="5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Price</w:t>
            </w:r>
          </w:p>
        </w:tc>
        <w:tc>
          <w:tcPr>
            <w:tcW w:w="760" w:type="dxa"/>
            <w:vAlign w:val="bottom"/>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Expiration</w:t>
            </w:r>
          </w:p>
        </w:tc>
        <w:tc>
          <w:tcPr>
            <w:tcW w:w="140" w:type="dxa"/>
            <w:vAlign w:val="bottom"/>
            <w:vMerge w:val="restart"/>
            <w:shd w:val="clear" w:color="auto" w:fill="53C072"/>
          </w:tcPr>
          <w:p>
            <w:pPr>
              <w:ind w:left="20"/>
              <w:spacing w:after="0"/>
              <w:rPr>
                <w:sz w:val="20"/>
                <w:szCs w:val="20"/>
                <w:color w:val="auto"/>
              </w:rPr>
            </w:pPr>
            <w:r>
              <w:rPr>
                <w:rFonts w:ascii="Arial" w:cs="Arial" w:eastAsia="Arial" w:hAnsi="Arial"/>
                <w:sz w:val="13"/>
                <w:szCs w:val="13"/>
                <w:b w:val="1"/>
                <w:bCs w:val="1"/>
                <w:color w:val="FEFEFE"/>
              </w:rPr>
              <w:t>​​</w:t>
            </w:r>
          </w:p>
        </w:tc>
        <w:tc>
          <w:tcPr>
            <w:tcW w:w="620" w:type="dxa"/>
            <w:vAlign w:val="bottom"/>
            <w:shd w:val="clear" w:color="auto" w:fill="53C072"/>
          </w:tcPr>
          <w:p>
            <w:pPr>
              <w:jc w:val="right"/>
              <w:ind w:right="73"/>
              <w:spacing w:after="0"/>
              <w:rPr>
                <w:sz w:val="20"/>
                <w:szCs w:val="20"/>
                <w:color w:val="auto"/>
              </w:rPr>
            </w:pPr>
            <w:r>
              <w:rPr>
                <w:rFonts w:ascii="Arial" w:cs="Arial" w:eastAsia="Arial" w:hAnsi="Arial"/>
                <w:sz w:val="13"/>
                <w:szCs w:val="13"/>
                <w:b w:val="1"/>
                <w:bCs w:val="1"/>
                <w:color w:val="FEFEFE"/>
              </w:rPr>
              <w:t>Grant</w:t>
            </w:r>
          </w:p>
        </w:tc>
        <w:tc>
          <w:tcPr>
            <w:tcW w:w="7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(RSUs)</w:t>
            </w:r>
          </w:p>
        </w:tc>
        <w:tc>
          <w:tcPr>
            <w:tcW w:w="80" w:type="dxa"/>
            <w:vAlign w:val="bottom"/>
            <w:vMerge w:val="restart"/>
            <w:shd w:val="clear" w:color="auto" w:fill="53C072"/>
          </w:tcPr>
          <w:p>
            <w:pPr>
              <w:spacing w:after="0"/>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Vested</w:t>
            </w:r>
          </w:p>
        </w:tc>
        <w:tc>
          <w:tcPr>
            <w:tcW w:w="180" w:type="dxa"/>
            <w:vAlign w:val="bottom"/>
            <w:shd w:val="clear" w:color="auto" w:fill="53C072"/>
          </w:tcPr>
          <w:p>
            <w:pPr>
              <w:spacing w:after="0"/>
              <w:rPr>
                <w:sz w:val="13"/>
                <w:szCs w:val="13"/>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(PSUs)</w:t>
            </w:r>
          </w:p>
        </w:tc>
        <w:tc>
          <w:tcPr>
            <w:tcW w:w="80" w:type="dxa"/>
            <w:vAlign w:val="bottom"/>
            <w:shd w:val="clear" w:color="auto" w:fill="53C072"/>
          </w:tcPr>
          <w:p>
            <w:pPr>
              <w:spacing w:after="0"/>
              <w:rPr>
                <w:sz w:val="13"/>
                <w:szCs w:val="13"/>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Vested</w:t>
            </w:r>
          </w:p>
        </w:tc>
        <w:tc>
          <w:tcPr>
            <w:tcW w:w="40" w:type="dxa"/>
            <w:vAlign w:val="bottom"/>
            <w:vMerge w:val="restart"/>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56"/>
        </w:trPr>
        <w:tc>
          <w:tcPr>
            <w:tcW w:w="40" w:type="dxa"/>
            <w:vAlign w:val="bottom"/>
            <w:tcBorders>
              <w:bottom w:val="single" w:sz="8" w:color="53C072"/>
            </w:tcBorders>
            <w:shd w:val="clear" w:color="auto" w:fill="53C072"/>
          </w:tcPr>
          <w:p>
            <w:pPr>
              <w:spacing w:after="0"/>
              <w:rPr>
                <w:sz w:val="13"/>
                <w:szCs w:val="13"/>
                <w:color w:val="auto"/>
              </w:rPr>
            </w:pPr>
          </w:p>
        </w:tc>
        <w:tc>
          <w:tcPr>
            <w:tcW w:w="480" w:type="dxa"/>
            <w:vAlign w:val="bottom"/>
            <w:tcBorders>
              <w:bottom w:val="single" w:sz="8" w:color="53C072"/>
            </w:tcBorders>
            <w:gridSpan w:val="3"/>
            <w:vMerge w:val="continue"/>
            <w:shd w:val="clear" w:color="auto" w:fill="53C072"/>
          </w:tcPr>
          <w:p>
            <w:pPr>
              <w:spacing w:after="0"/>
              <w:rPr>
                <w:sz w:val="13"/>
                <w:szCs w:val="13"/>
                <w:color w:val="auto"/>
              </w:rPr>
            </w:pPr>
          </w:p>
        </w:tc>
        <w:tc>
          <w:tcPr>
            <w:tcW w:w="40" w:type="dxa"/>
            <w:vAlign w:val="bottom"/>
            <w:tcBorders>
              <w:bottom w:val="single" w:sz="8" w:color="53C072"/>
            </w:tcBorders>
            <w:shd w:val="clear" w:color="auto" w:fill="53C072"/>
          </w:tcPr>
          <w:p>
            <w:pPr>
              <w:spacing w:after="0"/>
              <w:rPr>
                <w:sz w:val="13"/>
                <w:szCs w:val="13"/>
                <w:color w:val="auto"/>
              </w:rPr>
            </w:pPr>
          </w:p>
        </w:tc>
        <w:tc>
          <w:tcPr>
            <w:tcW w:w="860" w:type="dxa"/>
            <w:vAlign w:val="bottom"/>
            <w:tcBorders>
              <w:bottom w:val="single" w:sz="8" w:color="53C072"/>
            </w:tcBorders>
            <w:shd w:val="clear" w:color="auto" w:fill="53C072"/>
          </w:tcPr>
          <w:p>
            <w:pPr>
              <w:spacing w:after="0"/>
              <w:rPr>
                <w:sz w:val="13"/>
                <w:szCs w:val="13"/>
                <w:color w:val="auto"/>
              </w:rPr>
            </w:pPr>
          </w:p>
        </w:tc>
        <w:tc>
          <w:tcPr>
            <w:tcW w:w="180" w:type="dxa"/>
            <w:vAlign w:val="bottom"/>
            <w:tcBorders>
              <w:bottom w:val="single" w:sz="8" w:color="53C072"/>
            </w:tcBorders>
            <w:vMerge w:val="continue"/>
            <w:shd w:val="clear" w:color="auto" w:fill="53C072"/>
          </w:tcPr>
          <w:p>
            <w:pPr>
              <w:spacing w:after="0"/>
              <w:rPr>
                <w:sz w:val="13"/>
                <w:szCs w:val="13"/>
                <w:color w:val="auto"/>
              </w:rPr>
            </w:pPr>
          </w:p>
        </w:tc>
        <w:tc>
          <w:tcPr>
            <w:tcW w:w="56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Date</w:t>
            </w:r>
          </w:p>
        </w:tc>
        <w:tc>
          <w:tcPr>
            <w:tcW w:w="900" w:type="dxa"/>
            <w:vAlign w:val="bottom"/>
            <w:tcBorders>
              <w:bottom w:val="single" w:sz="8" w:color="53C072"/>
            </w:tcBorders>
            <w:gridSpan w:val="2"/>
            <w:shd w:val="clear" w:color="auto" w:fill="53C072"/>
          </w:tcPr>
          <w:p>
            <w:pPr>
              <w:ind w:left="20"/>
              <w:spacing w:after="0"/>
              <w:rPr>
                <w:sz w:val="20"/>
                <w:szCs w:val="20"/>
                <w:color w:val="auto"/>
              </w:rPr>
            </w:pPr>
            <w:r>
              <w:rPr>
                <w:rFonts w:ascii="Arial" w:cs="Arial" w:eastAsia="Arial" w:hAnsi="Arial"/>
                <w:sz w:val="13"/>
                <w:szCs w:val="13"/>
                <w:b w:val="1"/>
                <w:bCs w:val="1"/>
                <w:color w:val="FEFEFE"/>
              </w:rPr>
              <w:t>​​ Exercisable</w:t>
            </w:r>
          </w:p>
        </w:tc>
        <w:tc>
          <w:tcPr>
            <w:tcW w:w="1120" w:type="dxa"/>
            <w:vAlign w:val="bottom"/>
            <w:tcBorders>
              <w:bottom w:val="single" w:sz="8" w:color="53C072"/>
            </w:tcBorders>
            <w:gridSpan w:val="3"/>
            <w:shd w:val="clear" w:color="auto" w:fill="53C072"/>
          </w:tcPr>
          <w:p>
            <w:pPr>
              <w:ind w:left="20"/>
              <w:spacing w:after="0"/>
              <w:rPr>
                <w:sz w:val="20"/>
                <w:szCs w:val="20"/>
                <w:color w:val="auto"/>
              </w:rPr>
            </w:pPr>
            <w:r>
              <w:rPr>
                <w:rFonts w:ascii="Arial" w:cs="Arial" w:eastAsia="Arial" w:hAnsi="Arial"/>
                <w:sz w:val="13"/>
                <w:szCs w:val="13"/>
                <w:b w:val="1"/>
                <w:bCs w:val="1"/>
                <w:color w:val="FEFEFE"/>
              </w:rPr>
              <w:t>​​Unexercisable ​​</w:t>
            </w:r>
          </w:p>
        </w:tc>
        <w:tc>
          <w:tcPr>
            <w:tcW w:w="54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120" w:type="dxa"/>
            <w:vAlign w:val="bottom"/>
            <w:tcBorders>
              <w:bottom w:val="single" w:sz="8" w:color="53C072"/>
            </w:tcBorders>
            <w:shd w:val="clear" w:color="auto" w:fill="53C072"/>
          </w:tcPr>
          <w:p>
            <w:pPr>
              <w:ind w:left="20"/>
              <w:spacing w:after="0"/>
              <w:rPr>
                <w:sz w:val="20"/>
                <w:szCs w:val="20"/>
                <w:color w:val="auto"/>
              </w:rPr>
            </w:pPr>
            <w:r>
              <w:rPr>
                <w:rFonts w:ascii="Arial" w:cs="Arial" w:eastAsia="Arial" w:hAnsi="Arial"/>
                <w:sz w:val="13"/>
                <w:szCs w:val="13"/>
                <w:b w:val="1"/>
                <w:bCs w:val="1"/>
                <w:color w:val="FEFEFE"/>
              </w:rPr>
              <w:t>​​</w:t>
            </w:r>
          </w:p>
        </w:tc>
        <w:tc>
          <w:tcPr>
            <w:tcW w:w="64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Date</w:t>
            </w:r>
          </w:p>
        </w:tc>
        <w:tc>
          <w:tcPr>
            <w:tcW w:w="140" w:type="dxa"/>
            <w:vAlign w:val="bottom"/>
            <w:tcBorders>
              <w:bottom w:val="single" w:sz="8" w:color="53C072"/>
            </w:tcBorders>
            <w:vMerge w:val="continue"/>
            <w:shd w:val="clear" w:color="auto" w:fill="53C072"/>
          </w:tcPr>
          <w:p>
            <w:pPr>
              <w:spacing w:after="0"/>
              <w:rPr>
                <w:sz w:val="13"/>
                <w:szCs w:val="13"/>
                <w:color w:val="auto"/>
              </w:rPr>
            </w:pPr>
          </w:p>
        </w:tc>
        <w:tc>
          <w:tcPr>
            <w:tcW w:w="62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Date ​​</w:t>
            </w:r>
          </w:p>
        </w:tc>
        <w:tc>
          <w:tcPr>
            <w:tcW w:w="70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80" w:type="dxa"/>
            <w:vAlign w:val="bottom"/>
            <w:tcBorders>
              <w:bottom w:val="single" w:sz="8" w:color="53C072"/>
            </w:tcBorders>
            <w:vMerge w:val="continue"/>
            <w:shd w:val="clear" w:color="auto" w:fill="53C072"/>
          </w:tcPr>
          <w:p>
            <w:pPr>
              <w:spacing w:after="0"/>
              <w:rPr>
                <w:sz w:val="13"/>
                <w:szCs w:val="13"/>
                <w:color w:val="auto"/>
              </w:rPr>
            </w:pPr>
          </w:p>
        </w:tc>
        <w:tc>
          <w:tcPr>
            <w:tcW w:w="820" w:type="dxa"/>
            <w:vAlign w:val="bottom"/>
            <w:tcBorders>
              <w:bottom w:val="single" w:sz="8" w:color="53C072"/>
            </w:tcBorders>
            <w:gridSpan w:val="2"/>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 ​​</w:t>
            </w:r>
          </w:p>
        </w:tc>
        <w:tc>
          <w:tcPr>
            <w:tcW w:w="920" w:type="dxa"/>
            <w:vAlign w:val="bottom"/>
            <w:tcBorders>
              <w:bottom w:val="single" w:sz="8" w:color="53C072"/>
            </w:tcBorders>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 ​​</w:t>
            </w:r>
          </w:p>
        </w:tc>
        <w:tc>
          <w:tcPr>
            <w:tcW w:w="96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0" w:type="dxa"/>
            <w:vAlign w:val="bottom"/>
            <w:gridSpan w:val="2"/>
          </w:tcPr>
          <w:p>
            <w:pPr>
              <w:spacing w:after="0" w:line="123" w:lineRule="exact"/>
              <w:rPr>
                <w:sz w:val="20"/>
                <w:szCs w:val="20"/>
                <w:color w:val="auto"/>
              </w:rPr>
            </w:pPr>
            <w:r>
              <w:rPr>
                <w:rFonts w:ascii="Arial" w:cs="Arial" w:eastAsia="Arial" w:hAnsi="Arial"/>
                <w:sz w:val="13"/>
                <w:szCs w:val="13"/>
                <w:color w:val="auto"/>
              </w:rPr>
              <w:t>Philip​</w:t>
            </w:r>
          </w:p>
        </w:tc>
        <w:tc>
          <w:tcPr>
            <w:tcW w:w="1020" w:type="dxa"/>
            <w:vAlign w:val="bottom"/>
            <w:gridSpan w:val="3"/>
          </w:tcPr>
          <w:p>
            <w:pPr>
              <w:jc w:val="right"/>
              <w:ind w:right="193"/>
              <w:spacing w:after="0" w:line="123" w:lineRule="exact"/>
              <w:rPr>
                <w:sz w:val="20"/>
                <w:szCs w:val="20"/>
                <w:color w:val="auto"/>
              </w:rPr>
            </w:pPr>
            <w:r>
              <w:rPr>
                <w:rFonts w:ascii="Arial" w:cs="Arial" w:eastAsia="Arial" w:hAnsi="Arial"/>
                <w:sz w:val="13"/>
                <w:szCs w:val="13"/>
                <w:color w:val="auto"/>
              </w:rPr>
              <w:t>R. Gallagher</w:t>
            </w:r>
          </w:p>
        </w:tc>
        <w:tc>
          <w:tcPr>
            <w:tcW w:w="740" w:type="dxa"/>
            <w:vAlign w:val="bottom"/>
            <w:gridSpan w:val="2"/>
          </w:tcPr>
          <w:p>
            <w:pPr>
              <w:ind w:left="40"/>
              <w:spacing w:after="0" w:line="123" w:lineRule="exact"/>
              <w:rPr>
                <w:sz w:val="20"/>
                <w:szCs w:val="20"/>
                <w:color w:val="auto"/>
              </w:rPr>
            </w:pPr>
            <w:r>
              <w:rPr>
                <w:rFonts w:ascii="Arial" w:cs="Arial" w:eastAsia="Arial" w:hAnsi="Arial"/>
                <w:sz w:val="13"/>
                <w:szCs w:val="13"/>
                <w:color w:val="auto"/>
              </w:rPr>
              <w:t>​​ 8/10/2017</w:t>
            </w:r>
          </w:p>
        </w:tc>
        <w:tc>
          <w:tcPr>
            <w:tcW w:w="120" w:type="dxa"/>
            <w:vAlign w:val="bottom"/>
          </w:tcPr>
          <w:p>
            <w:pPr>
              <w:ind w:left="20"/>
              <w:spacing w:after="0" w:line="123"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23" w:lineRule="exact"/>
              <w:rPr>
                <w:sz w:val="20"/>
                <w:szCs w:val="20"/>
                <w:color w:val="auto"/>
              </w:rPr>
            </w:pPr>
            <w:r>
              <w:rPr>
                <w:rFonts w:ascii="Arial" w:cs="Arial" w:eastAsia="Arial" w:hAnsi="Arial"/>
                <w:sz w:val="13"/>
                <w:szCs w:val="13"/>
                <w:color w:val="auto"/>
              </w:rPr>
              <w:t>25,068</w:t>
            </w:r>
          </w:p>
        </w:tc>
        <w:tc>
          <w:tcPr>
            <w:tcW w:w="120" w:type="dxa"/>
            <w:vAlign w:val="bottom"/>
          </w:tcPr>
          <w:p>
            <w:pPr>
              <w:ind w:left="20"/>
              <w:spacing w:after="0" w:line="123"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line="123" w:lineRule="exact"/>
              <w:rPr>
                <w:sz w:val="20"/>
                <w:szCs w:val="20"/>
                <w:color w:val="auto"/>
              </w:rPr>
            </w:pPr>
            <w:r>
              <w:rPr>
                <w:rFonts w:ascii="Arial" w:cs="Arial" w:eastAsia="Arial" w:hAnsi="Arial"/>
                <w:sz w:val="13"/>
                <w:szCs w:val="13"/>
                <w:color w:val="auto"/>
              </w:rPr>
              <w:t>— ​​</w:t>
            </w:r>
          </w:p>
        </w:tc>
        <w:tc>
          <w:tcPr>
            <w:tcW w:w="540" w:type="dxa"/>
            <w:vAlign w:val="bottom"/>
          </w:tcPr>
          <w:p>
            <w:pPr>
              <w:jc w:val="right"/>
              <w:spacing w:after="0" w:line="123" w:lineRule="exact"/>
              <w:rPr>
                <w:sz w:val="20"/>
                <w:szCs w:val="20"/>
                <w:color w:val="auto"/>
              </w:rPr>
            </w:pPr>
            <w:r>
              <w:rPr>
                <w:rFonts w:ascii="Arial" w:cs="Arial" w:eastAsia="Arial" w:hAnsi="Arial"/>
                <w:sz w:val="13"/>
                <w:szCs w:val="13"/>
                <w:color w:val="auto"/>
              </w:rPr>
              <w:t>36.80</w:t>
            </w:r>
          </w:p>
        </w:tc>
        <w:tc>
          <w:tcPr>
            <w:tcW w:w="120" w:type="dxa"/>
            <w:vAlign w:val="bottom"/>
          </w:tcPr>
          <w:p>
            <w:pPr>
              <w:ind w:left="20"/>
              <w:spacing w:after="0" w:line="123"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23" w:lineRule="exact"/>
              <w:rPr>
                <w:sz w:val="20"/>
                <w:szCs w:val="20"/>
                <w:color w:val="auto"/>
              </w:rPr>
            </w:pPr>
            <w:r>
              <w:rPr>
                <w:rFonts w:ascii="Arial" w:cs="Arial" w:eastAsia="Arial" w:hAnsi="Arial"/>
                <w:sz w:val="13"/>
                <w:szCs w:val="13"/>
                <w:color w:val="auto"/>
              </w:rPr>
              <w:t>8/09/2027</w:t>
            </w:r>
          </w:p>
        </w:tc>
        <w:tc>
          <w:tcPr>
            <w:tcW w:w="140" w:type="dxa"/>
            <w:vAlign w:val="bottom"/>
          </w:tcPr>
          <w:p>
            <w:pPr>
              <w:ind w:left="20"/>
              <w:spacing w:after="0" w:line="123"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23" w:lineRule="exact"/>
              <w:rPr>
                <w:sz w:val="20"/>
                <w:szCs w:val="20"/>
                <w:color w:val="auto"/>
              </w:rPr>
            </w:pPr>
            <w:r>
              <w:rPr>
                <w:rFonts w:ascii="Arial" w:cs="Arial" w:eastAsia="Arial" w:hAnsi="Arial"/>
                <w:sz w:val="13"/>
                <w:szCs w:val="13"/>
                <w:color w:val="auto"/>
              </w:rPr>
              <w:t>— ​​</w:t>
            </w:r>
          </w:p>
        </w:tc>
        <w:tc>
          <w:tcPr>
            <w:tcW w:w="70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23"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3"/>
              <w:spacing w:after="0" w:line="123" w:lineRule="exact"/>
              <w:rPr>
                <w:sz w:val="20"/>
                <w:szCs w:val="20"/>
                <w:color w:val="auto"/>
              </w:rPr>
            </w:pPr>
            <w:r>
              <w:rPr>
                <w:rFonts w:ascii="Arial" w:cs="Arial" w:eastAsia="Arial" w:hAnsi="Arial"/>
                <w:sz w:val="13"/>
                <w:szCs w:val="13"/>
                <w:color w:val="auto"/>
              </w:rPr>
              <w:t>— ​​</w:t>
            </w:r>
          </w:p>
        </w:tc>
        <w:tc>
          <w:tcPr>
            <w:tcW w:w="920" w:type="dxa"/>
            <w:vAlign w:val="bottom"/>
            <w:gridSpan w:val="2"/>
          </w:tcPr>
          <w:p>
            <w:pPr>
              <w:jc w:val="right"/>
              <w:spacing w:after="0" w:line="123" w:lineRule="exact"/>
              <w:rPr>
                <w:sz w:val="20"/>
                <w:szCs w:val="20"/>
                <w:color w:val="auto"/>
              </w:rPr>
            </w:pPr>
            <w:r>
              <w:rPr>
                <w:rFonts w:ascii="Arial" w:cs="Arial" w:eastAsia="Arial" w:hAnsi="Arial"/>
                <w:sz w:val="13"/>
                <w:szCs w:val="13"/>
                <w:color w:val="auto"/>
              </w:rPr>
              <w:t>— ​​</w:t>
            </w:r>
          </w:p>
        </w:tc>
        <w:tc>
          <w:tcPr>
            <w:tcW w:w="96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4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auto"/>
              </w:rPr>
              <w:t>​​ 8/28/2018</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23,920</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540" w:type="dxa"/>
            <w:vAlign w:val="bottom"/>
          </w:tcPr>
          <w:p>
            <w:pPr>
              <w:jc w:val="right"/>
              <w:spacing w:after="0"/>
              <w:rPr>
                <w:sz w:val="20"/>
                <w:szCs w:val="20"/>
                <w:color w:val="auto"/>
              </w:rPr>
            </w:pPr>
            <w:r>
              <w:rPr>
                <w:rFonts w:ascii="Arial" w:cs="Arial" w:eastAsia="Arial" w:hAnsi="Arial"/>
                <w:sz w:val="13"/>
                <w:szCs w:val="13"/>
                <w:color w:val="auto"/>
              </w:rPr>
              <w:t>48.62</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8/27/2028</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 ​​</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3"/>
              <w:spacing w:after="0"/>
              <w:rPr>
                <w:sz w:val="20"/>
                <w:szCs w:val="20"/>
                <w:color w:val="auto"/>
              </w:rPr>
            </w:pPr>
            <w:r>
              <w:rPr>
                <w:rFonts w:ascii="Arial" w:cs="Arial" w:eastAsia="Arial" w:hAnsi="Arial"/>
                <w:sz w:val="13"/>
                <w:szCs w:val="13"/>
                <w:color w:val="auto"/>
              </w:rPr>
              <w:t>— ​​</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auto"/>
              </w:rPr>
              <w:t>​​ 8/14/2019</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31,900</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540" w:type="dxa"/>
            <w:vAlign w:val="bottom"/>
          </w:tcPr>
          <w:p>
            <w:pPr>
              <w:jc w:val="right"/>
              <w:spacing w:after="0"/>
              <w:rPr>
                <w:sz w:val="20"/>
                <w:szCs w:val="20"/>
                <w:color w:val="auto"/>
              </w:rPr>
            </w:pPr>
            <w:r>
              <w:rPr>
                <w:rFonts w:ascii="Arial" w:cs="Arial" w:eastAsia="Arial" w:hAnsi="Arial"/>
                <w:sz w:val="13"/>
                <w:szCs w:val="13"/>
                <w:color w:val="auto"/>
              </w:rPr>
              <w:t>39.72</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8/13/2029</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​​8/30/2022 ​​</w:t>
            </w:r>
          </w:p>
        </w:tc>
        <w:tc>
          <w:tcPr>
            <w:tcW w:w="700" w:type="dxa"/>
            <w:vAlign w:val="bottom"/>
          </w:tcPr>
          <w:p>
            <w:pPr>
              <w:jc w:val="right"/>
              <w:spacing w:after="0"/>
              <w:rPr>
                <w:sz w:val="20"/>
                <w:szCs w:val="20"/>
                <w:color w:val="auto"/>
              </w:rPr>
            </w:pPr>
            <w:r>
              <w:rPr>
                <w:rFonts w:ascii="Arial" w:cs="Arial" w:eastAsia="Arial" w:hAnsi="Arial"/>
                <w:sz w:val="13"/>
                <w:szCs w:val="13"/>
                <w:color w:val="auto"/>
              </w:rPr>
              <w:t>18,466</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972,420</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auto"/>
              </w:rPr>
              <w:t>​​11/17/2020</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191,048</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540" w:type="dxa"/>
            <w:vAlign w:val="bottom"/>
          </w:tcPr>
          <w:p>
            <w:pPr>
              <w:jc w:val="right"/>
              <w:spacing w:after="0"/>
              <w:rPr>
                <w:sz w:val="20"/>
                <w:szCs w:val="20"/>
                <w:color w:val="auto"/>
              </w:rPr>
            </w:pPr>
            <w:r>
              <w:rPr>
                <w:rFonts w:ascii="Arial" w:cs="Arial" w:eastAsia="Arial" w:hAnsi="Arial"/>
                <w:sz w:val="13"/>
                <w:szCs w:val="13"/>
                <w:color w:val="auto"/>
              </w:rPr>
              <w:t>29.38</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​​11/16/2030</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​​8/29/2023 ​​</w:t>
            </w:r>
          </w:p>
        </w:tc>
        <w:tc>
          <w:tcPr>
            <w:tcW w:w="700" w:type="dxa"/>
            <w:vAlign w:val="bottom"/>
          </w:tcPr>
          <w:p>
            <w:pPr>
              <w:jc w:val="right"/>
              <w:spacing w:after="0"/>
              <w:rPr>
                <w:sz w:val="20"/>
                <w:szCs w:val="20"/>
                <w:color w:val="auto"/>
              </w:rPr>
            </w:pPr>
            <w:r>
              <w:rPr>
                <w:rFonts w:ascii="Arial" w:cs="Arial" w:eastAsia="Arial" w:hAnsi="Arial"/>
                <w:sz w:val="13"/>
                <w:szCs w:val="13"/>
                <w:color w:val="auto"/>
              </w:rPr>
              <w:t>34,994</w:t>
            </w:r>
          </w:p>
        </w:tc>
        <w:tc>
          <w:tcPr>
            <w:tcW w:w="900" w:type="dxa"/>
            <w:vAlign w:val="bottom"/>
            <w:gridSpan w:val="3"/>
          </w:tcPr>
          <w:p>
            <w:pPr>
              <w:jc w:val="right"/>
              <w:ind w:right="33"/>
              <w:spacing w:after="0"/>
              <w:rPr>
                <w:sz w:val="20"/>
                <w:szCs w:val="20"/>
                <w:color w:val="auto"/>
              </w:rPr>
            </w:pPr>
            <w:r>
              <w:rPr>
                <w:rFonts w:ascii="Arial" w:cs="Arial" w:eastAsia="Arial" w:hAnsi="Arial"/>
                <w:sz w:val="13"/>
                <w:szCs w:val="13"/>
                <w:color w:val="auto"/>
              </w:rPr>
              <w:t>​​ 1,842,784 ​​</w:t>
            </w:r>
          </w:p>
        </w:tc>
        <w:tc>
          <w:tcPr>
            <w:tcW w:w="840" w:type="dxa"/>
            <w:vAlign w:val="bottom"/>
          </w:tcPr>
          <w:p>
            <w:pPr>
              <w:jc w:val="right"/>
              <w:spacing w:after="0"/>
              <w:rPr>
                <w:sz w:val="20"/>
                <w:szCs w:val="20"/>
                <w:color w:val="auto"/>
              </w:rPr>
            </w:pPr>
            <w:r>
              <w:rPr>
                <w:rFonts w:ascii="Arial" w:cs="Arial" w:eastAsia="Arial" w:hAnsi="Arial"/>
                <w:sz w:val="13"/>
                <w:szCs w:val="13"/>
                <w:color w:val="auto"/>
              </w:rPr>
              <w:t>33,070</w:t>
            </w:r>
          </w:p>
        </w:tc>
        <w:tc>
          <w:tcPr>
            <w:tcW w:w="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1,741,466</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auto"/>
              </w:rPr>
              <w:t>​​ 8/23/2021</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145,689</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48,563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39.62</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8/22/2031</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​​8/15/2024 ​​</w:t>
            </w:r>
          </w:p>
        </w:tc>
        <w:tc>
          <w:tcPr>
            <w:tcW w:w="700" w:type="dxa"/>
            <w:vAlign w:val="bottom"/>
          </w:tcPr>
          <w:p>
            <w:pPr>
              <w:jc w:val="right"/>
              <w:spacing w:after="0"/>
              <w:rPr>
                <w:sz w:val="20"/>
                <w:szCs w:val="20"/>
                <w:color w:val="auto"/>
              </w:rPr>
            </w:pPr>
            <w:r>
              <w:rPr>
                <w:rFonts w:ascii="Arial" w:cs="Arial" w:eastAsia="Arial" w:hAnsi="Arial"/>
                <w:sz w:val="13"/>
                <w:szCs w:val="13"/>
                <w:color w:val="auto"/>
              </w:rPr>
              <w:t>53,247</w:t>
            </w:r>
          </w:p>
        </w:tc>
        <w:tc>
          <w:tcPr>
            <w:tcW w:w="900" w:type="dxa"/>
            <w:vAlign w:val="bottom"/>
            <w:gridSpan w:val="3"/>
          </w:tcPr>
          <w:p>
            <w:pPr>
              <w:jc w:val="right"/>
              <w:ind w:right="33"/>
              <w:spacing w:after="0"/>
              <w:rPr>
                <w:sz w:val="20"/>
                <w:szCs w:val="20"/>
                <w:color w:val="auto"/>
              </w:rPr>
            </w:pPr>
            <w:r>
              <w:rPr>
                <w:rFonts w:ascii="Arial" w:cs="Arial" w:eastAsia="Arial" w:hAnsi="Arial"/>
                <w:sz w:val="13"/>
                <w:szCs w:val="13"/>
                <w:color w:val="auto"/>
              </w:rPr>
              <w:t>​​ 2,803,987 ​​</w:t>
            </w:r>
          </w:p>
        </w:tc>
        <w:tc>
          <w:tcPr>
            <w:tcW w:w="840" w:type="dxa"/>
            <w:vAlign w:val="bottom"/>
          </w:tcPr>
          <w:p>
            <w:pPr>
              <w:jc w:val="right"/>
              <w:spacing w:after="0"/>
              <w:rPr>
                <w:sz w:val="20"/>
                <w:szCs w:val="20"/>
                <w:color w:val="auto"/>
              </w:rPr>
            </w:pPr>
            <w:r>
              <w:rPr>
                <w:rFonts w:ascii="Arial" w:cs="Arial" w:eastAsia="Arial" w:hAnsi="Arial"/>
                <w:sz w:val="13"/>
                <w:szCs w:val="13"/>
                <w:color w:val="auto"/>
              </w:rPr>
              <w:t>47,331</w:t>
            </w:r>
          </w:p>
        </w:tc>
        <w:tc>
          <w:tcPr>
            <w:tcW w:w="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2,492,450</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520" w:type="dxa"/>
            <w:vAlign w:val="bottom"/>
            <w:gridSpan w:val="4"/>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22"/>
        </w:trPr>
        <w:tc>
          <w:tcPr>
            <w:tcW w:w="40" w:type="dxa"/>
            <w:vAlign w:val="bottom"/>
            <w:shd w:val="clear" w:color="auto" w:fill="CBECD5"/>
          </w:tcPr>
          <w:p>
            <w:pPr>
              <w:spacing w:after="0"/>
              <w:rPr>
                <w:sz w:val="10"/>
                <w:szCs w:val="10"/>
                <w:color w:val="auto"/>
              </w:rPr>
            </w:pPr>
          </w:p>
        </w:tc>
        <w:tc>
          <w:tcPr>
            <w:tcW w:w="520" w:type="dxa"/>
            <w:vAlign w:val="bottom"/>
            <w:gridSpan w:val="4"/>
            <w:shd w:val="clear" w:color="auto" w:fill="CBECD5"/>
          </w:tcPr>
          <w:p>
            <w:pPr>
              <w:spacing w:after="0" w:line="123" w:lineRule="exact"/>
              <w:rPr>
                <w:sz w:val="20"/>
                <w:szCs w:val="20"/>
                <w:color w:val="auto"/>
              </w:rPr>
            </w:pPr>
            <w:r>
              <w:rPr>
                <w:rFonts w:ascii="Arial" w:cs="Arial" w:eastAsia="Arial" w:hAnsi="Arial"/>
                <w:sz w:val="13"/>
                <w:szCs w:val="13"/>
                <w:color w:val="auto"/>
              </w:rPr>
              <w:t>Kenneth​</w:t>
            </w:r>
          </w:p>
        </w:tc>
        <w:tc>
          <w:tcPr>
            <w:tcW w:w="860" w:type="dxa"/>
            <w:vAlign w:val="bottom"/>
            <w:shd w:val="clear" w:color="auto" w:fill="CBECD5"/>
          </w:tcPr>
          <w:p>
            <w:pPr>
              <w:jc w:val="right"/>
              <w:ind w:right="193"/>
              <w:spacing w:after="0" w:line="123" w:lineRule="exact"/>
              <w:rPr>
                <w:sz w:val="20"/>
                <w:szCs w:val="20"/>
                <w:color w:val="auto"/>
              </w:rPr>
            </w:pPr>
            <w:r>
              <w:rPr>
                <w:rFonts w:ascii="Arial" w:cs="Arial" w:eastAsia="Arial" w:hAnsi="Arial"/>
                <w:sz w:val="13"/>
                <w:szCs w:val="13"/>
                <w:color w:val="auto"/>
              </w:rPr>
              <w:t>Jacobson</w:t>
            </w:r>
          </w:p>
        </w:tc>
        <w:tc>
          <w:tcPr>
            <w:tcW w:w="180" w:type="dxa"/>
            <w:vAlign w:val="bottom"/>
            <w:shd w:val="clear" w:color="auto" w:fill="CBECD5"/>
          </w:tcPr>
          <w:p>
            <w:pPr>
              <w:ind w:left="40"/>
              <w:spacing w:after="0" w:line="123" w:lineRule="exact"/>
              <w:rPr>
                <w:sz w:val="20"/>
                <w:szCs w:val="20"/>
                <w:color w:val="auto"/>
              </w:rPr>
            </w:pPr>
            <w:r>
              <w:rPr>
                <w:rFonts w:ascii="Arial" w:cs="Arial" w:eastAsia="Arial" w:hAnsi="Arial"/>
                <w:sz w:val="13"/>
                <w:szCs w:val="13"/>
                <w:color w:val="auto"/>
              </w:rPr>
              <w:t>​​</w:t>
            </w:r>
          </w:p>
        </w:tc>
        <w:tc>
          <w:tcPr>
            <w:tcW w:w="560" w:type="dxa"/>
            <w:vAlign w:val="bottom"/>
            <w:shd w:val="clear" w:color="auto" w:fill="CBECD5"/>
          </w:tcPr>
          <w:p>
            <w:pPr>
              <w:jc w:val="right"/>
              <w:spacing w:after="0" w:line="123" w:lineRule="exact"/>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line="123" w:lineRule="exact"/>
              <w:rPr>
                <w:sz w:val="20"/>
                <w:szCs w:val="20"/>
                <w:color w:val="auto"/>
              </w:rPr>
            </w:pPr>
            <w:r>
              <w:rPr>
                <w:rFonts w:ascii="Arial" w:cs="Arial" w:eastAsia="Arial" w:hAnsi="Arial"/>
                <w:sz w:val="13"/>
                <w:szCs w:val="13"/>
                <w:color w:val="auto"/>
              </w:rPr>
              <w:t>​​</w:t>
            </w:r>
          </w:p>
        </w:tc>
        <w:tc>
          <w:tcPr>
            <w:tcW w:w="780" w:type="dxa"/>
            <w:vAlign w:val="bottom"/>
            <w:shd w:val="clear" w:color="auto" w:fill="CBECD5"/>
          </w:tcPr>
          <w:p>
            <w:pPr>
              <w:jc w:val="right"/>
              <w:spacing w:after="0" w:line="123" w:lineRule="exact"/>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line="123"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BECD5"/>
          </w:tcPr>
          <w:p>
            <w:pPr>
              <w:jc w:val="right"/>
              <w:spacing w:after="0" w:line="123" w:lineRule="exact"/>
              <w:rPr>
                <w:sz w:val="20"/>
                <w:szCs w:val="20"/>
                <w:color w:val="auto"/>
              </w:rPr>
            </w:pPr>
            <w:r>
              <w:rPr>
                <w:rFonts w:ascii="Arial" w:cs="Arial" w:eastAsia="Arial" w:hAnsi="Arial"/>
                <w:sz w:val="13"/>
                <w:szCs w:val="13"/>
                <w:color w:val="auto"/>
              </w:rPr>
              <w:t>— ​​</w:t>
            </w:r>
          </w:p>
        </w:tc>
        <w:tc>
          <w:tcPr>
            <w:tcW w:w="540" w:type="dxa"/>
            <w:vAlign w:val="bottom"/>
            <w:shd w:val="clear" w:color="auto" w:fill="CBECD5"/>
          </w:tcPr>
          <w:p>
            <w:pPr>
              <w:jc w:val="right"/>
              <w:spacing w:after="0" w:line="123" w:lineRule="exact"/>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line="123" w:lineRule="exact"/>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line="123"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BECD5"/>
          </w:tcPr>
          <w:p>
            <w:pPr>
              <w:ind w:left="20"/>
              <w:spacing w:after="0" w:line="123" w:lineRule="exact"/>
              <w:rPr>
                <w:sz w:val="20"/>
                <w:szCs w:val="20"/>
                <w:color w:val="auto"/>
              </w:rPr>
            </w:pPr>
            <w:r>
              <w:rPr>
                <w:rFonts w:ascii="Arial" w:cs="Arial" w:eastAsia="Arial" w:hAnsi="Arial"/>
                <w:sz w:val="13"/>
                <w:szCs w:val="13"/>
                <w:color w:val="auto"/>
              </w:rPr>
              <w:t>​​8/30/2022 ​​</w:t>
            </w:r>
          </w:p>
        </w:tc>
        <w:tc>
          <w:tcPr>
            <w:tcW w:w="700" w:type="dxa"/>
            <w:vAlign w:val="bottom"/>
            <w:shd w:val="clear" w:color="auto" w:fill="CBECD5"/>
          </w:tcPr>
          <w:p>
            <w:pPr>
              <w:jc w:val="right"/>
              <w:spacing w:after="0" w:line="123" w:lineRule="exact"/>
              <w:rPr>
                <w:sz w:val="20"/>
                <w:szCs w:val="20"/>
                <w:color w:val="auto"/>
              </w:rPr>
            </w:pPr>
            <w:r>
              <w:rPr>
                <w:rFonts w:ascii="Arial" w:cs="Arial" w:eastAsia="Arial" w:hAnsi="Arial"/>
                <w:sz w:val="13"/>
                <w:szCs w:val="13"/>
                <w:color w:val="auto"/>
              </w:rPr>
              <w:t>3,551</w:t>
            </w:r>
          </w:p>
        </w:tc>
        <w:tc>
          <w:tcPr>
            <w:tcW w:w="80" w:type="dxa"/>
            <w:vAlign w:val="bottom"/>
            <w:shd w:val="clear" w:color="auto" w:fill="CBECD5"/>
          </w:tcPr>
          <w:p>
            <w:pPr>
              <w:spacing w:after="0" w:line="123" w:lineRule="exact"/>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line="123" w:lineRule="exact"/>
              <w:rPr>
                <w:sz w:val="20"/>
                <w:szCs w:val="20"/>
                <w:color w:val="auto"/>
              </w:rPr>
            </w:pPr>
            <w:r>
              <w:rPr>
                <w:rFonts w:ascii="Arial" w:cs="Arial" w:eastAsia="Arial" w:hAnsi="Arial"/>
                <w:sz w:val="13"/>
                <w:szCs w:val="13"/>
                <w:color w:val="auto"/>
              </w:rPr>
              <w:t>186,996</w:t>
            </w:r>
          </w:p>
        </w:tc>
        <w:tc>
          <w:tcPr>
            <w:tcW w:w="180" w:type="dxa"/>
            <w:vAlign w:val="bottom"/>
            <w:shd w:val="clear" w:color="auto" w:fill="CBECD5"/>
          </w:tcPr>
          <w:p>
            <w:pPr>
              <w:jc w:val="right"/>
              <w:ind w:right="33"/>
              <w:spacing w:after="0" w:line="123"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BECD5"/>
          </w:tcPr>
          <w:p>
            <w:pPr>
              <w:jc w:val="right"/>
              <w:spacing w:after="0" w:line="123" w:lineRule="exact"/>
              <w:rPr>
                <w:sz w:val="20"/>
                <w:szCs w:val="20"/>
                <w:color w:val="auto"/>
              </w:rPr>
            </w:pPr>
            <w:r>
              <w:rPr>
                <w:rFonts w:ascii="Arial" w:cs="Arial" w:eastAsia="Arial" w:hAnsi="Arial"/>
                <w:sz w:val="13"/>
                <w:szCs w:val="13"/>
                <w:color w:val="auto"/>
              </w:rPr>
              <w:t>— ​​</w:t>
            </w:r>
          </w:p>
        </w:tc>
        <w:tc>
          <w:tcPr>
            <w:tcW w:w="960" w:type="dxa"/>
            <w:vAlign w:val="bottom"/>
            <w:shd w:val="clear" w:color="auto" w:fill="CBECD5"/>
          </w:tcPr>
          <w:p>
            <w:pPr>
              <w:jc w:val="right"/>
              <w:spacing w:after="0" w:line="123" w:lineRule="exact"/>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BECD5"/>
          </w:tcPr>
          <w:p>
            <w:pPr>
              <w:spacing w:after="0"/>
              <w:rPr>
                <w:sz w:val="12"/>
                <w:szCs w:val="12"/>
                <w:color w:val="auto"/>
              </w:rPr>
            </w:pPr>
          </w:p>
        </w:tc>
        <w:tc>
          <w:tcPr>
            <w:tcW w:w="2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BECD5"/>
          </w:tcPr>
          <w:p>
            <w:pPr>
              <w:spacing w:after="0"/>
              <w:rPr>
                <w:sz w:val="12"/>
                <w:szCs w:val="12"/>
                <w:color w:val="auto"/>
              </w:rPr>
            </w:pPr>
          </w:p>
        </w:tc>
        <w:tc>
          <w:tcPr>
            <w:tcW w:w="120" w:type="dxa"/>
            <w:vAlign w:val="bottom"/>
            <w:shd w:val="clear" w:color="auto" w:fill="CBECD5"/>
          </w:tcPr>
          <w:p>
            <w:pPr>
              <w:spacing w:after="0"/>
              <w:rPr>
                <w:sz w:val="12"/>
                <w:szCs w:val="12"/>
                <w:color w:val="auto"/>
              </w:rPr>
            </w:pPr>
          </w:p>
        </w:tc>
        <w:tc>
          <w:tcPr>
            <w:tcW w:w="40" w:type="dxa"/>
            <w:vAlign w:val="bottom"/>
            <w:shd w:val="clear" w:color="auto" w:fill="CBECD5"/>
          </w:tcPr>
          <w:p>
            <w:pPr>
              <w:spacing w:after="0"/>
              <w:rPr>
                <w:sz w:val="12"/>
                <w:szCs w:val="12"/>
                <w:color w:val="auto"/>
              </w:rPr>
            </w:pPr>
          </w:p>
        </w:tc>
        <w:tc>
          <w:tcPr>
            <w:tcW w:w="860" w:type="dxa"/>
            <w:vAlign w:val="bottom"/>
            <w:shd w:val="clear" w:color="auto" w:fill="CBECD5"/>
          </w:tcPr>
          <w:p>
            <w:pPr>
              <w:spacing w:after="0"/>
              <w:rPr>
                <w:sz w:val="12"/>
                <w:szCs w:val="12"/>
                <w:color w:val="auto"/>
              </w:rPr>
            </w:pPr>
          </w:p>
        </w:tc>
        <w:tc>
          <w:tcPr>
            <w:tcW w:w="180" w:type="dxa"/>
            <w:vAlign w:val="bottom"/>
            <w:shd w:val="clear" w:color="auto" w:fill="CBECD5"/>
          </w:tcPr>
          <w:p>
            <w:pPr>
              <w:ind w:left="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BECD5"/>
          </w:tcPr>
          <w:p>
            <w:pPr>
              <w:jc w:val="right"/>
              <w:spacing w:after="0"/>
              <w:rPr>
                <w:sz w:val="20"/>
                <w:szCs w:val="20"/>
                <w:color w:val="auto"/>
              </w:rPr>
            </w:pPr>
            <w:r>
              <w:rPr>
                <w:rFonts w:ascii="Arial" w:cs="Arial" w:eastAsia="Arial" w:hAnsi="Arial"/>
                <w:sz w:val="13"/>
                <w:szCs w:val="13"/>
                <w:color w:val="auto"/>
              </w:rPr>
              <w:t>— ​​</w:t>
            </w:r>
          </w:p>
        </w:tc>
        <w:tc>
          <w:tcPr>
            <w:tcW w:w="5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BECD5"/>
          </w:tcPr>
          <w:p>
            <w:pPr>
              <w:ind w:left="20"/>
              <w:spacing w:after="0"/>
              <w:rPr>
                <w:sz w:val="20"/>
                <w:szCs w:val="20"/>
                <w:color w:val="auto"/>
              </w:rPr>
            </w:pPr>
            <w:r>
              <w:rPr>
                <w:rFonts w:ascii="Arial" w:cs="Arial" w:eastAsia="Arial" w:hAnsi="Arial"/>
                <w:sz w:val="13"/>
                <w:szCs w:val="13"/>
                <w:color w:val="auto"/>
              </w:rPr>
              <w:t>​​8/29/2023 ​​</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7,498</w:t>
            </w: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394,845</w:t>
            </w:r>
          </w:p>
        </w:tc>
        <w:tc>
          <w:tcPr>
            <w:tcW w:w="180" w:type="dxa"/>
            <w:vAlign w:val="bottom"/>
            <w:shd w:val="clear" w:color="auto" w:fill="CBECD5"/>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7,086</w:t>
            </w:r>
          </w:p>
        </w:tc>
        <w:tc>
          <w:tcPr>
            <w:tcW w:w="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373,149</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0" w:type="dxa"/>
            <w:vAlign w:val="bottom"/>
            <w:tcBorders>
              <w:bottom w:val="single" w:sz="8" w:color="CBECD5"/>
            </w:tcBorders>
            <w:shd w:val="clear" w:color="auto" w:fill="CBECD5"/>
          </w:tcPr>
          <w:p>
            <w:pPr>
              <w:spacing w:after="0"/>
              <w:rPr>
                <w:sz w:val="14"/>
                <w:szCs w:val="14"/>
                <w:color w:val="auto"/>
              </w:rPr>
            </w:pPr>
          </w:p>
        </w:tc>
        <w:tc>
          <w:tcPr>
            <w:tcW w:w="280" w:type="dxa"/>
            <w:vAlign w:val="bottom"/>
            <w:tcBorders>
              <w:bottom w:val="single" w:sz="8" w:color="CBECD5"/>
            </w:tcBorders>
            <w:shd w:val="clear" w:color="auto" w:fill="CBECD5"/>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BECD5"/>
            </w:tcBorders>
            <w:shd w:val="clear" w:color="auto" w:fill="CBECD5"/>
          </w:tcPr>
          <w:p>
            <w:pPr>
              <w:spacing w:after="0"/>
              <w:rPr>
                <w:sz w:val="14"/>
                <w:szCs w:val="14"/>
                <w:color w:val="auto"/>
              </w:rPr>
            </w:pPr>
          </w:p>
        </w:tc>
        <w:tc>
          <w:tcPr>
            <w:tcW w:w="120" w:type="dxa"/>
            <w:vAlign w:val="bottom"/>
            <w:tcBorders>
              <w:bottom w:val="single" w:sz="8" w:color="CBECD5"/>
            </w:tcBorders>
            <w:shd w:val="clear" w:color="auto" w:fill="CBECD5"/>
          </w:tcPr>
          <w:p>
            <w:pPr>
              <w:spacing w:after="0"/>
              <w:rPr>
                <w:sz w:val="14"/>
                <w:szCs w:val="14"/>
                <w:color w:val="auto"/>
              </w:rPr>
            </w:pPr>
          </w:p>
        </w:tc>
        <w:tc>
          <w:tcPr>
            <w:tcW w:w="40" w:type="dxa"/>
            <w:vAlign w:val="bottom"/>
            <w:tcBorders>
              <w:bottom w:val="single" w:sz="8" w:color="CBECD5"/>
            </w:tcBorders>
            <w:shd w:val="clear" w:color="auto" w:fill="CBECD5"/>
          </w:tcPr>
          <w:p>
            <w:pPr>
              <w:spacing w:after="0"/>
              <w:rPr>
                <w:sz w:val="14"/>
                <w:szCs w:val="14"/>
                <w:color w:val="auto"/>
              </w:rPr>
            </w:pPr>
          </w:p>
        </w:tc>
        <w:tc>
          <w:tcPr>
            <w:tcW w:w="860" w:type="dxa"/>
            <w:vAlign w:val="bottom"/>
            <w:tcBorders>
              <w:bottom w:val="single" w:sz="8" w:color="CBECD5"/>
            </w:tcBorders>
            <w:shd w:val="clear" w:color="auto" w:fill="CBECD5"/>
          </w:tcPr>
          <w:p>
            <w:pPr>
              <w:spacing w:after="0"/>
              <w:rPr>
                <w:sz w:val="14"/>
                <w:szCs w:val="14"/>
                <w:color w:val="auto"/>
              </w:rPr>
            </w:pPr>
          </w:p>
        </w:tc>
        <w:tc>
          <w:tcPr>
            <w:tcW w:w="180" w:type="dxa"/>
            <w:vAlign w:val="bottom"/>
            <w:tcBorders>
              <w:bottom w:val="single" w:sz="8" w:color="CBECD5"/>
            </w:tcBorders>
            <w:shd w:val="clear" w:color="auto" w:fill="CBECD5"/>
          </w:tcPr>
          <w:p>
            <w:pPr>
              <w:ind w:left="4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BECD5"/>
            </w:tcBorders>
            <w:gridSpan w:val="2"/>
            <w:shd w:val="clear" w:color="auto" w:fill="CBECD5"/>
          </w:tcPr>
          <w:p>
            <w:pPr>
              <w:jc w:val="right"/>
              <w:spacing w:after="0"/>
              <w:rPr>
                <w:sz w:val="20"/>
                <w:szCs w:val="20"/>
                <w:color w:val="auto"/>
              </w:rPr>
            </w:pPr>
            <w:r>
              <w:rPr>
                <w:rFonts w:ascii="Arial" w:cs="Arial" w:eastAsia="Arial" w:hAnsi="Arial"/>
                <w:sz w:val="13"/>
                <w:szCs w:val="13"/>
                <w:color w:val="auto"/>
              </w:rPr>
              <w:t>— ​​</w:t>
            </w:r>
          </w:p>
        </w:tc>
        <w:tc>
          <w:tcPr>
            <w:tcW w:w="54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BECD5"/>
            </w:tcBorders>
            <w:gridSpan w:val="2"/>
            <w:shd w:val="clear" w:color="auto" w:fill="CBECD5"/>
          </w:tcPr>
          <w:p>
            <w:pPr>
              <w:ind w:left="20"/>
              <w:spacing w:after="0"/>
              <w:rPr>
                <w:sz w:val="20"/>
                <w:szCs w:val="20"/>
                <w:color w:val="auto"/>
              </w:rPr>
            </w:pPr>
            <w:r>
              <w:rPr>
                <w:rFonts w:ascii="Arial" w:cs="Arial" w:eastAsia="Arial" w:hAnsi="Arial"/>
                <w:sz w:val="13"/>
                <w:szCs w:val="13"/>
                <w:color w:val="auto"/>
              </w:rPr>
              <w:t>​​8/15/2024 ​​</w:t>
            </w:r>
          </w:p>
        </w:tc>
        <w:tc>
          <w:tcPr>
            <w:tcW w:w="70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13,053</w:t>
            </w:r>
          </w:p>
        </w:tc>
        <w:tc>
          <w:tcPr>
            <w:tcW w:w="80" w:type="dxa"/>
            <w:vAlign w:val="bottom"/>
            <w:tcBorders>
              <w:bottom w:val="single" w:sz="8" w:color="CBECD5"/>
            </w:tcBorders>
            <w:shd w:val="clear" w:color="auto" w:fill="CBECD5"/>
          </w:tcPr>
          <w:p>
            <w:pPr>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687,371</w:t>
            </w:r>
          </w:p>
        </w:tc>
        <w:tc>
          <w:tcPr>
            <w:tcW w:w="180" w:type="dxa"/>
            <w:vAlign w:val="bottom"/>
            <w:tcBorders>
              <w:bottom w:val="single" w:sz="8" w:color="CBECD5"/>
            </w:tcBorders>
            <w:shd w:val="clear" w:color="auto" w:fill="CBECD5"/>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11,604</w:t>
            </w:r>
          </w:p>
        </w:tc>
        <w:tc>
          <w:tcPr>
            <w:tcW w:w="8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611,067</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80" w:type="dxa"/>
            <w:vAlign w:val="bottom"/>
          </w:tcPr>
          <w:p>
            <w:pPr>
              <w:spacing w:after="0" w:line="136" w:lineRule="exact"/>
              <w:rPr>
                <w:sz w:val="20"/>
                <w:szCs w:val="20"/>
                <w:color w:val="auto"/>
              </w:rPr>
            </w:pPr>
            <w:r>
              <w:rPr>
                <w:rFonts w:ascii="Arial" w:cs="Arial" w:eastAsia="Arial" w:hAnsi="Arial"/>
                <w:sz w:val="13"/>
                <w:szCs w:val="13"/>
                <w:color w:val="auto"/>
              </w:rPr>
              <w:t>Ken​</w:t>
            </w:r>
          </w:p>
        </w:tc>
        <w:tc>
          <w:tcPr>
            <w:tcW w:w="1100" w:type="dxa"/>
            <w:vAlign w:val="bottom"/>
            <w:gridSpan w:val="4"/>
          </w:tcPr>
          <w:p>
            <w:pPr>
              <w:jc w:val="right"/>
              <w:ind w:right="493"/>
              <w:spacing w:after="0" w:line="136" w:lineRule="exact"/>
              <w:rPr>
                <w:sz w:val="20"/>
                <w:szCs w:val="20"/>
                <w:color w:val="auto"/>
              </w:rPr>
            </w:pPr>
            <w:r>
              <w:rPr>
                <w:rFonts w:ascii="Arial" w:cs="Arial" w:eastAsia="Arial" w:hAnsi="Arial"/>
                <w:sz w:val="13"/>
                <w:szCs w:val="13"/>
                <w:color w:val="auto"/>
                <w:w w:val="97"/>
              </w:rPr>
              <w:t>E. Arnold</w:t>
            </w:r>
          </w:p>
        </w:tc>
        <w:tc>
          <w:tcPr>
            <w:tcW w:w="74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 2/18/2019</w:t>
            </w:r>
          </w:p>
        </w:tc>
        <w:tc>
          <w:tcPr>
            <w:tcW w:w="120" w:type="dxa"/>
            <w:vAlign w:val="bottom"/>
          </w:tcPr>
          <w:p>
            <w:pPr>
              <w:ind w:left="20"/>
              <w:spacing w:after="0" w:line="136"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7,908</w:t>
            </w:r>
          </w:p>
        </w:tc>
        <w:tc>
          <w:tcPr>
            <w:tcW w:w="120" w:type="dxa"/>
            <w:vAlign w:val="bottom"/>
          </w:tcPr>
          <w:p>
            <w:pPr>
              <w:ind w:left="20"/>
              <w:spacing w:after="0" w:line="136"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 ​​</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44.12</w:t>
            </w:r>
          </w:p>
        </w:tc>
        <w:tc>
          <w:tcPr>
            <w:tcW w:w="120" w:type="dxa"/>
            <w:vAlign w:val="bottom"/>
          </w:tcPr>
          <w:p>
            <w:pPr>
              <w:ind w:left="20"/>
              <w:spacing w:after="0" w:line="136"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2/17/2029</w:t>
            </w:r>
          </w:p>
        </w:tc>
        <w:tc>
          <w:tcPr>
            <w:tcW w:w="140" w:type="dxa"/>
            <w:vAlign w:val="bottom"/>
          </w:tcPr>
          <w:p>
            <w:pPr>
              <w:ind w:left="20"/>
              <w:spacing w:after="0" w:line="136"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 ​​</w:t>
            </w:r>
          </w:p>
        </w:tc>
        <w:tc>
          <w:tcPr>
            <w:tcW w:w="70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6"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3"/>
              <w:spacing w:after="0" w:line="136" w:lineRule="exact"/>
              <w:rPr>
                <w:sz w:val="20"/>
                <w:szCs w:val="20"/>
                <w:color w:val="auto"/>
              </w:rPr>
            </w:pPr>
            <w:r>
              <w:rPr>
                <w:rFonts w:ascii="Arial" w:cs="Arial" w:eastAsia="Arial" w:hAnsi="Arial"/>
                <w:sz w:val="13"/>
                <w:szCs w:val="13"/>
                <w:color w:val="auto"/>
              </w:rPr>
              <w:t>— ​​</w:t>
            </w:r>
          </w:p>
        </w:tc>
        <w:tc>
          <w:tcPr>
            <w:tcW w:w="9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 ​​</w:t>
            </w:r>
          </w:p>
        </w:tc>
        <w:tc>
          <w:tcPr>
            <w:tcW w:w="9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4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auto"/>
              </w:rPr>
              <w:t>​​ 8/14/2019</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12,404</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540" w:type="dxa"/>
            <w:vAlign w:val="bottom"/>
          </w:tcPr>
          <w:p>
            <w:pPr>
              <w:jc w:val="right"/>
              <w:spacing w:after="0"/>
              <w:rPr>
                <w:sz w:val="20"/>
                <w:szCs w:val="20"/>
                <w:color w:val="auto"/>
              </w:rPr>
            </w:pPr>
            <w:r>
              <w:rPr>
                <w:rFonts w:ascii="Arial" w:cs="Arial" w:eastAsia="Arial" w:hAnsi="Arial"/>
                <w:sz w:val="13"/>
                <w:szCs w:val="13"/>
                <w:color w:val="auto"/>
              </w:rPr>
              <w:t>39.72</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8/13/2029</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​​8/30/2022 ​​</w:t>
            </w:r>
          </w:p>
        </w:tc>
        <w:tc>
          <w:tcPr>
            <w:tcW w:w="700" w:type="dxa"/>
            <w:vAlign w:val="bottom"/>
          </w:tcPr>
          <w:p>
            <w:pPr>
              <w:jc w:val="right"/>
              <w:spacing w:after="0"/>
              <w:rPr>
                <w:sz w:val="20"/>
                <w:szCs w:val="20"/>
                <w:color w:val="auto"/>
              </w:rPr>
            </w:pPr>
            <w:r>
              <w:rPr>
                <w:rFonts w:ascii="Arial" w:cs="Arial" w:eastAsia="Arial" w:hAnsi="Arial"/>
                <w:sz w:val="13"/>
                <w:szCs w:val="13"/>
                <w:color w:val="auto"/>
              </w:rPr>
              <w:t>2,699</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142,129</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auto"/>
              </w:rPr>
              <w:t>​​11/16/2020</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33,604</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540" w:type="dxa"/>
            <w:vAlign w:val="bottom"/>
          </w:tcPr>
          <w:p>
            <w:pPr>
              <w:jc w:val="right"/>
              <w:spacing w:after="0"/>
              <w:rPr>
                <w:sz w:val="20"/>
                <w:szCs w:val="20"/>
                <w:color w:val="auto"/>
              </w:rPr>
            </w:pPr>
            <w:r>
              <w:rPr>
                <w:rFonts w:ascii="Arial" w:cs="Arial" w:eastAsia="Arial" w:hAnsi="Arial"/>
                <w:sz w:val="13"/>
                <w:szCs w:val="13"/>
                <w:color w:val="auto"/>
              </w:rPr>
              <w:t>29.85</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​​11/15/2030</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​​8/29/2023 ​​</w:t>
            </w:r>
          </w:p>
        </w:tc>
        <w:tc>
          <w:tcPr>
            <w:tcW w:w="700" w:type="dxa"/>
            <w:vAlign w:val="bottom"/>
          </w:tcPr>
          <w:p>
            <w:pPr>
              <w:jc w:val="right"/>
              <w:spacing w:after="0"/>
              <w:rPr>
                <w:sz w:val="20"/>
                <w:szCs w:val="20"/>
                <w:color w:val="auto"/>
              </w:rPr>
            </w:pPr>
            <w:r>
              <w:rPr>
                <w:rFonts w:ascii="Arial" w:cs="Arial" w:eastAsia="Arial" w:hAnsi="Arial"/>
                <w:sz w:val="13"/>
                <w:szCs w:val="13"/>
                <w:color w:val="auto"/>
              </w:rPr>
              <w:t>5,998</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315,855</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5,670 ​​</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298,582 ​</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auto"/>
              </w:rPr>
              <w:t>​​ 8/23/2021</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23,310</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7,770 ​​</w:t>
            </w:r>
          </w:p>
        </w:tc>
        <w:tc>
          <w:tcPr>
            <w:tcW w:w="540" w:type="dxa"/>
            <w:vAlign w:val="bottom"/>
          </w:tcPr>
          <w:p>
            <w:pPr>
              <w:jc w:val="right"/>
              <w:spacing w:after="0"/>
              <w:rPr>
                <w:sz w:val="20"/>
                <w:szCs w:val="20"/>
                <w:color w:val="auto"/>
              </w:rPr>
            </w:pPr>
            <w:r>
              <w:rPr>
                <w:rFonts w:ascii="Arial" w:cs="Arial" w:eastAsia="Arial" w:hAnsi="Arial"/>
                <w:sz w:val="13"/>
                <w:szCs w:val="13"/>
                <w:color w:val="auto"/>
              </w:rPr>
              <w:t>39.62</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8/22/2031</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​​8/15/2024 ​​</w:t>
            </w:r>
          </w:p>
        </w:tc>
        <w:tc>
          <w:tcPr>
            <w:tcW w:w="700" w:type="dxa"/>
            <w:vAlign w:val="bottom"/>
          </w:tcPr>
          <w:p>
            <w:pPr>
              <w:jc w:val="right"/>
              <w:spacing w:after="0"/>
              <w:rPr>
                <w:sz w:val="20"/>
                <w:szCs w:val="20"/>
                <w:color w:val="auto"/>
              </w:rPr>
            </w:pPr>
            <w:r>
              <w:rPr>
                <w:rFonts w:ascii="Arial" w:cs="Arial" w:eastAsia="Arial" w:hAnsi="Arial"/>
                <w:sz w:val="13"/>
                <w:szCs w:val="13"/>
                <w:color w:val="auto"/>
              </w:rPr>
              <w:t>9,276</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488,474</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8,245 ​​</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434,182 ​</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36"/>
        </w:trPr>
        <w:tc>
          <w:tcPr>
            <w:tcW w:w="40" w:type="dxa"/>
            <w:vAlign w:val="bottom"/>
            <w:shd w:val="clear" w:color="auto" w:fill="CBECD5"/>
          </w:tcPr>
          <w:p>
            <w:pPr>
              <w:spacing w:after="0"/>
              <w:rPr>
                <w:sz w:val="11"/>
                <w:szCs w:val="11"/>
                <w:color w:val="auto"/>
              </w:rPr>
            </w:pPr>
          </w:p>
        </w:tc>
        <w:tc>
          <w:tcPr>
            <w:tcW w:w="280" w:type="dxa"/>
            <w:vAlign w:val="bottom"/>
            <w:shd w:val="clear" w:color="auto" w:fill="CBECD5"/>
          </w:tcPr>
          <w:p>
            <w:pPr>
              <w:spacing w:after="0" w:line="136" w:lineRule="exact"/>
              <w:rPr>
                <w:sz w:val="20"/>
                <w:szCs w:val="20"/>
                <w:color w:val="auto"/>
              </w:rPr>
            </w:pPr>
            <w:r>
              <w:rPr>
                <w:rFonts w:ascii="Arial" w:cs="Arial" w:eastAsia="Arial" w:hAnsi="Arial"/>
                <w:sz w:val="13"/>
                <w:szCs w:val="13"/>
                <w:color w:val="auto"/>
              </w:rPr>
              <w:t>Max​</w:t>
            </w:r>
          </w:p>
        </w:tc>
        <w:tc>
          <w:tcPr>
            <w:tcW w:w="1100" w:type="dxa"/>
            <w:vAlign w:val="bottom"/>
            <w:gridSpan w:val="4"/>
            <w:shd w:val="clear" w:color="auto" w:fill="CBECD5"/>
          </w:tcPr>
          <w:p>
            <w:pPr>
              <w:jc w:val="right"/>
              <w:ind w:right="693"/>
              <w:spacing w:after="0" w:line="136" w:lineRule="exact"/>
              <w:rPr>
                <w:sz w:val="20"/>
                <w:szCs w:val="20"/>
                <w:color w:val="auto"/>
              </w:rPr>
            </w:pPr>
            <w:r>
              <w:rPr>
                <w:rFonts w:ascii="Arial" w:cs="Arial" w:eastAsia="Arial" w:hAnsi="Arial"/>
                <w:sz w:val="13"/>
                <w:szCs w:val="13"/>
                <w:color w:val="auto"/>
              </w:rPr>
              <w:t>Chan</w:t>
            </w:r>
          </w:p>
        </w:tc>
        <w:tc>
          <w:tcPr>
            <w:tcW w:w="180" w:type="dxa"/>
            <w:vAlign w:val="bottom"/>
            <w:shd w:val="clear" w:color="auto" w:fill="CBECD5"/>
          </w:tcPr>
          <w:p>
            <w:pPr>
              <w:ind w:left="40"/>
              <w:spacing w:after="0" w:line="136" w:lineRule="exact"/>
              <w:rPr>
                <w:sz w:val="20"/>
                <w:szCs w:val="20"/>
                <w:color w:val="auto"/>
              </w:rPr>
            </w:pPr>
            <w:r>
              <w:rPr>
                <w:rFonts w:ascii="Arial" w:cs="Arial" w:eastAsia="Arial" w:hAnsi="Arial"/>
                <w:sz w:val="13"/>
                <w:szCs w:val="13"/>
                <w:color w:val="auto"/>
              </w:rPr>
              <w:t>​​</w:t>
            </w:r>
          </w:p>
        </w:tc>
        <w:tc>
          <w:tcPr>
            <w:tcW w:w="560" w:type="dxa"/>
            <w:vAlign w:val="bottom"/>
            <w:shd w:val="clear" w:color="auto" w:fill="CBECD5"/>
          </w:tcPr>
          <w:p>
            <w:pPr>
              <w:jc w:val="right"/>
              <w:spacing w:after="0" w:line="136" w:lineRule="exact"/>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line="136" w:lineRule="exact"/>
              <w:rPr>
                <w:sz w:val="20"/>
                <w:szCs w:val="20"/>
                <w:color w:val="auto"/>
              </w:rPr>
            </w:pPr>
            <w:r>
              <w:rPr>
                <w:rFonts w:ascii="Arial" w:cs="Arial" w:eastAsia="Arial" w:hAnsi="Arial"/>
                <w:sz w:val="13"/>
                <w:szCs w:val="13"/>
                <w:color w:val="auto"/>
              </w:rPr>
              <w:t>​​</w:t>
            </w:r>
          </w:p>
        </w:tc>
        <w:tc>
          <w:tcPr>
            <w:tcW w:w="780" w:type="dxa"/>
            <w:vAlign w:val="bottom"/>
            <w:shd w:val="clear" w:color="auto" w:fill="CBECD5"/>
          </w:tcPr>
          <w:p>
            <w:pPr>
              <w:jc w:val="right"/>
              <w:spacing w:after="0" w:line="136" w:lineRule="exact"/>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line="136"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BECD5"/>
          </w:tcPr>
          <w:p>
            <w:pPr>
              <w:jc w:val="right"/>
              <w:spacing w:after="0" w:line="136" w:lineRule="exact"/>
              <w:rPr>
                <w:sz w:val="20"/>
                <w:szCs w:val="20"/>
                <w:color w:val="auto"/>
              </w:rPr>
            </w:pPr>
            <w:r>
              <w:rPr>
                <w:rFonts w:ascii="Arial" w:cs="Arial" w:eastAsia="Arial" w:hAnsi="Arial"/>
                <w:sz w:val="13"/>
                <w:szCs w:val="13"/>
                <w:color w:val="auto"/>
              </w:rPr>
              <w:t>— ​​</w:t>
            </w:r>
          </w:p>
        </w:tc>
        <w:tc>
          <w:tcPr>
            <w:tcW w:w="540" w:type="dxa"/>
            <w:vAlign w:val="bottom"/>
            <w:shd w:val="clear" w:color="auto" w:fill="CBECD5"/>
          </w:tcPr>
          <w:p>
            <w:pPr>
              <w:jc w:val="right"/>
              <w:spacing w:after="0" w:line="136" w:lineRule="exact"/>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line="136" w:lineRule="exact"/>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line="136"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BECD5"/>
          </w:tcPr>
          <w:p>
            <w:pPr>
              <w:ind w:left="20"/>
              <w:spacing w:after="0" w:line="136" w:lineRule="exact"/>
              <w:rPr>
                <w:sz w:val="20"/>
                <w:szCs w:val="20"/>
                <w:color w:val="auto"/>
              </w:rPr>
            </w:pPr>
            <w:r>
              <w:rPr>
                <w:rFonts w:ascii="Arial" w:cs="Arial" w:eastAsia="Arial" w:hAnsi="Arial"/>
                <w:sz w:val="13"/>
                <w:szCs w:val="13"/>
                <w:color w:val="auto"/>
              </w:rPr>
              <w:t>​​8/30/2022 ​​</w:t>
            </w:r>
          </w:p>
        </w:tc>
        <w:tc>
          <w:tcPr>
            <w:tcW w:w="700" w:type="dxa"/>
            <w:vAlign w:val="bottom"/>
            <w:shd w:val="clear" w:color="auto" w:fill="CBECD5"/>
          </w:tcPr>
          <w:p>
            <w:pPr>
              <w:jc w:val="right"/>
              <w:spacing w:after="0" w:line="136" w:lineRule="exact"/>
              <w:rPr>
                <w:sz w:val="20"/>
                <w:szCs w:val="20"/>
                <w:color w:val="auto"/>
              </w:rPr>
            </w:pPr>
            <w:r>
              <w:rPr>
                <w:rFonts w:ascii="Arial" w:cs="Arial" w:eastAsia="Arial" w:hAnsi="Arial"/>
                <w:sz w:val="13"/>
                <w:szCs w:val="13"/>
                <w:color w:val="auto"/>
              </w:rPr>
              <w:t>1,420</w:t>
            </w:r>
          </w:p>
        </w:tc>
        <w:tc>
          <w:tcPr>
            <w:tcW w:w="80" w:type="dxa"/>
            <w:vAlign w:val="bottom"/>
            <w:shd w:val="clear" w:color="auto" w:fill="CBECD5"/>
          </w:tcPr>
          <w:p>
            <w:pPr>
              <w:spacing w:after="0" w:line="136" w:lineRule="exact"/>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line="136" w:lineRule="exact"/>
              <w:rPr>
                <w:sz w:val="20"/>
                <w:szCs w:val="20"/>
                <w:color w:val="auto"/>
              </w:rPr>
            </w:pPr>
            <w:r>
              <w:rPr>
                <w:rFonts w:ascii="Arial" w:cs="Arial" w:eastAsia="Arial" w:hAnsi="Arial"/>
                <w:sz w:val="13"/>
                <w:szCs w:val="13"/>
                <w:color w:val="auto"/>
              </w:rPr>
              <w:t>74,777</w:t>
            </w:r>
          </w:p>
        </w:tc>
        <w:tc>
          <w:tcPr>
            <w:tcW w:w="180" w:type="dxa"/>
            <w:vAlign w:val="bottom"/>
            <w:shd w:val="clear" w:color="auto" w:fill="CBECD5"/>
          </w:tcPr>
          <w:p>
            <w:pPr>
              <w:jc w:val="right"/>
              <w:ind w:right="33"/>
              <w:spacing w:after="0" w:line="136"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BECD5"/>
          </w:tcPr>
          <w:p>
            <w:pPr>
              <w:jc w:val="right"/>
              <w:spacing w:after="0" w:line="136" w:lineRule="exact"/>
              <w:rPr>
                <w:sz w:val="20"/>
                <w:szCs w:val="20"/>
                <w:color w:val="auto"/>
              </w:rPr>
            </w:pPr>
            <w:r>
              <w:rPr>
                <w:rFonts w:ascii="Arial" w:cs="Arial" w:eastAsia="Arial" w:hAnsi="Arial"/>
                <w:sz w:val="13"/>
                <w:szCs w:val="13"/>
                <w:color w:val="auto"/>
              </w:rPr>
              <w:t>— ​​</w:t>
            </w:r>
          </w:p>
        </w:tc>
        <w:tc>
          <w:tcPr>
            <w:tcW w:w="960" w:type="dxa"/>
            <w:vAlign w:val="bottom"/>
            <w:shd w:val="clear" w:color="auto" w:fill="CBECD5"/>
          </w:tcPr>
          <w:p>
            <w:pPr>
              <w:jc w:val="right"/>
              <w:spacing w:after="0" w:line="136" w:lineRule="exact"/>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BECD5"/>
          </w:tcPr>
          <w:p>
            <w:pPr>
              <w:spacing w:after="0"/>
              <w:rPr>
                <w:sz w:val="14"/>
                <w:szCs w:val="14"/>
                <w:color w:val="auto"/>
              </w:rPr>
            </w:pPr>
          </w:p>
        </w:tc>
        <w:tc>
          <w:tcPr>
            <w:tcW w:w="2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BECD5"/>
          </w:tcPr>
          <w:p>
            <w:pPr>
              <w:spacing w:after="0"/>
              <w:rPr>
                <w:sz w:val="14"/>
                <w:szCs w:val="14"/>
                <w:color w:val="auto"/>
              </w:rPr>
            </w:pPr>
          </w:p>
        </w:tc>
        <w:tc>
          <w:tcPr>
            <w:tcW w:w="120" w:type="dxa"/>
            <w:vAlign w:val="bottom"/>
            <w:shd w:val="clear" w:color="auto" w:fill="CBECD5"/>
          </w:tcPr>
          <w:p>
            <w:pPr>
              <w:spacing w:after="0"/>
              <w:rPr>
                <w:sz w:val="14"/>
                <w:szCs w:val="14"/>
                <w:color w:val="auto"/>
              </w:rPr>
            </w:pPr>
          </w:p>
        </w:tc>
        <w:tc>
          <w:tcPr>
            <w:tcW w:w="40" w:type="dxa"/>
            <w:vAlign w:val="bottom"/>
            <w:shd w:val="clear" w:color="auto" w:fill="CBECD5"/>
          </w:tcPr>
          <w:p>
            <w:pPr>
              <w:spacing w:after="0"/>
              <w:rPr>
                <w:sz w:val="14"/>
                <w:szCs w:val="14"/>
                <w:color w:val="auto"/>
              </w:rPr>
            </w:pPr>
          </w:p>
        </w:tc>
        <w:tc>
          <w:tcPr>
            <w:tcW w:w="860" w:type="dxa"/>
            <w:vAlign w:val="bottom"/>
            <w:shd w:val="clear" w:color="auto" w:fill="CBECD5"/>
          </w:tcPr>
          <w:p>
            <w:pPr>
              <w:spacing w:after="0"/>
              <w:rPr>
                <w:sz w:val="14"/>
                <w:szCs w:val="14"/>
                <w:color w:val="auto"/>
              </w:rPr>
            </w:pPr>
          </w:p>
        </w:tc>
        <w:tc>
          <w:tcPr>
            <w:tcW w:w="180" w:type="dxa"/>
            <w:vAlign w:val="bottom"/>
            <w:shd w:val="clear" w:color="auto" w:fill="CBECD5"/>
          </w:tcPr>
          <w:p>
            <w:pPr>
              <w:ind w:left="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BECD5"/>
          </w:tcPr>
          <w:p>
            <w:pPr>
              <w:jc w:val="right"/>
              <w:spacing w:after="0"/>
              <w:rPr>
                <w:sz w:val="20"/>
                <w:szCs w:val="20"/>
                <w:color w:val="auto"/>
              </w:rPr>
            </w:pPr>
            <w:r>
              <w:rPr>
                <w:rFonts w:ascii="Arial" w:cs="Arial" w:eastAsia="Arial" w:hAnsi="Arial"/>
                <w:sz w:val="13"/>
                <w:szCs w:val="13"/>
                <w:color w:val="auto"/>
              </w:rPr>
              <w:t>— ​​</w:t>
            </w:r>
          </w:p>
        </w:tc>
        <w:tc>
          <w:tcPr>
            <w:tcW w:w="5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BECD5"/>
          </w:tcPr>
          <w:p>
            <w:pPr>
              <w:ind w:left="20"/>
              <w:spacing w:after="0"/>
              <w:rPr>
                <w:sz w:val="20"/>
                <w:szCs w:val="20"/>
                <w:color w:val="auto"/>
              </w:rPr>
            </w:pPr>
            <w:r>
              <w:rPr>
                <w:rFonts w:ascii="Arial" w:cs="Arial" w:eastAsia="Arial" w:hAnsi="Arial"/>
                <w:sz w:val="13"/>
                <w:szCs w:val="13"/>
                <w:color w:val="auto"/>
              </w:rPr>
              <w:t>​​8/29/2023 ​​</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3,750</w:t>
            </w: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197,475</w:t>
            </w:r>
          </w:p>
        </w:tc>
        <w:tc>
          <w:tcPr>
            <w:tcW w:w="180" w:type="dxa"/>
            <w:vAlign w:val="bottom"/>
            <w:shd w:val="clear" w:color="auto" w:fill="CBECD5"/>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BECD5"/>
          </w:tcPr>
          <w:p>
            <w:pPr>
              <w:jc w:val="right"/>
              <w:spacing w:after="0"/>
              <w:rPr>
                <w:sz w:val="20"/>
                <w:szCs w:val="20"/>
                <w:color w:val="auto"/>
              </w:rPr>
            </w:pPr>
            <w:r>
              <w:rPr>
                <w:rFonts w:ascii="Arial" w:cs="Arial" w:eastAsia="Arial" w:hAnsi="Arial"/>
                <w:sz w:val="13"/>
                <w:szCs w:val="13"/>
                <w:color w:val="auto"/>
              </w:rPr>
              <w:t>3,543 ​​</w:t>
            </w:r>
          </w:p>
        </w:tc>
        <w:tc>
          <w:tcPr>
            <w:tcW w:w="9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186,574</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0" w:type="dxa"/>
            <w:vAlign w:val="bottom"/>
            <w:tcBorders>
              <w:bottom w:val="single" w:sz="8" w:color="CBECD5"/>
            </w:tcBorders>
            <w:shd w:val="clear" w:color="auto" w:fill="CBECD5"/>
          </w:tcPr>
          <w:p>
            <w:pPr>
              <w:spacing w:after="0"/>
              <w:rPr>
                <w:sz w:val="14"/>
                <w:szCs w:val="14"/>
                <w:color w:val="auto"/>
              </w:rPr>
            </w:pPr>
          </w:p>
        </w:tc>
        <w:tc>
          <w:tcPr>
            <w:tcW w:w="280" w:type="dxa"/>
            <w:vAlign w:val="bottom"/>
            <w:tcBorders>
              <w:bottom w:val="single" w:sz="8" w:color="CBECD5"/>
            </w:tcBorders>
            <w:shd w:val="clear" w:color="auto" w:fill="CBECD5"/>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BECD5"/>
            </w:tcBorders>
            <w:shd w:val="clear" w:color="auto" w:fill="CBECD5"/>
          </w:tcPr>
          <w:p>
            <w:pPr>
              <w:spacing w:after="0"/>
              <w:rPr>
                <w:sz w:val="14"/>
                <w:szCs w:val="14"/>
                <w:color w:val="auto"/>
              </w:rPr>
            </w:pPr>
          </w:p>
        </w:tc>
        <w:tc>
          <w:tcPr>
            <w:tcW w:w="120" w:type="dxa"/>
            <w:vAlign w:val="bottom"/>
            <w:tcBorders>
              <w:bottom w:val="single" w:sz="8" w:color="CBECD5"/>
            </w:tcBorders>
            <w:shd w:val="clear" w:color="auto" w:fill="CBECD5"/>
          </w:tcPr>
          <w:p>
            <w:pPr>
              <w:spacing w:after="0"/>
              <w:rPr>
                <w:sz w:val="14"/>
                <w:szCs w:val="14"/>
                <w:color w:val="auto"/>
              </w:rPr>
            </w:pPr>
          </w:p>
        </w:tc>
        <w:tc>
          <w:tcPr>
            <w:tcW w:w="40" w:type="dxa"/>
            <w:vAlign w:val="bottom"/>
            <w:tcBorders>
              <w:bottom w:val="single" w:sz="8" w:color="CBECD5"/>
            </w:tcBorders>
            <w:shd w:val="clear" w:color="auto" w:fill="CBECD5"/>
          </w:tcPr>
          <w:p>
            <w:pPr>
              <w:spacing w:after="0"/>
              <w:rPr>
                <w:sz w:val="14"/>
                <w:szCs w:val="14"/>
                <w:color w:val="auto"/>
              </w:rPr>
            </w:pPr>
          </w:p>
        </w:tc>
        <w:tc>
          <w:tcPr>
            <w:tcW w:w="860" w:type="dxa"/>
            <w:vAlign w:val="bottom"/>
            <w:tcBorders>
              <w:bottom w:val="single" w:sz="8" w:color="CBECD5"/>
            </w:tcBorders>
            <w:shd w:val="clear" w:color="auto" w:fill="CBECD5"/>
          </w:tcPr>
          <w:p>
            <w:pPr>
              <w:spacing w:after="0"/>
              <w:rPr>
                <w:sz w:val="14"/>
                <w:szCs w:val="14"/>
                <w:color w:val="auto"/>
              </w:rPr>
            </w:pPr>
          </w:p>
        </w:tc>
        <w:tc>
          <w:tcPr>
            <w:tcW w:w="740" w:type="dxa"/>
            <w:vAlign w:val="bottom"/>
            <w:tcBorders>
              <w:bottom w:val="single" w:sz="8" w:color="CBECD5"/>
            </w:tcBorders>
            <w:gridSpan w:val="2"/>
            <w:shd w:val="clear" w:color="auto" w:fill="CBECD5"/>
          </w:tcPr>
          <w:p>
            <w:pPr>
              <w:ind w:left="40"/>
              <w:spacing w:after="0"/>
              <w:rPr>
                <w:sz w:val="20"/>
                <w:szCs w:val="20"/>
                <w:color w:val="auto"/>
              </w:rPr>
            </w:pPr>
            <w:r>
              <w:rPr>
                <w:rFonts w:ascii="Arial" w:cs="Arial" w:eastAsia="Arial" w:hAnsi="Arial"/>
                <w:sz w:val="13"/>
                <w:szCs w:val="13"/>
                <w:color w:val="auto"/>
              </w:rPr>
              <w:t>​​ 8/23/2021</w:t>
            </w:r>
          </w:p>
        </w:tc>
        <w:tc>
          <w:tcPr>
            <w:tcW w:w="12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4,613</w:t>
            </w:r>
          </w:p>
        </w:tc>
        <w:tc>
          <w:tcPr>
            <w:tcW w:w="12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BECD5"/>
            </w:tcBorders>
            <w:gridSpan w:val="2"/>
            <w:shd w:val="clear" w:color="auto" w:fill="CBECD5"/>
          </w:tcPr>
          <w:p>
            <w:pPr>
              <w:jc w:val="right"/>
              <w:spacing w:after="0"/>
              <w:rPr>
                <w:sz w:val="20"/>
                <w:szCs w:val="20"/>
                <w:color w:val="auto"/>
              </w:rPr>
            </w:pPr>
            <w:r>
              <w:rPr>
                <w:rFonts w:ascii="Arial" w:cs="Arial" w:eastAsia="Arial" w:hAnsi="Arial"/>
                <w:sz w:val="13"/>
                <w:szCs w:val="13"/>
                <w:color w:val="auto"/>
              </w:rPr>
              <w:t>4,613 ​​</w:t>
            </w:r>
          </w:p>
        </w:tc>
        <w:tc>
          <w:tcPr>
            <w:tcW w:w="54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39.62</w:t>
            </w:r>
          </w:p>
        </w:tc>
        <w:tc>
          <w:tcPr>
            <w:tcW w:w="12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8/22/2031</w:t>
            </w:r>
          </w:p>
        </w:tc>
        <w:tc>
          <w:tcPr>
            <w:tcW w:w="760" w:type="dxa"/>
            <w:vAlign w:val="bottom"/>
            <w:tcBorders>
              <w:bottom w:val="single" w:sz="8" w:color="CBECD5"/>
            </w:tcBorders>
            <w:gridSpan w:val="2"/>
            <w:shd w:val="clear" w:color="auto" w:fill="CBECD5"/>
          </w:tcPr>
          <w:p>
            <w:pPr>
              <w:ind w:left="20"/>
              <w:spacing w:after="0"/>
              <w:rPr>
                <w:sz w:val="20"/>
                <w:szCs w:val="20"/>
                <w:color w:val="auto"/>
              </w:rPr>
            </w:pPr>
            <w:r>
              <w:rPr>
                <w:rFonts w:ascii="Arial" w:cs="Arial" w:eastAsia="Arial" w:hAnsi="Arial"/>
                <w:sz w:val="13"/>
                <w:szCs w:val="13"/>
                <w:color w:val="auto"/>
              </w:rPr>
              <w:t>​​8/15/2024 ​​</w:t>
            </w:r>
          </w:p>
        </w:tc>
        <w:tc>
          <w:tcPr>
            <w:tcW w:w="70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5,841</w:t>
            </w:r>
          </w:p>
        </w:tc>
        <w:tc>
          <w:tcPr>
            <w:tcW w:w="80" w:type="dxa"/>
            <w:vAlign w:val="bottom"/>
            <w:tcBorders>
              <w:bottom w:val="single" w:sz="8" w:color="CBECD5"/>
            </w:tcBorders>
            <w:shd w:val="clear" w:color="auto" w:fill="CBECD5"/>
          </w:tcPr>
          <w:p>
            <w:pPr>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307,587</w:t>
            </w:r>
          </w:p>
        </w:tc>
        <w:tc>
          <w:tcPr>
            <w:tcW w:w="180" w:type="dxa"/>
            <w:vAlign w:val="bottom"/>
            <w:tcBorders>
              <w:bottom w:val="single" w:sz="8" w:color="CBECD5"/>
            </w:tcBorders>
            <w:shd w:val="clear" w:color="auto" w:fill="CBECD5"/>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BECD5"/>
            </w:tcBorders>
            <w:gridSpan w:val="2"/>
            <w:shd w:val="clear" w:color="auto" w:fill="CBECD5"/>
          </w:tcPr>
          <w:p>
            <w:pPr>
              <w:jc w:val="right"/>
              <w:spacing w:after="0"/>
              <w:rPr>
                <w:sz w:val="20"/>
                <w:szCs w:val="20"/>
                <w:color w:val="auto"/>
              </w:rPr>
            </w:pPr>
            <w:r>
              <w:rPr>
                <w:rFonts w:ascii="Arial" w:cs="Arial" w:eastAsia="Arial" w:hAnsi="Arial"/>
                <w:sz w:val="13"/>
                <w:szCs w:val="13"/>
                <w:color w:val="auto"/>
              </w:rPr>
              <w:t>5,191 ​​</w:t>
            </w:r>
          </w:p>
        </w:tc>
        <w:tc>
          <w:tcPr>
            <w:tcW w:w="96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273,358</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480" w:type="dxa"/>
            <w:vAlign w:val="bottom"/>
            <w:gridSpan w:val="3"/>
          </w:tcPr>
          <w:p>
            <w:pPr>
              <w:spacing w:after="0" w:line="136" w:lineRule="exact"/>
              <w:rPr>
                <w:sz w:val="20"/>
                <w:szCs w:val="20"/>
                <w:color w:val="auto"/>
              </w:rPr>
            </w:pPr>
            <w:r>
              <w:rPr>
                <w:rFonts w:ascii="Arial" w:cs="Arial" w:eastAsia="Arial" w:hAnsi="Arial"/>
                <w:sz w:val="13"/>
                <w:szCs w:val="13"/>
                <w:color w:val="auto"/>
              </w:rPr>
              <w:t>Michael​</w:t>
            </w:r>
          </w:p>
        </w:tc>
        <w:tc>
          <w:tcPr>
            <w:tcW w:w="900" w:type="dxa"/>
            <w:vAlign w:val="bottom"/>
            <w:gridSpan w:val="2"/>
          </w:tcPr>
          <w:p>
            <w:pPr>
              <w:jc w:val="right"/>
              <w:ind w:right="233"/>
              <w:spacing w:after="0" w:line="136" w:lineRule="exact"/>
              <w:rPr>
                <w:sz w:val="20"/>
                <w:szCs w:val="20"/>
                <w:color w:val="auto"/>
              </w:rPr>
            </w:pPr>
            <w:r>
              <w:rPr>
                <w:rFonts w:ascii="Arial" w:cs="Arial" w:eastAsia="Arial" w:hAnsi="Arial"/>
                <w:sz w:val="13"/>
                <w:szCs w:val="13"/>
                <w:color w:val="auto"/>
              </w:rPr>
              <w:t>R. McCoy</w:t>
            </w:r>
          </w:p>
        </w:tc>
        <w:tc>
          <w:tcPr>
            <w:tcW w:w="180" w:type="dxa"/>
            <w:vAlign w:val="bottom"/>
          </w:tcPr>
          <w:p>
            <w:pPr>
              <w:ind w:left="4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120" w:type="dxa"/>
            <w:vAlign w:val="bottom"/>
          </w:tcPr>
          <w:p>
            <w:pPr>
              <w:ind w:left="20"/>
              <w:spacing w:after="0" w:line="136"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120" w:type="dxa"/>
            <w:vAlign w:val="bottom"/>
          </w:tcPr>
          <w:p>
            <w:pPr>
              <w:ind w:left="20"/>
              <w:spacing w:after="0" w:line="136"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 ​​</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120" w:type="dxa"/>
            <w:vAlign w:val="bottom"/>
          </w:tcPr>
          <w:p>
            <w:pPr>
              <w:ind w:left="20"/>
              <w:spacing w:after="0" w:line="136"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7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​​8/30/2022 ​​</w:t>
            </w:r>
          </w:p>
        </w:tc>
        <w:tc>
          <w:tcPr>
            <w:tcW w:w="700" w:type="dxa"/>
            <w:vAlign w:val="bottom"/>
          </w:tcPr>
          <w:p>
            <w:pPr>
              <w:jc w:val="right"/>
              <w:spacing w:after="0" w:line="136" w:lineRule="exact"/>
              <w:rPr>
                <w:sz w:val="20"/>
                <w:szCs w:val="20"/>
                <w:color w:val="auto"/>
              </w:rPr>
            </w:pPr>
            <w:r>
              <w:rPr>
                <w:rFonts w:ascii="Arial" w:cs="Arial" w:eastAsia="Arial" w:hAnsi="Arial"/>
                <w:sz w:val="13"/>
                <w:szCs w:val="13"/>
                <w:color w:val="auto"/>
              </w:rPr>
              <w:t>2,983</w:t>
            </w:r>
          </w:p>
        </w:tc>
        <w:tc>
          <w:tcPr>
            <w:tcW w:w="80" w:type="dxa"/>
            <w:vAlign w:val="bottom"/>
          </w:tcPr>
          <w:p>
            <w:pPr>
              <w:spacing w:after="0" w:line="136"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157,085</w:t>
            </w:r>
          </w:p>
        </w:tc>
        <w:tc>
          <w:tcPr>
            <w:tcW w:w="180" w:type="dxa"/>
            <w:vAlign w:val="bottom"/>
          </w:tcPr>
          <w:p>
            <w:pPr>
              <w:jc w:val="right"/>
              <w:ind w:right="33"/>
              <w:spacing w:after="0" w:line="136"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 ​​</w:t>
            </w:r>
          </w:p>
        </w:tc>
        <w:tc>
          <w:tcPr>
            <w:tcW w:w="9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4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auto"/>
              </w:rPr>
              <w:t>​​11/16/2020</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36,292</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540" w:type="dxa"/>
            <w:vAlign w:val="bottom"/>
          </w:tcPr>
          <w:p>
            <w:pPr>
              <w:jc w:val="right"/>
              <w:spacing w:after="0"/>
              <w:rPr>
                <w:sz w:val="20"/>
                <w:szCs w:val="20"/>
                <w:color w:val="auto"/>
              </w:rPr>
            </w:pPr>
            <w:r>
              <w:rPr>
                <w:rFonts w:ascii="Arial" w:cs="Arial" w:eastAsia="Arial" w:hAnsi="Arial"/>
                <w:sz w:val="13"/>
                <w:szCs w:val="13"/>
                <w:color w:val="auto"/>
              </w:rPr>
              <w:t>29.85</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​​11/15/2030</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​​8/29/2023 ​​</w:t>
            </w:r>
          </w:p>
        </w:tc>
        <w:tc>
          <w:tcPr>
            <w:tcW w:w="700" w:type="dxa"/>
            <w:vAlign w:val="bottom"/>
          </w:tcPr>
          <w:p>
            <w:pPr>
              <w:jc w:val="right"/>
              <w:spacing w:after="0"/>
              <w:rPr>
                <w:sz w:val="20"/>
                <w:szCs w:val="20"/>
                <w:color w:val="auto"/>
              </w:rPr>
            </w:pPr>
            <w:r>
              <w:rPr>
                <w:rFonts w:ascii="Arial" w:cs="Arial" w:eastAsia="Arial" w:hAnsi="Arial"/>
                <w:sz w:val="13"/>
                <w:szCs w:val="13"/>
                <w:color w:val="auto"/>
              </w:rPr>
              <w:t>6,498</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342,185</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6,142 ​​</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323,438 ​</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auto"/>
              </w:rPr>
              <w:t>​​ 8/23/2021</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24,039</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8,013 ​​</w:t>
            </w:r>
          </w:p>
        </w:tc>
        <w:tc>
          <w:tcPr>
            <w:tcW w:w="540" w:type="dxa"/>
            <w:vAlign w:val="bottom"/>
          </w:tcPr>
          <w:p>
            <w:pPr>
              <w:jc w:val="right"/>
              <w:spacing w:after="0"/>
              <w:rPr>
                <w:sz w:val="20"/>
                <w:szCs w:val="20"/>
                <w:color w:val="auto"/>
              </w:rPr>
            </w:pPr>
            <w:r>
              <w:rPr>
                <w:rFonts w:ascii="Arial" w:cs="Arial" w:eastAsia="Arial" w:hAnsi="Arial"/>
                <w:sz w:val="13"/>
                <w:szCs w:val="13"/>
                <w:color w:val="auto"/>
              </w:rPr>
              <w:t>39.62</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8/22/2031</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​​8/15/2024 ​​</w:t>
            </w:r>
          </w:p>
        </w:tc>
        <w:tc>
          <w:tcPr>
            <w:tcW w:w="700" w:type="dxa"/>
            <w:vAlign w:val="bottom"/>
          </w:tcPr>
          <w:p>
            <w:pPr>
              <w:jc w:val="right"/>
              <w:spacing w:after="0"/>
              <w:rPr>
                <w:sz w:val="20"/>
                <w:szCs w:val="20"/>
                <w:color w:val="auto"/>
              </w:rPr>
            </w:pPr>
            <w:r>
              <w:rPr>
                <w:rFonts w:ascii="Arial" w:cs="Arial" w:eastAsia="Arial" w:hAnsi="Arial"/>
                <w:sz w:val="13"/>
                <w:szCs w:val="13"/>
                <w:color w:val="auto"/>
              </w:rPr>
              <w:t>10,065</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530,023</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8,947 ​​</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471,149 ​</w:t>
            </w:r>
          </w:p>
        </w:tc>
        <w:tc>
          <w:tcPr>
            <w:tcW w:w="0" w:type="dxa"/>
            <w:vAlign w:val="bottom"/>
          </w:tcPr>
          <w:p>
            <w:pPr>
              <w:spacing w:after="0"/>
              <w:rPr>
                <w:sz w:val="1"/>
                <w:szCs w:val="1"/>
                <w:color w:val="auto"/>
              </w:rPr>
            </w:pPr>
          </w:p>
        </w:tc>
      </w:tr>
      <w:tr>
        <w:trPr>
          <w:trHeight w:val="60"/>
        </w:trPr>
        <w:tc>
          <w:tcPr>
            <w:tcW w:w="40" w:type="dxa"/>
            <w:vAlign w:val="bottom"/>
            <w:tcBorders>
              <w:bottom w:val="single" w:sz="8" w:color="53C072"/>
            </w:tcBorders>
          </w:tcPr>
          <w:p>
            <w:pPr>
              <w:spacing w:after="0"/>
              <w:rPr>
                <w:sz w:val="5"/>
                <w:szCs w:val="5"/>
                <w:color w:val="auto"/>
              </w:rPr>
            </w:pPr>
          </w:p>
        </w:tc>
        <w:tc>
          <w:tcPr>
            <w:tcW w:w="280" w:type="dxa"/>
            <w:vAlign w:val="bottom"/>
            <w:tcBorders>
              <w:bottom w:val="single" w:sz="8" w:color="53C072"/>
            </w:tcBorders>
          </w:tcPr>
          <w:p>
            <w:pPr>
              <w:spacing w:after="0"/>
              <w:rPr>
                <w:sz w:val="5"/>
                <w:szCs w:val="5"/>
                <w:color w:val="auto"/>
              </w:rPr>
            </w:pPr>
          </w:p>
        </w:tc>
        <w:tc>
          <w:tcPr>
            <w:tcW w:w="80" w:type="dxa"/>
            <w:vAlign w:val="bottom"/>
            <w:tcBorders>
              <w:bottom w:val="single" w:sz="8" w:color="53C072"/>
            </w:tcBorders>
          </w:tcPr>
          <w:p>
            <w:pPr>
              <w:spacing w:after="0"/>
              <w:rPr>
                <w:sz w:val="5"/>
                <w:szCs w:val="5"/>
                <w:color w:val="auto"/>
              </w:rPr>
            </w:pPr>
          </w:p>
        </w:tc>
        <w:tc>
          <w:tcPr>
            <w:tcW w:w="120" w:type="dxa"/>
            <w:vAlign w:val="bottom"/>
            <w:tcBorders>
              <w:bottom w:val="single" w:sz="8" w:color="53C072"/>
            </w:tcBorders>
          </w:tcPr>
          <w:p>
            <w:pPr>
              <w:spacing w:after="0"/>
              <w:rPr>
                <w:sz w:val="5"/>
                <w:szCs w:val="5"/>
                <w:color w:val="auto"/>
              </w:rPr>
            </w:pPr>
          </w:p>
        </w:tc>
        <w:tc>
          <w:tcPr>
            <w:tcW w:w="40" w:type="dxa"/>
            <w:vAlign w:val="bottom"/>
            <w:tcBorders>
              <w:bottom w:val="single" w:sz="8" w:color="53C072"/>
            </w:tcBorders>
          </w:tcPr>
          <w:p>
            <w:pPr>
              <w:spacing w:after="0"/>
              <w:rPr>
                <w:sz w:val="5"/>
                <w:szCs w:val="5"/>
                <w:color w:val="auto"/>
              </w:rPr>
            </w:pPr>
          </w:p>
        </w:tc>
        <w:tc>
          <w:tcPr>
            <w:tcW w:w="860" w:type="dxa"/>
            <w:vAlign w:val="bottom"/>
            <w:tcBorders>
              <w:bottom w:val="single" w:sz="8" w:color="53C072"/>
            </w:tcBorders>
          </w:tcPr>
          <w:p>
            <w:pPr>
              <w:spacing w:after="0"/>
              <w:rPr>
                <w:sz w:val="5"/>
                <w:szCs w:val="5"/>
                <w:color w:val="auto"/>
              </w:rPr>
            </w:pPr>
          </w:p>
        </w:tc>
        <w:tc>
          <w:tcPr>
            <w:tcW w:w="180" w:type="dxa"/>
            <w:vAlign w:val="bottom"/>
            <w:tcBorders>
              <w:bottom w:val="single" w:sz="8" w:color="53C072"/>
            </w:tcBorders>
          </w:tcPr>
          <w:p>
            <w:pPr>
              <w:spacing w:after="0"/>
              <w:rPr>
                <w:sz w:val="5"/>
                <w:szCs w:val="5"/>
                <w:color w:val="auto"/>
              </w:rPr>
            </w:pPr>
          </w:p>
        </w:tc>
        <w:tc>
          <w:tcPr>
            <w:tcW w:w="560" w:type="dxa"/>
            <w:vAlign w:val="bottom"/>
            <w:tcBorders>
              <w:bottom w:val="single" w:sz="8" w:color="53C072"/>
            </w:tcBorders>
          </w:tcPr>
          <w:p>
            <w:pPr>
              <w:spacing w:after="0"/>
              <w:rPr>
                <w:sz w:val="5"/>
                <w:szCs w:val="5"/>
                <w:color w:val="auto"/>
              </w:rPr>
            </w:pPr>
          </w:p>
        </w:tc>
        <w:tc>
          <w:tcPr>
            <w:tcW w:w="120" w:type="dxa"/>
            <w:vAlign w:val="bottom"/>
            <w:tcBorders>
              <w:bottom w:val="single" w:sz="8" w:color="53C072"/>
            </w:tcBorders>
          </w:tcPr>
          <w:p>
            <w:pPr>
              <w:spacing w:after="0"/>
              <w:rPr>
                <w:sz w:val="5"/>
                <w:szCs w:val="5"/>
                <w:color w:val="auto"/>
              </w:rPr>
            </w:pPr>
          </w:p>
        </w:tc>
        <w:tc>
          <w:tcPr>
            <w:tcW w:w="780" w:type="dxa"/>
            <w:vAlign w:val="bottom"/>
            <w:tcBorders>
              <w:bottom w:val="single" w:sz="8" w:color="53C072"/>
            </w:tcBorders>
          </w:tcPr>
          <w:p>
            <w:pPr>
              <w:spacing w:after="0"/>
              <w:rPr>
                <w:sz w:val="5"/>
                <w:szCs w:val="5"/>
                <w:color w:val="auto"/>
              </w:rPr>
            </w:pPr>
          </w:p>
        </w:tc>
        <w:tc>
          <w:tcPr>
            <w:tcW w:w="120" w:type="dxa"/>
            <w:vAlign w:val="bottom"/>
            <w:tcBorders>
              <w:bottom w:val="single" w:sz="8" w:color="53C072"/>
            </w:tcBorders>
          </w:tcPr>
          <w:p>
            <w:pPr>
              <w:spacing w:after="0"/>
              <w:rPr>
                <w:sz w:val="5"/>
                <w:szCs w:val="5"/>
                <w:color w:val="auto"/>
              </w:rPr>
            </w:pPr>
          </w:p>
        </w:tc>
        <w:tc>
          <w:tcPr>
            <w:tcW w:w="880" w:type="dxa"/>
            <w:vAlign w:val="bottom"/>
            <w:tcBorders>
              <w:bottom w:val="single" w:sz="8" w:color="53C072"/>
            </w:tcBorders>
          </w:tcPr>
          <w:p>
            <w:pPr>
              <w:spacing w:after="0"/>
              <w:rPr>
                <w:sz w:val="5"/>
                <w:szCs w:val="5"/>
                <w:color w:val="auto"/>
              </w:rPr>
            </w:pPr>
          </w:p>
        </w:tc>
        <w:tc>
          <w:tcPr>
            <w:tcW w:w="120" w:type="dxa"/>
            <w:vAlign w:val="bottom"/>
            <w:tcBorders>
              <w:bottom w:val="single" w:sz="8" w:color="53C072"/>
            </w:tcBorders>
          </w:tcPr>
          <w:p>
            <w:pPr>
              <w:spacing w:after="0"/>
              <w:rPr>
                <w:sz w:val="5"/>
                <w:szCs w:val="5"/>
                <w:color w:val="auto"/>
              </w:rPr>
            </w:pPr>
          </w:p>
        </w:tc>
        <w:tc>
          <w:tcPr>
            <w:tcW w:w="540" w:type="dxa"/>
            <w:vAlign w:val="bottom"/>
            <w:tcBorders>
              <w:bottom w:val="single" w:sz="8" w:color="53C072"/>
            </w:tcBorders>
          </w:tcPr>
          <w:p>
            <w:pPr>
              <w:spacing w:after="0"/>
              <w:rPr>
                <w:sz w:val="5"/>
                <w:szCs w:val="5"/>
                <w:color w:val="auto"/>
              </w:rPr>
            </w:pPr>
          </w:p>
        </w:tc>
        <w:tc>
          <w:tcPr>
            <w:tcW w:w="120" w:type="dxa"/>
            <w:vAlign w:val="bottom"/>
            <w:tcBorders>
              <w:bottom w:val="single" w:sz="8" w:color="53C072"/>
            </w:tcBorders>
          </w:tcPr>
          <w:p>
            <w:pPr>
              <w:spacing w:after="0"/>
              <w:rPr>
                <w:sz w:val="5"/>
                <w:szCs w:val="5"/>
                <w:color w:val="auto"/>
              </w:rPr>
            </w:pPr>
          </w:p>
        </w:tc>
        <w:tc>
          <w:tcPr>
            <w:tcW w:w="640" w:type="dxa"/>
            <w:vAlign w:val="bottom"/>
            <w:tcBorders>
              <w:bottom w:val="single" w:sz="8" w:color="53C072"/>
            </w:tcBorders>
          </w:tcPr>
          <w:p>
            <w:pPr>
              <w:spacing w:after="0"/>
              <w:rPr>
                <w:sz w:val="5"/>
                <w:szCs w:val="5"/>
                <w:color w:val="auto"/>
              </w:rPr>
            </w:pPr>
          </w:p>
        </w:tc>
        <w:tc>
          <w:tcPr>
            <w:tcW w:w="140" w:type="dxa"/>
            <w:vAlign w:val="bottom"/>
            <w:tcBorders>
              <w:bottom w:val="single" w:sz="8" w:color="53C072"/>
            </w:tcBorders>
          </w:tcPr>
          <w:p>
            <w:pPr>
              <w:spacing w:after="0"/>
              <w:rPr>
                <w:sz w:val="5"/>
                <w:szCs w:val="5"/>
                <w:color w:val="auto"/>
              </w:rPr>
            </w:pPr>
          </w:p>
        </w:tc>
        <w:tc>
          <w:tcPr>
            <w:tcW w:w="620" w:type="dxa"/>
            <w:vAlign w:val="bottom"/>
            <w:tcBorders>
              <w:bottom w:val="single" w:sz="8" w:color="53C072"/>
            </w:tcBorders>
          </w:tcPr>
          <w:p>
            <w:pPr>
              <w:spacing w:after="0"/>
              <w:rPr>
                <w:sz w:val="5"/>
                <w:szCs w:val="5"/>
                <w:color w:val="auto"/>
              </w:rPr>
            </w:pPr>
          </w:p>
        </w:tc>
        <w:tc>
          <w:tcPr>
            <w:tcW w:w="700" w:type="dxa"/>
            <w:vAlign w:val="bottom"/>
            <w:tcBorders>
              <w:bottom w:val="single" w:sz="8" w:color="53C072"/>
            </w:tcBorders>
          </w:tcPr>
          <w:p>
            <w:pPr>
              <w:spacing w:after="0"/>
              <w:rPr>
                <w:sz w:val="5"/>
                <w:szCs w:val="5"/>
                <w:color w:val="auto"/>
              </w:rPr>
            </w:pPr>
          </w:p>
        </w:tc>
        <w:tc>
          <w:tcPr>
            <w:tcW w:w="80" w:type="dxa"/>
            <w:vAlign w:val="bottom"/>
            <w:tcBorders>
              <w:bottom w:val="single" w:sz="8" w:color="53C072"/>
            </w:tcBorders>
          </w:tcPr>
          <w:p>
            <w:pPr>
              <w:spacing w:after="0"/>
              <w:rPr>
                <w:sz w:val="5"/>
                <w:szCs w:val="5"/>
                <w:color w:val="auto"/>
              </w:rPr>
            </w:pPr>
          </w:p>
        </w:tc>
        <w:tc>
          <w:tcPr>
            <w:tcW w:w="640" w:type="dxa"/>
            <w:vAlign w:val="bottom"/>
            <w:tcBorders>
              <w:bottom w:val="single" w:sz="8" w:color="53C072"/>
            </w:tcBorders>
          </w:tcPr>
          <w:p>
            <w:pPr>
              <w:spacing w:after="0"/>
              <w:rPr>
                <w:sz w:val="5"/>
                <w:szCs w:val="5"/>
                <w:color w:val="auto"/>
              </w:rPr>
            </w:pPr>
          </w:p>
        </w:tc>
        <w:tc>
          <w:tcPr>
            <w:tcW w:w="180" w:type="dxa"/>
            <w:vAlign w:val="bottom"/>
            <w:tcBorders>
              <w:bottom w:val="single" w:sz="8" w:color="53C072"/>
            </w:tcBorders>
          </w:tcPr>
          <w:p>
            <w:pPr>
              <w:spacing w:after="0"/>
              <w:rPr>
                <w:sz w:val="5"/>
                <w:szCs w:val="5"/>
                <w:color w:val="auto"/>
              </w:rPr>
            </w:pPr>
          </w:p>
        </w:tc>
        <w:tc>
          <w:tcPr>
            <w:tcW w:w="840" w:type="dxa"/>
            <w:vAlign w:val="bottom"/>
            <w:tcBorders>
              <w:bottom w:val="single" w:sz="8" w:color="53C072"/>
            </w:tcBorders>
          </w:tcPr>
          <w:p>
            <w:pPr>
              <w:spacing w:after="0"/>
              <w:rPr>
                <w:sz w:val="5"/>
                <w:szCs w:val="5"/>
                <w:color w:val="auto"/>
              </w:rPr>
            </w:pPr>
          </w:p>
        </w:tc>
        <w:tc>
          <w:tcPr>
            <w:tcW w:w="80" w:type="dxa"/>
            <w:vAlign w:val="bottom"/>
            <w:tcBorders>
              <w:bottom w:val="single" w:sz="8" w:color="53C072"/>
            </w:tcBorders>
          </w:tcPr>
          <w:p>
            <w:pPr>
              <w:spacing w:after="0"/>
              <w:rPr>
                <w:sz w:val="5"/>
                <w:szCs w:val="5"/>
                <w:color w:val="auto"/>
              </w:rPr>
            </w:pPr>
          </w:p>
        </w:tc>
        <w:tc>
          <w:tcPr>
            <w:tcW w:w="960" w:type="dxa"/>
            <w:vAlign w:val="bottom"/>
            <w:tcBorders>
              <w:bottom w:val="single" w:sz="8" w:color="53C072"/>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Vesting schedules:</w:t>
      </w:r>
    </w:p>
    <w:p>
      <w:pPr>
        <w:spacing w:after="0" w:line="131" w:lineRule="exact"/>
        <w:rPr>
          <w:sz w:val="20"/>
          <w:szCs w:val="20"/>
          <w:color w:val="auto"/>
        </w:rPr>
      </w:pPr>
    </w:p>
    <w:p>
      <w:pPr>
        <w:ind w:left="1540" w:right="700" w:hanging="190"/>
        <w:spacing w:after="0" w:line="287" w:lineRule="auto"/>
        <w:tabs>
          <w:tab w:leader="none" w:pos="1540" w:val="left"/>
        </w:tabs>
        <w:numPr>
          <w:ilvl w:val="0"/>
          <w:numId w:val="57"/>
        </w:numPr>
        <w:rPr>
          <w:rFonts w:ascii="Arial" w:cs="Arial" w:eastAsia="Arial" w:hAnsi="Arial"/>
          <w:sz w:val="18"/>
          <w:szCs w:val="18"/>
          <w:color w:val="53C072"/>
        </w:rPr>
      </w:pPr>
      <w:r>
        <w:rPr>
          <w:rFonts w:ascii="Arial" w:cs="Arial" w:eastAsia="Arial" w:hAnsi="Arial"/>
          <w:sz w:val="18"/>
          <w:szCs w:val="18"/>
          <w:color w:val="auto"/>
        </w:rPr>
        <w:t>Stock options vest in 25% annual increments on the first through fourth anniversaries of the grant date. Stock options typically expire the day before the tenth anniversary of the grant date.</w:t>
      </w:r>
    </w:p>
    <w:p>
      <w:pPr>
        <w:spacing w:after="0" w:line="71" w:lineRule="exact"/>
        <w:rPr>
          <w:rFonts w:ascii="Arial" w:cs="Arial" w:eastAsia="Arial" w:hAnsi="Arial"/>
          <w:sz w:val="18"/>
          <w:szCs w:val="18"/>
          <w:color w:val="53C072"/>
        </w:rPr>
      </w:pPr>
    </w:p>
    <w:p>
      <w:pPr>
        <w:ind w:left="1540" w:right="640" w:hanging="190"/>
        <w:spacing w:after="0" w:line="318" w:lineRule="auto"/>
        <w:tabs>
          <w:tab w:leader="none" w:pos="1540" w:val="left"/>
        </w:tabs>
        <w:numPr>
          <w:ilvl w:val="0"/>
          <w:numId w:val="57"/>
        </w:numPr>
        <w:rPr>
          <w:rFonts w:ascii="Arial" w:cs="Arial" w:eastAsia="Arial" w:hAnsi="Arial"/>
          <w:sz w:val="17"/>
          <w:szCs w:val="17"/>
          <w:color w:val="53C072"/>
        </w:rPr>
      </w:pPr>
      <w:r>
        <w:rPr>
          <w:rFonts w:ascii="Arial" w:cs="Arial" w:eastAsia="Arial" w:hAnsi="Arial"/>
          <w:sz w:val="17"/>
          <w:szCs w:val="17"/>
          <w:color w:val="auto"/>
        </w:rPr>
        <w:t>RSUs vest in 25% increments commencing on the first business day in January following the grant date (“commencement date”) and on the 1st, 2nd, and 3rd annual anniversary of the commencement date.</w:t>
      </w:r>
    </w:p>
    <w:p>
      <w:pPr>
        <w:spacing w:after="0" w:line="48" w:lineRule="exact"/>
        <w:rPr>
          <w:rFonts w:ascii="Arial" w:cs="Arial" w:eastAsia="Arial" w:hAnsi="Arial"/>
          <w:sz w:val="17"/>
          <w:szCs w:val="17"/>
          <w:color w:val="53C072"/>
        </w:rPr>
      </w:pPr>
    </w:p>
    <w:p>
      <w:pPr>
        <w:ind w:left="1540" w:right="620" w:hanging="190"/>
        <w:spacing w:after="0" w:line="262" w:lineRule="auto"/>
        <w:tabs>
          <w:tab w:leader="none" w:pos="1540" w:val="left"/>
        </w:tabs>
        <w:numPr>
          <w:ilvl w:val="0"/>
          <w:numId w:val="57"/>
        </w:numPr>
        <w:rPr>
          <w:rFonts w:ascii="Arial" w:cs="Arial" w:eastAsia="Arial" w:hAnsi="Arial"/>
          <w:sz w:val="18"/>
          <w:szCs w:val="18"/>
          <w:color w:val="53C072"/>
        </w:rPr>
      </w:pPr>
      <w:r>
        <w:rPr>
          <w:rFonts w:ascii="Arial" w:cs="Arial" w:eastAsia="Arial" w:hAnsi="Arial"/>
          <w:sz w:val="18"/>
          <w:szCs w:val="18"/>
          <w:color w:val="auto"/>
        </w:rPr>
        <w:t>PSUs vest, if at all, at the end of the performance period for the third tranche. Performance is measured discretely for each tranche’s one-fiscal-year performance period and earned PSUs are banked until the end of the performance period for the third tranche at which time earned PSUs from all three tranches are vested and issued.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92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820" w:type="dxa"/>
            <w:vAlign w:val="bottom"/>
            <w:vMerge w:val="restart"/>
          </w:tcPr>
          <w:p>
            <w:pPr>
              <w:ind w:left="2580"/>
              <w:spacing w:after="0"/>
              <w:rPr>
                <w:sz w:val="20"/>
                <w:szCs w:val="20"/>
                <w:color w:val="auto"/>
              </w:rPr>
            </w:pPr>
            <w:r>
              <w:rPr>
                <w:rFonts w:ascii="Arial" w:cs="Arial" w:eastAsia="Arial" w:hAnsi="Arial"/>
                <w:sz w:val="14"/>
                <w:szCs w:val="14"/>
                <w:color w:val="auto"/>
                <w:w w:val="99"/>
              </w:rPr>
              <w:t>Compensation of Executive Officers</w:t>
            </w:r>
          </w:p>
        </w:tc>
        <w:tc>
          <w:tcPr>
            <w:tcW w:w="0" w:type="dxa"/>
            <w:vAlign w:val="bottom"/>
          </w:tcPr>
          <w:p>
            <w:pPr>
              <w:spacing w:after="0"/>
              <w:rPr>
                <w:sz w:val="1"/>
                <w:szCs w:val="1"/>
                <w:color w:val="auto"/>
              </w:rPr>
            </w:pPr>
          </w:p>
        </w:tc>
      </w:tr>
      <w:tr>
        <w:trPr>
          <w:trHeight w:val="89"/>
        </w:trPr>
        <w:tc>
          <w:tcPr>
            <w:tcW w:w="4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920" w:type="dxa"/>
            <w:vAlign w:val="bottom"/>
            <w:vMerge w:val="continue"/>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OPTION EXERCISES AND STOCK VESTED</w:t>
      </w:r>
    </w:p>
    <w:p>
      <w:pPr>
        <w:spacing w:after="0" w:line="162" w:lineRule="exact"/>
        <w:rPr>
          <w:sz w:val="20"/>
          <w:szCs w:val="20"/>
          <w:color w:val="auto"/>
        </w:rPr>
      </w:pPr>
    </w:p>
    <w:p>
      <w:pPr>
        <w:ind w:left="1000" w:right="199"/>
        <w:spacing w:after="0" w:line="262" w:lineRule="auto"/>
        <w:rPr>
          <w:sz w:val="20"/>
          <w:szCs w:val="20"/>
          <w:color w:val="auto"/>
        </w:rPr>
      </w:pPr>
      <w:r>
        <w:rPr>
          <w:rFonts w:ascii="Arial" w:cs="Arial" w:eastAsia="Arial" w:hAnsi="Arial"/>
          <w:sz w:val="18"/>
          <w:szCs w:val="18"/>
          <w:color w:val="auto"/>
        </w:rPr>
        <w:t>The following table provides information as to each of the NEOs: (1) stock options exercised during fiscal 2025, including the number of shares acquired upon exercise and the value realized, and (2) the number of shares acquired upon the vesting of stock awards in the form of RSUs and PSUs, and the value realized, each before payment of any applicable withholding tax.</w:t>
      </w: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236"/>
        </w:trPr>
        <w:tc>
          <w:tcPr>
            <w:tcW w:w="4520" w:type="dxa"/>
            <w:vAlign w:val="bottom"/>
            <w:shd w:val="clear" w:color="auto" w:fill="53C072"/>
          </w:tcPr>
          <w:p>
            <w:pPr>
              <w:spacing w:after="0"/>
              <w:rPr>
                <w:sz w:val="20"/>
                <w:szCs w:val="20"/>
                <w:color w:val="auto"/>
              </w:rPr>
            </w:pPr>
          </w:p>
        </w:tc>
        <w:tc>
          <w:tcPr>
            <w:tcW w:w="240" w:type="dxa"/>
            <w:vAlign w:val="bottom"/>
            <w:shd w:val="clear" w:color="auto" w:fill="53C072"/>
          </w:tcPr>
          <w:p>
            <w:pPr>
              <w:spacing w:after="0"/>
              <w:rPr>
                <w:sz w:val="20"/>
                <w:szCs w:val="20"/>
                <w:color w:val="auto"/>
              </w:rPr>
            </w:pPr>
          </w:p>
        </w:tc>
        <w:tc>
          <w:tcPr>
            <w:tcW w:w="620" w:type="dxa"/>
            <w:vAlign w:val="bottom"/>
            <w:shd w:val="clear" w:color="auto" w:fill="53C072"/>
          </w:tcPr>
          <w:p>
            <w:pPr>
              <w:spacing w:after="0"/>
              <w:rPr>
                <w:sz w:val="20"/>
                <w:szCs w:val="20"/>
                <w:color w:val="auto"/>
              </w:rPr>
            </w:pPr>
          </w:p>
        </w:tc>
        <w:tc>
          <w:tcPr>
            <w:tcW w:w="80" w:type="dxa"/>
            <w:vAlign w:val="bottom"/>
            <w:shd w:val="clear" w:color="auto" w:fill="53C072"/>
          </w:tcPr>
          <w:p>
            <w:pPr>
              <w:spacing w:after="0"/>
              <w:rPr>
                <w:sz w:val="20"/>
                <w:szCs w:val="20"/>
                <w:color w:val="auto"/>
              </w:rPr>
            </w:pPr>
          </w:p>
        </w:tc>
        <w:tc>
          <w:tcPr>
            <w:tcW w:w="1240" w:type="dxa"/>
            <w:vAlign w:val="bottom"/>
            <w:gridSpan w:val="3"/>
            <w:shd w:val="clear" w:color="auto" w:fill="53C072"/>
          </w:tcPr>
          <w:p>
            <w:pPr>
              <w:jc w:val="right"/>
              <w:ind w:right="240"/>
              <w:spacing w:after="0"/>
              <w:rPr>
                <w:sz w:val="20"/>
                <w:szCs w:val="20"/>
                <w:color w:val="auto"/>
              </w:rPr>
            </w:pPr>
            <w:r>
              <w:rPr>
                <w:rFonts w:ascii="Arial" w:cs="Arial" w:eastAsia="Arial" w:hAnsi="Arial"/>
                <w:sz w:val="14"/>
                <w:szCs w:val="14"/>
                <w:b w:val="1"/>
                <w:bCs w:val="1"/>
                <w:color w:val="FEFEFE"/>
                <w:w w:val="98"/>
              </w:rPr>
              <w:t>Option Awards</w:t>
            </w:r>
          </w:p>
        </w:tc>
        <w:tc>
          <w:tcPr>
            <w:tcW w:w="880" w:type="dxa"/>
            <w:vAlign w:val="bottom"/>
            <w:shd w:val="clear" w:color="auto" w:fill="53C072"/>
          </w:tcPr>
          <w:p>
            <w:pPr>
              <w:spacing w:after="0"/>
              <w:rPr>
                <w:sz w:val="20"/>
                <w:szCs w:val="20"/>
                <w:color w:val="auto"/>
              </w:rPr>
            </w:pPr>
          </w:p>
        </w:tc>
        <w:tc>
          <w:tcPr>
            <w:tcW w:w="80" w:type="dxa"/>
            <w:vAlign w:val="bottom"/>
            <w:shd w:val="clear" w:color="auto" w:fill="53C072"/>
          </w:tcPr>
          <w:p>
            <w:pPr>
              <w:spacing w:after="0"/>
              <w:rPr>
                <w:sz w:val="20"/>
                <w:szCs w:val="20"/>
                <w:color w:val="auto"/>
              </w:rPr>
            </w:pPr>
          </w:p>
        </w:tc>
        <w:tc>
          <w:tcPr>
            <w:tcW w:w="1100" w:type="dxa"/>
            <w:vAlign w:val="bottom"/>
            <w:gridSpan w:val="3"/>
            <w:shd w:val="clear" w:color="auto" w:fill="53C072"/>
          </w:tcPr>
          <w:p>
            <w:pPr>
              <w:jc w:val="right"/>
              <w:ind w:right="120"/>
              <w:spacing w:after="0"/>
              <w:rPr>
                <w:sz w:val="20"/>
                <w:szCs w:val="20"/>
                <w:color w:val="auto"/>
              </w:rPr>
            </w:pPr>
            <w:r>
              <w:rPr>
                <w:rFonts w:ascii="Arial" w:cs="Arial" w:eastAsia="Arial" w:hAnsi="Arial"/>
                <w:sz w:val="14"/>
                <w:szCs w:val="14"/>
                <w:b w:val="1"/>
                <w:bCs w:val="1"/>
                <w:color w:val="FEFEFE"/>
              </w:rPr>
              <w:t>Stock Awards</w:t>
            </w:r>
          </w:p>
        </w:tc>
      </w:tr>
      <w:tr>
        <w:trPr>
          <w:trHeight w:val="193"/>
        </w:trPr>
        <w:tc>
          <w:tcPr>
            <w:tcW w:w="4520" w:type="dxa"/>
            <w:vAlign w:val="bottom"/>
            <w:tcBorders>
              <w:top w:val="single" w:sz="8" w:color="53C072"/>
            </w:tcBorders>
            <w:shd w:val="clear" w:color="auto" w:fill="53C072"/>
          </w:tcPr>
          <w:p>
            <w:pPr>
              <w:spacing w:after="0"/>
              <w:rPr>
                <w:sz w:val="16"/>
                <w:szCs w:val="16"/>
                <w:color w:val="auto"/>
              </w:rPr>
            </w:pPr>
          </w:p>
        </w:tc>
        <w:tc>
          <w:tcPr>
            <w:tcW w:w="860" w:type="dxa"/>
            <w:vAlign w:val="bottom"/>
            <w:tcBorders>
              <w:top w:val="single" w:sz="8" w:color="auto"/>
            </w:tcBorders>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Number of</w:t>
            </w:r>
          </w:p>
        </w:tc>
        <w:tc>
          <w:tcPr>
            <w:tcW w:w="80" w:type="dxa"/>
            <w:vAlign w:val="bottom"/>
            <w:tcBorders>
              <w:top w:val="single" w:sz="8" w:color="auto"/>
            </w:tcBorders>
            <w:shd w:val="clear" w:color="auto" w:fill="53C072"/>
          </w:tcPr>
          <w:p>
            <w:pPr>
              <w:spacing w:after="0"/>
              <w:rPr>
                <w:sz w:val="16"/>
                <w:szCs w:val="16"/>
                <w:color w:val="auto"/>
              </w:rPr>
            </w:pPr>
          </w:p>
        </w:tc>
        <w:tc>
          <w:tcPr>
            <w:tcW w:w="340" w:type="dxa"/>
            <w:vAlign w:val="bottom"/>
            <w:tcBorders>
              <w:top w:val="single" w:sz="8" w:color="auto"/>
            </w:tcBorders>
            <w:shd w:val="clear" w:color="auto" w:fill="53C072"/>
          </w:tcPr>
          <w:p>
            <w:pPr>
              <w:spacing w:after="0"/>
              <w:rPr>
                <w:sz w:val="16"/>
                <w:szCs w:val="16"/>
                <w:color w:val="auto"/>
              </w:rPr>
            </w:pPr>
          </w:p>
        </w:tc>
        <w:tc>
          <w:tcPr>
            <w:tcW w:w="680" w:type="dxa"/>
            <w:vAlign w:val="bottom"/>
            <w:tcBorders>
              <w:top w:val="single" w:sz="8" w:color="auto"/>
            </w:tcBorders>
            <w:shd w:val="clear" w:color="auto" w:fill="53C072"/>
          </w:tcPr>
          <w:p>
            <w:pPr>
              <w:spacing w:after="0"/>
              <w:rPr>
                <w:sz w:val="16"/>
                <w:szCs w:val="16"/>
                <w:color w:val="auto"/>
              </w:rPr>
            </w:pPr>
          </w:p>
        </w:tc>
        <w:tc>
          <w:tcPr>
            <w:tcW w:w="220" w:type="dxa"/>
            <w:vAlign w:val="bottom"/>
            <w:tcBorders>
              <w:top w:val="single" w:sz="8" w:color="53C072"/>
            </w:tcBorders>
            <w:shd w:val="clear" w:color="auto" w:fill="53C072"/>
          </w:tcPr>
          <w:p>
            <w:pPr>
              <w:spacing w:after="0"/>
              <w:rPr>
                <w:sz w:val="16"/>
                <w:szCs w:val="16"/>
                <w:color w:val="auto"/>
              </w:rPr>
            </w:pPr>
          </w:p>
        </w:tc>
        <w:tc>
          <w:tcPr>
            <w:tcW w:w="880" w:type="dxa"/>
            <w:vAlign w:val="bottom"/>
            <w:tcBorders>
              <w:top w:val="single" w:sz="8" w:color="auto"/>
            </w:tcBorders>
            <w:shd w:val="clear" w:color="auto" w:fill="53C072"/>
          </w:tcPr>
          <w:p>
            <w:pPr>
              <w:jc w:val="right"/>
              <w:spacing w:after="0"/>
              <w:rPr>
                <w:sz w:val="20"/>
                <w:szCs w:val="20"/>
                <w:color w:val="auto"/>
              </w:rPr>
            </w:pPr>
            <w:r>
              <w:rPr>
                <w:rFonts w:ascii="Arial" w:cs="Arial" w:eastAsia="Arial" w:hAnsi="Arial"/>
                <w:sz w:val="14"/>
                <w:szCs w:val="14"/>
                <w:b w:val="1"/>
                <w:bCs w:val="1"/>
                <w:color w:val="FEFEFE"/>
              </w:rPr>
              <w:t>Number of</w:t>
            </w:r>
          </w:p>
        </w:tc>
        <w:tc>
          <w:tcPr>
            <w:tcW w:w="80" w:type="dxa"/>
            <w:vAlign w:val="bottom"/>
            <w:tcBorders>
              <w:top w:val="single" w:sz="8" w:color="auto"/>
            </w:tcBorders>
            <w:shd w:val="clear" w:color="auto" w:fill="53C072"/>
          </w:tcPr>
          <w:p>
            <w:pPr>
              <w:spacing w:after="0"/>
              <w:rPr>
                <w:sz w:val="16"/>
                <w:szCs w:val="16"/>
                <w:color w:val="auto"/>
              </w:rPr>
            </w:pPr>
          </w:p>
        </w:tc>
        <w:tc>
          <w:tcPr>
            <w:tcW w:w="260" w:type="dxa"/>
            <w:vAlign w:val="bottom"/>
            <w:tcBorders>
              <w:top w:val="single" w:sz="8" w:color="auto"/>
            </w:tcBorders>
            <w:shd w:val="clear" w:color="auto" w:fill="53C072"/>
          </w:tcPr>
          <w:p>
            <w:pPr>
              <w:spacing w:after="0"/>
              <w:rPr>
                <w:sz w:val="16"/>
                <w:szCs w:val="16"/>
                <w:color w:val="auto"/>
              </w:rPr>
            </w:pPr>
          </w:p>
        </w:tc>
        <w:tc>
          <w:tcPr>
            <w:tcW w:w="720" w:type="dxa"/>
            <w:vAlign w:val="bottom"/>
            <w:tcBorders>
              <w:top w:val="single" w:sz="8" w:color="auto"/>
            </w:tcBorders>
            <w:shd w:val="clear" w:color="auto" w:fill="53C072"/>
          </w:tcPr>
          <w:p>
            <w:pPr>
              <w:spacing w:after="0"/>
              <w:rPr>
                <w:sz w:val="16"/>
                <w:szCs w:val="16"/>
                <w:color w:val="auto"/>
              </w:rPr>
            </w:pPr>
          </w:p>
        </w:tc>
        <w:tc>
          <w:tcPr>
            <w:tcW w:w="120" w:type="dxa"/>
            <w:vAlign w:val="bottom"/>
            <w:tcBorders>
              <w:top w:val="single" w:sz="8" w:color="53C072"/>
            </w:tcBorders>
            <w:shd w:val="clear" w:color="auto" w:fill="53C072"/>
          </w:tcPr>
          <w:p>
            <w:pPr>
              <w:spacing w:after="0"/>
              <w:rPr>
                <w:sz w:val="16"/>
                <w:szCs w:val="16"/>
                <w:color w:val="auto"/>
              </w:rPr>
            </w:pPr>
          </w:p>
        </w:tc>
      </w:tr>
      <w:tr>
        <w:trPr>
          <w:trHeight w:val="162"/>
        </w:trPr>
        <w:tc>
          <w:tcPr>
            <w:tcW w:w="4520" w:type="dxa"/>
            <w:vAlign w:val="bottom"/>
            <w:shd w:val="clear" w:color="auto" w:fill="53C072"/>
          </w:tcPr>
          <w:p>
            <w:pPr>
              <w:spacing w:after="0"/>
              <w:rPr>
                <w:sz w:val="14"/>
                <w:szCs w:val="14"/>
                <w:color w:val="auto"/>
              </w:rPr>
            </w:pPr>
          </w:p>
        </w:tc>
        <w:tc>
          <w:tcPr>
            <w:tcW w:w="240" w:type="dxa"/>
            <w:vAlign w:val="bottom"/>
            <w:shd w:val="clear" w:color="auto" w:fill="53C072"/>
          </w:tcPr>
          <w:p>
            <w:pPr>
              <w:spacing w:after="0"/>
              <w:rPr>
                <w:sz w:val="14"/>
                <w:szCs w:val="14"/>
                <w:color w:val="auto"/>
              </w:rPr>
            </w:pPr>
          </w:p>
        </w:tc>
        <w:tc>
          <w:tcPr>
            <w:tcW w:w="6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Shares</w:t>
            </w:r>
          </w:p>
        </w:tc>
        <w:tc>
          <w:tcPr>
            <w:tcW w:w="80" w:type="dxa"/>
            <w:vAlign w:val="bottom"/>
            <w:shd w:val="clear" w:color="auto" w:fill="53C072"/>
          </w:tcPr>
          <w:p>
            <w:pPr>
              <w:spacing w:after="0"/>
              <w:rPr>
                <w:sz w:val="14"/>
                <w:szCs w:val="14"/>
                <w:color w:val="auto"/>
              </w:rPr>
            </w:pPr>
          </w:p>
        </w:tc>
        <w:tc>
          <w:tcPr>
            <w:tcW w:w="340" w:type="dxa"/>
            <w:vAlign w:val="bottom"/>
            <w:shd w:val="clear" w:color="auto" w:fill="53C072"/>
          </w:tcPr>
          <w:p>
            <w:pPr>
              <w:spacing w:after="0"/>
              <w:rPr>
                <w:sz w:val="14"/>
                <w:szCs w:val="14"/>
                <w:color w:val="auto"/>
              </w:rPr>
            </w:pPr>
          </w:p>
        </w:tc>
        <w:tc>
          <w:tcPr>
            <w:tcW w:w="900" w:type="dxa"/>
            <w:vAlign w:val="bottom"/>
            <w:gridSpan w:val="2"/>
            <w:shd w:val="clear" w:color="auto" w:fill="53C072"/>
          </w:tcPr>
          <w:p>
            <w:pPr>
              <w:jc w:val="right"/>
              <w:ind w:right="280"/>
              <w:spacing w:after="0"/>
              <w:rPr>
                <w:sz w:val="20"/>
                <w:szCs w:val="20"/>
                <w:color w:val="auto"/>
              </w:rPr>
            </w:pPr>
            <w:r>
              <w:rPr>
                <w:rFonts w:ascii="Arial" w:cs="Arial" w:eastAsia="Arial" w:hAnsi="Arial"/>
                <w:sz w:val="14"/>
                <w:szCs w:val="14"/>
                <w:b w:val="1"/>
                <w:bCs w:val="1"/>
                <w:color w:val="FEFEFE"/>
              </w:rPr>
              <w:t>Value</w:t>
            </w:r>
          </w:p>
        </w:tc>
        <w:tc>
          <w:tcPr>
            <w:tcW w:w="8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Shares</w:t>
            </w:r>
          </w:p>
        </w:tc>
        <w:tc>
          <w:tcPr>
            <w:tcW w:w="80" w:type="dxa"/>
            <w:vAlign w:val="bottom"/>
            <w:shd w:val="clear" w:color="auto" w:fill="53C072"/>
          </w:tcPr>
          <w:p>
            <w:pPr>
              <w:spacing w:after="0"/>
              <w:rPr>
                <w:sz w:val="14"/>
                <w:szCs w:val="14"/>
                <w:color w:val="auto"/>
              </w:rPr>
            </w:pPr>
          </w:p>
        </w:tc>
        <w:tc>
          <w:tcPr>
            <w:tcW w:w="260" w:type="dxa"/>
            <w:vAlign w:val="bottom"/>
            <w:shd w:val="clear" w:color="auto" w:fill="53C072"/>
          </w:tcPr>
          <w:p>
            <w:pPr>
              <w:spacing w:after="0"/>
              <w:rPr>
                <w:sz w:val="14"/>
                <w:szCs w:val="14"/>
                <w:color w:val="auto"/>
              </w:rPr>
            </w:pPr>
          </w:p>
        </w:tc>
        <w:tc>
          <w:tcPr>
            <w:tcW w:w="840" w:type="dxa"/>
            <w:vAlign w:val="bottom"/>
            <w:gridSpan w:val="2"/>
            <w:shd w:val="clear" w:color="auto" w:fill="53C072"/>
          </w:tcPr>
          <w:p>
            <w:pPr>
              <w:jc w:val="right"/>
              <w:ind w:right="160"/>
              <w:spacing w:after="0"/>
              <w:rPr>
                <w:sz w:val="20"/>
                <w:szCs w:val="20"/>
                <w:color w:val="auto"/>
              </w:rPr>
            </w:pPr>
            <w:r>
              <w:rPr>
                <w:rFonts w:ascii="Arial" w:cs="Arial" w:eastAsia="Arial" w:hAnsi="Arial"/>
                <w:sz w:val="14"/>
                <w:szCs w:val="14"/>
                <w:b w:val="1"/>
                <w:bCs w:val="1"/>
                <w:color w:val="FEFEFE"/>
              </w:rPr>
              <w:t>Value</w:t>
            </w:r>
          </w:p>
        </w:tc>
      </w:tr>
      <w:tr>
        <w:trPr>
          <w:trHeight w:val="162"/>
        </w:trPr>
        <w:tc>
          <w:tcPr>
            <w:tcW w:w="4520" w:type="dxa"/>
            <w:vAlign w:val="bottom"/>
            <w:shd w:val="clear" w:color="auto" w:fill="53C072"/>
          </w:tcPr>
          <w:p>
            <w:pPr>
              <w:spacing w:after="0"/>
              <w:rPr>
                <w:sz w:val="14"/>
                <w:szCs w:val="14"/>
                <w:color w:val="auto"/>
              </w:rPr>
            </w:pPr>
          </w:p>
        </w:tc>
        <w:tc>
          <w:tcPr>
            <w:tcW w:w="86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Acquired on</w:t>
            </w:r>
          </w:p>
        </w:tc>
        <w:tc>
          <w:tcPr>
            <w:tcW w:w="80" w:type="dxa"/>
            <w:vAlign w:val="bottom"/>
            <w:shd w:val="clear" w:color="auto" w:fill="53C072"/>
          </w:tcPr>
          <w:p>
            <w:pPr>
              <w:spacing w:after="0"/>
              <w:rPr>
                <w:sz w:val="14"/>
                <w:szCs w:val="14"/>
                <w:color w:val="auto"/>
              </w:rPr>
            </w:pPr>
          </w:p>
        </w:tc>
        <w:tc>
          <w:tcPr>
            <w:tcW w:w="1240" w:type="dxa"/>
            <w:vAlign w:val="bottom"/>
            <w:gridSpan w:val="3"/>
            <w:shd w:val="clear" w:color="auto" w:fill="53C072"/>
          </w:tcPr>
          <w:p>
            <w:pPr>
              <w:jc w:val="right"/>
              <w:ind w:right="280"/>
              <w:spacing w:after="0"/>
              <w:rPr>
                <w:sz w:val="20"/>
                <w:szCs w:val="20"/>
                <w:color w:val="auto"/>
              </w:rPr>
            </w:pPr>
            <w:r>
              <w:rPr>
                <w:rFonts w:ascii="Arial" w:cs="Arial" w:eastAsia="Arial" w:hAnsi="Arial"/>
                <w:sz w:val="14"/>
                <w:szCs w:val="14"/>
                <w:b w:val="1"/>
                <w:bCs w:val="1"/>
                <w:color w:val="FEFEFE"/>
              </w:rPr>
              <w:t>Realized on</w:t>
            </w:r>
          </w:p>
        </w:tc>
        <w:tc>
          <w:tcPr>
            <w:tcW w:w="88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Acquired on</w:t>
            </w:r>
          </w:p>
        </w:tc>
        <w:tc>
          <w:tcPr>
            <w:tcW w:w="80" w:type="dxa"/>
            <w:vAlign w:val="bottom"/>
            <w:shd w:val="clear" w:color="auto" w:fill="53C072"/>
          </w:tcPr>
          <w:p>
            <w:pPr>
              <w:spacing w:after="0"/>
              <w:rPr>
                <w:sz w:val="14"/>
                <w:szCs w:val="14"/>
                <w:color w:val="auto"/>
              </w:rPr>
            </w:pPr>
          </w:p>
        </w:tc>
        <w:tc>
          <w:tcPr>
            <w:tcW w:w="1100" w:type="dxa"/>
            <w:vAlign w:val="bottom"/>
            <w:gridSpan w:val="3"/>
            <w:shd w:val="clear" w:color="auto" w:fill="53C072"/>
          </w:tcPr>
          <w:p>
            <w:pPr>
              <w:jc w:val="right"/>
              <w:ind w:right="160"/>
              <w:spacing w:after="0"/>
              <w:rPr>
                <w:sz w:val="20"/>
                <w:szCs w:val="20"/>
                <w:color w:val="auto"/>
              </w:rPr>
            </w:pPr>
            <w:r>
              <w:rPr>
                <w:rFonts w:ascii="Arial" w:cs="Arial" w:eastAsia="Arial" w:hAnsi="Arial"/>
                <w:sz w:val="14"/>
                <w:szCs w:val="14"/>
                <w:b w:val="1"/>
                <w:bCs w:val="1"/>
                <w:color w:val="FEFEFE"/>
              </w:rPr>
              <w:t>Realized on</w:t>
            </w:r>
          </w:p>
        </w:tc>
      </w:tr>
      <w:tr>
        <w:trPr>
          <w:trHeight w:val="162"/>
        </w:trPr>
        <w:tc>
          <w:tcPr>
            <w:tcW w:w="4520" w:type="dxa"/>
            <w:vAlign w:val="bottom"/>
            <w:shd w:val="clear" w:color="auto" w:fill="53C072"/>
          </w:tcPr>
          <w:p>
            <w:pPr>
              <w:spacing w:after="0"/>
              <w:rPr>
                <w:sz w:val="14"/>
                <w:szCs w:val="14"/>
                <w:color w:val="auto"/>
              </w:rPr>
            </w:pPr>
          </w:p>
        </w:tc>
        <w:tc>
          <w:tcPr>
            <w:tcW w:w="240" w:type="dxa"/>
            <w:vAlign w:val="bottom"/>
            <w:shd w:val="clear" w:color="auto" w:fill="53C072"/>
          </w:tcPr>
          <w:p>
            <w:pPr>
              <w:spacing w:after="0"/>
              <w:rPr>
                <w:sz w:val="14"/>
                <w:szCs w:val="14"/>
                <w:color w:val="auto"/>
              </w:rPr>
            </w:pPr>
          </w:p>
        </w:tc>
        <w:tc>
          <w:tcPr>
            <w:tcW w:w="6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Exercise</w:t>
            </w:r>
          </w:p>
        </w:tc>
        <w:tc>
          <w:tcPr>
            <w:tcW w:w="80" w:type="dxa"/>
            <w:vAlign w:val="bottom"/>
            <w:shd w:val="clear" w:color="auto" w:fill="53C072"/>
          </w:tcPr>
          <w:p>
            <w:pPr>
              <w:spacing w:after="0"/>
              <w:rPr>
                <w:sz w:val="14"/>
                <w:szCs w:val="14"/>
                <w:color w:val="auto"/>
              </w:rPr>
            </w:pPr>
          </w:p>
        </w:tc>
        <w:tc>
          <w:tcPr>
            <w:tcW w:w="340" w:type="dxa"/>
            <w:vAlign w:val="bottom"/>
            <w:shd w:val="clear" w:color="auto" w:fill="53C072"/>
          </w:tcPr>
          <w:p>
            <w:pPr>
              <w:spacing w:after="0"/>
              <w:rPr>
                <w:sz w:val="14"/>
                <w:szCs w:val="14"/>
                <w:color w:val="auto"/>
              </w:rPr>
            </w:pPr>
          </w:p>
        </w:tc>
        <w:tc>
          <w:tcPr>
            <w:tcW w:w="900" w:type="dxa"/>
            <w:vAlign w:val="bottom"/>
            <w:gridSpan w:val="2"/>
            <w:shd w:val="clear" w:color="auto" w:fill="53C072"/>
          </w:tcPr>
          <w:p>
            <w:pPr>
              <w:jc w:val="right"/>
              <w:ind w:right="280"/>
              <w:spacing w:after="0"/>
              <w:rPr>
                <w:sz w:val="20"/>
                <w:szCs w:val="20"/>
                <w:color w:val="auto"/>
              </w:rPr>
            </w:pPr>
            <w:r>
              <w:rPr>
                <w:rFonts w:ascii="Arial" w:cs="Arial" w:eastAsia="Arial" w:hAnsi="Arial"/>
                <w:sz w:val="14"/>
                <w:szCs w:val="14"/>
                <w:b w:val="1"/>
                <w:bCs w:val="1"/>
                <w:color w:val="FEFEFE"/>
              </w:rPr>
              <w:t>Exercise</w:t>
            </w:r>
          </w:p>
        </w:tc>
        <w:tc>
          <w:tcPr>
            <w:tcW w:w="8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Vesting</w:t>
            </w:r>
          </w:p>
        </w:tc>
        <w:tc>
          <w:tcPr>
            <w:tcW w:w="80" w:type="dxa"/>
            <w:vAlign w:val="bottom"/>
            <w:shd w:val="clear" w:color="auto" w:fill="53C072"/>
          </w:tcPr>
          <w:p>
            <w:pPr>
              <w:spacing w:after="0"/>
              <w:rPr>
                <w:sz w:val="14"/>
                <w:szCs w:val="14"/>
                <w:color w:val="auto"/>
              </w:rPr>
            </w:pPr>
          </w:p>
        </w:tc>
        <w:tc>
          <w:tcPr>
            <w:tcW w:w="260" w:type="dxa"/>
            <w:vAlign w:val="bottom"/>
            <w:shd w:val="clear" w:color="auto" w:fill="53C072"/>
          </w:tcPr>
          <w:p>
            <w:pPr>
              <w:spacing w:after="0"/>
              <w:rPr>
                <w:sz w:val="14"/>
                <w:szCs w:val="14"/>
                <w:color w:val="auto"/>
              </w:rPr>
            </w:pPr>
          </w:p>
        </w:tc>
        <w:tc>
          <w:tcPr>
            <w:tcW w:w="840" w:type="dxa"/>
            <w:vAlign w:val="bottom"/>
            <w:gridSpan w:val="2"/>
            <w:shd w:val="clear" w:color="auto" w:fill="53C072"/>
          </w:tcPr>
          <w:p>
            <w:pPr>
              <w:jc w:val="right"/>
              <w:ind w:right="160"/>
              <w:spacing w:after="0"/>
              <w:rPr>
                <w:sz w:val="20"/>
                <w:szCs w:val="20"/>
                <w:color w:val="auto"/>
              </w:rPr>
            </w:pPr>
            <w:r>
              <w:rPr>
                <w:rFonts w:ascii="Arial" w:cs="Arial" w:eastAsia="Arial" w:hAnsi="Arial"/>
                <w:sz w:val="14"/>
                <w:szCs w:val="14"/>
                <w:b w:val="1"/>
                <w:bCs w:val="1"/>
                <w:color w:val="FEFEFE"/>
              </w:rPr>
              <w:t>Vesting</w:t>
            </w:r>
          </w:p>
        </w:tc>
      </w:tr>
      <w:tr>
        <w:trPr>
          <w:trHeight w:val="185"/>
        </w:trPr>
        <w:tc>
          <w:tcPr>
            <w:tcW w:w="452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Name</w:t>
            </w:r>
          </w:p>
        </w:tc>
        <w:tc>
          <w:tcPr>
            <w:tcW w:w="240" w:type="dxa"/>
            <w:vAlign w:val="bottom"/>
            <w:shd w:val="clear" w:color="auto" w:fill="53C072"/>
          </w:tcPr>
          <w:p>
            <w:pPr>
              <w:spacing w:after="0"/>
              <w:rPr>
                <w:sz w:val="16"/>
                <w:szCs w:val="16"/>
                <w:color w:val="auto"/>
              </w:rPr>
            </w:pPr>
          </w:p>
        </w:tc>
        <w:tc>
          <w:tcPr>
            <w:tcW w:w="70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340" w:type="dxa"/>
            <w:vAlign w:val="bottom"/>
            <w:shd w:val="clear" w:color="auto" w:fill="53C072"/>
          </w:tcPr>
          <w:p>
            <w:pPr>
              <w:spacing w:after="0"/>
              <w:rPr>
                <w:sz w:val="16"/>
                <w:szCs w:val="16"/>
                <w:color w:val="auto"/>
              </w:rPr>
            </w:pPr>
          </w:p>
        </w:tc>
        <w:tc>
          <w:tcPr>
            <w:tcW w:w="6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220" w:type="dxa"/>
            <w:vAlign w:val="bottom"/>
            <w:shd w:val="clear" w:color="auto" w:fill="53C072"/>
          </w:tcPr>
          <w:p>
            <w:pPr>
              <w:spacing w:after="0"/>
              <w:rPr>
                <w:sz w:val="16"/>
                <w:szCs w:val="16"/>
                <w:color w:val="auto"/>
              </w:rPr>
            </w:pPr>
          </w:p>
        </w:tc>
        <w:tc>
          <w:tcPr>
            <w:tcW w:w="8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80" w:type="dxa"/>
            <w:vAlign w:val="bottom"/>
            <w:shd w:val="clear" w:color="auto" w:fill="53C072"/>
          </w:tcPr>
          <w:p>
            <w:pPr>
              <w:spacing w:after="0"/>
              <w:rPr>
                <w:sz w:val="16"/>
                <w:szCs w:val="16"/>
                <w:color w:val="auto"/>
              </w:rPr>
            </w:pPr>
          </w:p>
        </w:tc>
        <w:tc>
          <w:tcPr>
            <w:tcW w:w="260" w:type="dxa"/>
            <w:vAlign w:val="bottom"/>
            <w:shd w:val="clear" w:color="auto" w:fill="53C072"/>
          </w:tcPr>
          <w:p>
            <w:pPr>
              <w:spacing w:after="0"/>
              <w:rPr>
                <w:sz w:val="16"/>
                <w:szCs w:val="16"/>
                <w:color w:val="auto"/>
              </w:rPr>
            </w:pPr>
          </w:p>
        </w:tc>
        <w:tc>
          <w:tcPr>
            <w:tcW w:w="7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120" w:type="dxa"/>
            <w:vAlign w:val="bottom"/>
            <w:shd w:val="clear" w:color="auto" w:fill="53C072"/>
          </w:tcPr>
          <w:p>
            <w:pPr>
              <w:spacing w:after="0"/>
              <w:rPr>
                <w:sz w:val="16"/>
                <w:szCs w:val="16"/>
                <w:color w:val="auto"/>
              </w:rPr>
            </w:pPr>
          </w:p>
        </w:tc>
      </w:tr>
      <w:tr>
        <w:trPr>
          <w:trHeight w:val="257"/>
        </w:trPr>
        <w:tc>
          <w:tcPr>
            <w:tcW w:w="4520" w:type="dxa"/>
            <w:vAlign w:val="bottom"/>
          </w:tcPr>
          <w:p>
            <w:pPr>
              <w:ind w:left="120"/>
              <w:spacing w:after="0"/>
              <w:rPr>
                <w:sz w:val="20"/>
                <w:szCs w:val="20"/>
                <w:color w:val="auto"/>
              </w:rPr>
            </w:pPr>
            <w:r>
              <w:rPr>
                <w:rFonts w:ascii="Arial" w:cs="Arial" w:eastAsia="Arial" w:hAnsi="Arial"/>
                <w:sz w:val="18"/>
                <w:szCs w:val="18"/>
                <w:color w:val="auto"/>
              </w:rPr>
              <w:t>Philip R. Gallagher</w:t>
            </w:r>
          </w:p>
        </w:tc>
        <w:tc>
          <w:tcPr>
            <w:tcW w:w="240" w:type="dxa"/>
            <w:vAlign w:val="bottom"/>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880" w:type="dxa"/>
            <w:vAlign w:val="bottom"/>
          </w:tcPr>
          <w:p>
            <w:pPr>
              <w:jc w:val="center"/>
              <w:spacing w:after="0"/>
              <w:rPr>
                <w:sz w:val="20"/>
                <w:szCs w:val="20"/>
                <w:color w:val="auto"/>
              </w:rPr>
            </w:pPr>
            <w:r>
              <w:rPr>
                <w:rFonts w:ascii="Arial" w:cs="Arial" w:eastAsia="Arial" w:hAnsi="Arial"/>
                <w:sz w:val="18"/>
                <w:szCs w:val="18"/>
                <w:color w:val="auto"/>
              </w:rPr>
              <w:t>​115,363</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​6,059,162</w:t>
            </w:r>
          </w:p>
        </w:tc>
      </w:tr>
      <w:tr>
        <w:trPr>
          <w:trHeight w:val="257"/>
        </w:trPr>
        <w:tc>
          <w:tcPr>
            <w:tcW w:w="45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Kenneth Jacobson</w:t>
            </w:r>
          </w:p>
        </w:tc>
        <w:tc>
          <w:tcPr>
            <w:tcW w:w="240" w:type="dxa"/>
            <w:vAlign w:val="bottom"/>
            <w:shd w:val="clear" w:color="auto" w:fill="CBECD5"/>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BECD5"/>
          </w:tcPr>
          <w:p>
            <w:pPr>
              <w:jc w:val="right"/>
              <w:ind w:right="98"/>
              <w:spacing w:after="0"/>
              <w:rPr>
                <w:sz w:val="20"/>
                <w:szCs w:val="20"/>
                <w:color w:val="auto"/>
              </w:rPr>
            </w:pPr>
            <w:r>
              <w:rPr>
                <w:rFonts w:ascii="Arial" w:cs="Arial" w:eastAsia="Arial" w:hAnsi="Arial"/>
                <w:sz w:val="18"/>
                <w:szCs w:val="18"/>
                <w:color w:val="auto"/>
              </w:rPr>
              <w:t>—</w:t>
            </w:r>
          </w:p>
        </w:tc>
        <w:tc>
          <w:tcPr>
            <w:tcW w:w="8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BECD5"/>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BECD5"/>
          </w:tcPr>
          <w:p>
            <w:pPr>
              <w:jc w:val="right"/>
              <w:ind w:right="18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BECD5"/>
          </w:tcPr>
          <w:p>
            <w:pPr>
              <w:jc w:val="center"/>
              <w:spacing w:after="0"/>
              <w:rPr>
                <w:sz w:val="20"/>
                <w:szCs w:val="20"/>
                <w:color w:val="auto"/>
              </w:rPr>
            </w:pPr>
            <w:r>
              <w:rPr>
                <w:rFonts w:ascii="Arial" w:cs="Arial" w:eastAsia="Arial" w:hAnsi="Arial"/>
                <w:sz w:val="18"/>
                <w:szCs w:val="18"/>
                <w:color w:val="auto"/>
              </w:rPr>
              <w:t>​ 23,503</w:t>
            </w:r>
          </w:p>
        </w:tc>
        <w:tc>
          <w:tcPr>
            <w:tcW w:w="8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BECD5"/>
          </w:tcPr>
          <w:p>
            <w:pPr>
              <w:jc w:val="right"/>
              <w:ind w:right="100"/>
              <w:spacing w:after="0"/>
              <w:rPr>
                <w:sz w:val="20"/>
                <w:szCs w:val="20"/>
                <w:color w:val="auto"/>
              </w:rPr>
            </w:pPr>
            <w:r>
              <w:rPr>
                <w:rFonts w:ascii="Arial" w:cs="Arial" w:eastAsia="Arial" w:hAnsi="Arial"/>
                <w:sz w:val="18"/>
                <w:szCs w:val="18"/>
                <w:color w:val="auto"/>
              </w:rPr>
              <w:t>​1,234,118</w:t>
            </w:r>
          </w:p>
        </w:tc>
      </w:tr>
      <w:tr>
        <w:trPr>
          <w:trHeight w:val="256"/>
        </w:trPr>
        <w:tc>
          <w:tcPr>
            <w:tcW w:w="4520" w:type="dxa"/>
            <w:vAlign w:val="bottom"/>
          </w:tcPr>
          <w:p>
            <w:pPr>
              <w:ind w:left="120"/>
              <w:spacing w:after="0"/>
              <w:rPr>
                <w:sz w:val="20"/>
                <w:szCs w:val="20"/>
                <w:color w:val="auto"/>
              </w:rPr>
            </w:pPr>
            <w:r>
              <w:rPr>
                <w:rFonts w:ascii="Arial" w:cs="Arial" w:eastAsia="Arial" w:hAnsi="Arial"/>
                <w:sz w:val="18"/>
                <w:szCs w:val="18"/>
                <w:color w:val="auto"/>
              </w:rPr>
              <w:t>Ken E. Arnold</w:t>
            </w:r>
          </w:p>
        </w:tc>
        <w:tc>
          <w:tcPr>
            <w:tcW w:w="240" w:type="dxa"/>
            <w:vAlign w:val="bottom"/>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880" w:type="dxa"/>
            <w:vAlign w:val="bottom"/>
          </w:tcPr>
          <w:p>
            <w:pPr>
              <w:jc w:val="center"/>
              <w:spacing w:after="0"/>
              <w:rPr>
                <w:sz w:val="20"/>
                <w:szCs w:val="20"/>
                <w:color w:val="auto"/>
              </w:rPr>
            </w:pPr>
            <w:r>
              <w:rPr>
                <w:rFonts w:ascii="Arial" w:cs="Arial" w:eastAsia="Arial" w:hAnsi="Arial"/>
                <w:sz w:val="18"/>
                <w:szCs w:val="18"/>
                <w:color w:val="auto"/>
              </w:rPr>
              <w:t>​ 18,017</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946,019</w:t>
            </w:r>
          </w:p>
        </w:tc>
      </w:tr>
      <w:tr>
        <w:trPr>
          <w:trHeight w:val="257"/>
        </w:trPr>
        <w:tc>
          <w:tcPr>
            <w:tcW w:w="45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Max Chan</w:t>
            </w:r>
          </w:p>
        </w:tc>
        <w:tc>
          <w:tcPr>
            <w:tcW w:w="860" w:type="dxa"/>
            <w:vAlign w:val="bottom"/>
            <w:gridSpan w:val="2"/>
            <w:shd w:val="clear" w:color="auto" w:fill="CBECD5"/>
          </w:tcPr>
          <w:p>
            <w:pPr>
              <w:jc w:val="right"/>
              <w:ind w:right="98"/>
              <w:spacing w:after="0"/>
              <w:rPr>
                <w:sz w:val="20"/>
                <w:szCs w:val="20"/>
                <w:color w:val="auto"/>
              </w:rPr>
            </w:pPr>
            <w:r>
              <w:rPr>
                <w:rFonts w:ascii="Arial" w:cs="Arial" w:eastAsia="Arial" w:hAnsi="Arial"/>
                <w:sz w:val="18"/>
                <w:szCs w:val="18"/>
                <w:color w:val="auto"/>
              </w:rPr>
              <w:t>​9,226</w:t>
            </w:r>
          </w:p>
        </w:tc>
        <w:tc>
          <w:tcPr>
            <w:tcW w:w="8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BECD5"/>
          </w:tcPr>
          <w:p>
            <w:pPr>
              <w:jc w:val="right"/>
              <w:ind w:right="180"/>
              <w:spacing w:after="0"/>
              <w:rPr>
                <w:sz w:val="20"/>
                <w:szCs w:val="20"/>
                <w:color w:val="auto"/>
              </w:rPr>
            </w:pPr>
            <w:r>
              <w:rPr>
                <w:rFonts w:ascii="Arial" w:cs="Arial" w:eastAsia="Arial" w:hAnsi="Arial"/>
                <w:sz w:val="18"/>
                <w:szCs w:val="18"/>
                <w:color w:val="auto"/>
              </w:rPr>
              <w:t>​130,363 ​</w:t>
            </w:r>
          </w:p>
        </w:tc>
        <w:tc>
          <w:tcPr>
            <w:tcW w:w="880" w:type="dxa"/>
            <w:vAlign w:val="bottom"/>
            <w:shd w:val="clear" w:color="auto" w:fill="CBECD5"/>
          </w:tcPr>
          <w:p>
            <w:pPr>
              <w:jc w:val="center"/>
              <w:spacing w:after="0"/>
              <w:rPr>
                <w:sz w:val="20"/>
                <w:szCs w:val="20"/>
                <w:color w:val="auto"/>
              </w:rPr>
            </w:pPr>
            <w:r>
              <w:rPr>
                <w:rFonts w:ascii="Arial" w:cs="Arial" w:eastAsia="Arial" w:hAnsi="Arial"/>
                <w:sz w:val="18"/>
                <w:szCs w:val="18"/>
                <w:color w:val="auto"/>
              </w:rPr>
              <w:t>​ 10,748</w:t>
            </w:r>
          </w:p>
        </w:tc>
        <w:tc>
          <w:tcPr>
            <w:tcW w:w="8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BECD5"/>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BECD5"/>
          </w:tcPr>
          <w:p>
            <w:pPr>
              <w:jc w:val="right"/>
              <w:ind w:right="100"/>
              <w:spacing w:after="0"/>
              <w:rPr>
                <w:sz w:val="20"/>
                <w:szCs w:val="20"/>
                <w:color w:val="auto"/>
              </w:rPr>
            </w:pPr>
            <w:r>
              <w:rPr>
                <w:rFonts w:ascii="Arial" w:cs="Arial" w:eastAsia="Arial" w:hAnsi="Arial"/>
                <w:sz w:val="18"/>
                <w:szCs w:val="18"/>
                <w:color w:val="auto"/>
              </w:rPr>
              <w:t>564,059</w:t>
            </w:r>
          </w:p>
        </w:tc>
      </w:tr>
      <w:tr>
        <w:trPr>
          <w:trHeight w:val="291"/>
        </w:trPr>
        <w:tc>
          <w:tcPr>
            <w:tcW w:w="4520" w:type="dxa"/>
            <w:vAlign w:val="bottom"/>
            <w:tcBorders>
              <w:bottom w:val="single" w:sz="8" w:color="53C072"/>
            </w:tcBorders>
          </w:tcPr>
          <w:p>
            <w:pPr>
              <w:ind w:left="120"/>
              <w:spacing w:after="0"/>
              <w:rPr>
                <w:sz w:val="20"/>
                <w:szCs w:val="20"/>
                <w:color w:val="auto"/>
              </w:rPr>
            </w:pPr>
            <w:r>
              <w:rPr>
                <w:rFonts w:ascii="Arial" w:cs="Arial" w:eastAsia="Arial" w:hAnsi="Arial"/>
                <w:sz w:val="18"/>
                <w:szCs w:val="18"/>
                <w:color w:val="auto"/>
              </w:rPr>
              <w:t>Michael R. McCoy</w:t>
            </w:r>
          </w:p>
        </w:tc>
        <w:tc>
          <w:tcPr>
            <w:tcW w:w="240" w:type="dxa"/>
            <w:vAlign w:val="bottom"/>
            <w:tcBorders>
              <w:bottom w:val="single" w:sz="8" w:color="53C072"/>
            </w:tcBorders>
          </w:tcPr>
          <w:p>
            <w:pPr>
              <w:ind w:lef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53C072"/>
            </w:tcBorders>
          </w:tcPr>
          <w:p>
            <w:pPr>
              <w:jc w:val="right"/>
              <w:ind w:right="98"/>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53C072"/>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53C072"/>
            </w:tcBorders>
          </w:tcPr>
          <w:p>
            <w:pPr>
              <w:ind w:lef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53C072"/>
            </w:tcBorders>
            <w:gridSpan w:val="2"/>
          </w:tcPr>
          <w:p>
            <w:pPr>
              <w:jc w:val="right"/>
              <w:ind w:right="180"/>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 xml:space="preserve"> ​</w:t>
            </w:r>
          </w:p>
        </w:tc>
        <w:tc>
          <w:tcPr>
            <w:tcW w:w="880" w:type="dxa"/>
            <w:vAlign w:val="bottom"/>
            <w:tcBorders>
              <w:bottom w:val="single" w:sz="8" w:color="53C072"/>
            </w:tcBorders>
          </w:tcPr>
          <w:p>
            <w:pPr>
              <w:jc w:val="cente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19,601</w:t>
            </w:r>
          </w:p>
        </w:tc>
        <w:tc>
          <w:tcPr>
            <w:tcW w:w="8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53C072"/>
            </w:tcBorders>
            <w:gridSpan w:val="3"/>
          </w:tcPr>
          <w:p>
            <w:pPr>
              <w:jc w:val="right"/>
              <w:ind w:right="10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1,029,261</w:t>
            </w:r>
          </w:p>
        </w:tc>
      </w:tr>
    </w:tbl>
    <w:p>
      <w:pPr>
        <w:spacing w:after="0" w:line="89" w:lineRule="exact"/>
        <w:rPr>
          <w:sz w:val="20"/>
          <w:szCs w:val="20"/>
          <w:color w:val="auto"/>
        </w:rPr>
      </w:pPr>
    </w:p>
    <w:p>
      <w:pPr>
        <w:ind w:left="1000" w:right="539"/>
        <w:spacing w:after="0" w:line="270" w:lineRule="auto"/>
        <w:rPr>
          <w:sz w:val="20"/>
          <w:szCs w:val="20"/>
          <w:color w:val="auto"/>
        </w:rPr>
      </w:pPr>
      <w:r>
        <w:rPr>
          <w:rFonts w:ascii="Arial" w:cs="Arial" w:eastAsia="Arial" w:hAnsi="Arial"/>
          <w:sz w:val="17"/>
          <w:szCs w:val="17"/>
          <w:color w:val="auto"/>
        </w:rPr>
        <w:t>The value realized on vesting of stock awards includes (i) RSUs that vested on January 2, 2025 and (ii) the PSUs that vested on June 28, 2025, which covered the fiscal 2023 to fiscal 2025 performance period. The shares and value realized with respect to the RSUs is as follows: Mr. Gallagher — 69,487 shares and $3,632,780; Mr. Jacobson — 14,680 shares and $767,470; Mr. Arnold — 11,314 shares and $591,497;</w:t>
      </w:r>
    </w:p>
    <w:p>
      <w:pPr>
        <w:spacing w:after="0" w:line="2" w:lineRule="exact"/>
        <w:rPr>
          <w:sz w:val="20"/>
          <w:szCs w:val="20"/>
          <w:color w:val="auto"/>
        </w:rPr>
      </w:pPr>
    </w:p>
    <w:p>
      <w:pPr>
        <w:ind w:left="1000" w:right="179"/>
        <w:spacing w:after="0" w:line="250" w:lineRule="auto"/>
        <w:rPr>
          <w:sz w:val="20"/>
          <w:szCs w:val="20"/>
          <w:color w:val="auto"/>
        </w:rPr>
      </w:pPr>
      <w:r>
        <w:rPr>
          <w:rFonts w:ascii="Arial" w:cs="Arial" w:eastAsia="Arial" w:hAnsi="Arial"/>
          <w:sz w:val="18"/>
          <w:szCs w:val="18"/>
          <w:color w:val="auto"/>
        </w:rPr>
        <w:t>Mr. Chan — 7,219 shares and $377,410; and Mr. McCoy — 12,190 shares and $637,293. The shares and value realized with respect to the PSUs issued is as follows: Mr. Gallagher — 45,876 shares and $2,426,382;</w:t>
      </w:r>
    </w:p>
    <w:p>
      <w:pPr>
        <w:spacing w:after="0" w:line="1" w:lineRule="exact"/>
        <w:rPr>
          <w:sz w:val="20"/>
          <w:szCs w:val="20"/>
          <w:color w:val="auto"/>
        </w:rPr>
      </w:pPr>
    </w:p>
    <w:p>
      <w:pPr>
        <w:ind w:left="1000" w:right="619"/>
        <w:spacing w:after="0" w:line="266" w:lineRule="auto"/>
        <w:rPr>
          <w:sz w:val="20"/>
          <w:szCs w:val="20"/>
          <w:color w:val="auto"/>
        </w:rPr>
      </w:pPr>
      <w:r>
        <w:rPr>
          <w:rFonts w:ascii="Arial" w:cs="Arial" w:eastAsia="Arial" w:hAnsi="Arial"/>
          <w:sz w:val="18"/>
          <w:szCs w:val="18"/>
          <w:color w:val="auto"/>
        </w:rPr>
        <w:t>Mr. Jacobson — 8,823 shares and $466,648; Mr. Arnold — 6,703 shares and $354,522; Mr. Chan — 3,529 shares and $186,649; and Mr. McCoy — 7,411 and $391,968.</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PENSION BENEFITS</w:t>
      </w:r>
    </w:p>
    <w:p>
      <w:pPr>
        <w:spacing w:after="0" w:line="162" w:lineRule="exact"/>
        <w:rPr>
          <w:sz w:val="20"/>
          <w:szCs w:val="20"/>
          <w:color w:val="auto"/>
        </w:rPr>
      </w:pPr>
    </w:p>
    <w:p>
      <w:pPr>
        <w:ind w:left="1000" w:right="479"/>
        <w:spacing w:after="0" w:line="268" w:lineRule="auto"/>
        <w:rPr>
          <w:sz w:val="20"/>
          <w:szCs w:val="20"/>
          <w:color w:val="auto"/>
        </w:rPr>
      </w:pPr>
      <w:r>
        <w:rPr>
          <w:rFonts w:ascii="Arial" w:cs="Arial" w:eastAsia="Arial" w:hAnsi="Arial"/>
          <w:sz w:val="18"/>
          <w:szCs w:val="18"/>
          <w:color w:val="auto"/>
        </w:rPr>
        <w:t>Further to the discussion of the retirement benefits in the CD&amp;A, the Company provides a retirement benefit under a tax-qualified retirement plan, or the Pension Plan, and a retirement benefit under nonqualified retirement plans.</w:t>
      </w:r>
    </w:p>
    <w:p>
      <w:pPr>
        <w:spacing w:after="0" w:line="90" w:lineRule="exact"/>
        <w:rPr>
          <w:sz w:val="20"/>
          <w:szCs w:val="20"/>
          <w:color w:val="auto"/>
        </w:rPr>
      </w:pPr>
    </w:p>
    <w:p>
      <w:pPr>
        <w:ind w:left="1000" w:right="199"/>
        <w:spacing w:after="0" w:line="254" w:lineRule="auto"/>
        <w:rPr>
          <w:sz w:val="20"/>
          <w:szCs w:val="20"/>
          <w:color w:val="auto"/>
        </w:rPr>
      </w:pPr>
      <w:r>
        <w:rPr>
          <w:rFonts w:ascii="Arial" w:cs="Arial" w:eastAsia="Arial" w:hAnsi="Arial"/>
          <w:sz w:val="18"/>
          <w:szCs w:val="18"/>
          <w:color w:val="auto"/>
        </w:rPr>
        <w:t>The Pension Plan is a type of tax-qualified defined benefit plan commonly referred to as a cash balance plan. A participant’s benefit under the Pension Plan is based on the value of the participant’s cash balance account, which is used for record keeping purposes and does not represent any assets of the Pension Plan segregated on behalf of a participant. In general, the Pension Plan defines annual earnings as a participant’s base salary, commissions, royalties, annual cash incentive compensation, and amounts deferred pursuant to plans described in Sections 125 or 401(k) (i.e., the 401(k) Plan) of the Code. Currently, the maximum amount of earnings on which benefits can be accrued is $350,000, which is the 2025 annual maximum established by the IRS. The Pension Plan offers participants distributions in the form of various monthly annuity payments and, in most cases, a lump sum distribution option is also available to participants who have terminated employment with the Company.</w:t>
      </w:r>
    </w:p>
    <w:p>
      <w:pPr>
        <w:spacing w:after="0" w:line="118" w:lineRule="exact"/>
        <w:rPr>
          <w:sz w:val="20"/>
          <w:szCs w:val="20"/>
          <w:color w:val="auto"/>
        </w:rPr>
      </w:pPr>
    </w:p>
    <w:p>
      <w:pPr>
        <w:ind w:left="1000" w:right="299"/>
        <w:spacing w:after="0" w:line="257" w:lineRule="auto"/>
        <w:rPr>
          <w:sz w:val="20"/>
          <w:szCs w:val="20"/>
          <w:color w:val="auto"/>
        </w:rPr>
      </w:pPr>
      <w:r>
        <w:rPr>
          <w:rFonts w:ascii="Arial" w:cs="Arial" w:eastAsia="Arial" w:hAnsi="Arial"/>
          <w:sz w:val="18"/>
          <w:szCs w:val="18"/>
          <w:color w:val="auto"/>
        </w:rPr>
        <w:t>The nonqualified retirement plans consist of the Restoration Plan and the SERP. The Restoration Plan is an excess benefit plan that provides retirement income to eligible U.S. employees whose Pension Plan benefit is limited by Code limits on compensation. The Restoration Plan uses the same eligibility, vesting, formula and distribution criteria (except in cases where Code section 409A applies) found in the Pension Plan, but without considering the Code-imposed limits on the Pension Plan. The excess benefit over the Code-imposed limits in the Pension Plan is paid from the Restoration Plan.</w:t>
      </w:r>
    </w:p>
    <w:p>
      <w:pPr>
        <w:spacing w:after="0" w:line="115" w:lineRule="exact"/>
        <w:rPr>
          <w:sz w:val="20"/>
          <w:szCs w:val="20"/>
          <w:color w:val="auto"/>
        </w:rPr>
      </w:pPr>
    </w:p>
    <w:p>
      <w:pPr>
        <w:ind w:left="1000" w:right="159"/>
        <w:spacing w:after="0" w:line="291" w:lineRule="auto"/>
        <w:rPr>
          <w:sz w:val="20"/>
          <w:szCs w:val="20"/>
          <w:color w:val="auto"/>
        </w:rPr>
      </w:pPr>
      <w:r>
        <w:rPr>
          <w:rFonts w:ascii="Arial" w:cs="Arial" w:eastAsia="Arial" w:hAnsi="Arial"/>
          <w:sz w:val="17"/>
          <w:szCs w:val="17"/>
          <w:color w:val="auto"/>
        </w:rPr>
        <w:t>The SERP provides for: (1) payment of a death benefit to the designated beneficiary of each participating officer who dies while he or she is an employee of the Company in an amount equal to twice the officer’s yearly earnings (including salary and cash incentive compensation); (2) a supplemental retirement benefit payable</w:t>
      </w:r>
    </w:p>
    <w:p>
      <w:pPr>
        <w:spacing w:after="0" w:line="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62     </w:t>
      </w:r>
      <w:r>
        <w:rPr>
          <w:sz w:val="1"/>
          <w:szCs w:val="1"/>
          <w:color w:val="auto"/>
        </w:rPr>
        <w:drawing>
          <wp:inline distT="0" distB="0" distL="0" distR="0">
            <wp:extent cx="1242695" cy="24003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92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820" w:type="dxa"/>
            <w:vAlign w:val="bottom"/>
            <w:vMerge w:val="restart"/>
          </w:tcPr>
          <w:p>
            <w:pPr>
              <w:ind w:left="2580"/>
              <w:spacing w:after="0"/>
              <w:rPr>
                <w:sz w:val="20"/>
                <w:szCs w:val="20"/>
                <w:color w:val="auto"/>
              </w:rPr>
            </w:pPr>
            <w:r>
              <w:rPr>
                <w:rFonts w:ascii="Arial" w:cs="Arial" w:eastAsia="Arial" w:hAnsi="Arial"/>
                <w:sz w:val="14"/>
                <w:szCs w:val="14"/>
                <w:color w:val="auto"/>
                <w:w w:val="99"/>
              </w:rPr>
              <w:t>Compensation of Executive Officers</w:t>
            </w:r>
          </w:p>
        </w:tc>
        <w:tc>
          <w:tcPr>
            <w:tcW w:w="0" w:type="dxa"/>
            <w:vAlign w:val="bottom"/>
          </w:tcPr>
          <w:p>
            <w:pPr>
              <w:spacing w:after="0"/>
              <w:rPr>
                <w:sz w:val="1"/>
                <w:szCs w:val="1"/>
                <w:color w:val="auto"/>
              </w:rPr>
            </w:pPr>
          </w:p>
        </w:tc>
      </w:tr>
      <w:tr>
        <w:trPr>
          <w:trHeight w:val="89"/>
        </w:trPr>
        <w:tc>
          <w:tcPr>
            <w:tcW w:w="4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920" w:type="dxa"/>
            <w:vAlign w:val="bottom"/>
            <w:vMerge w:val="continue"/>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159"/>
        <w:spacing w:after="0" w:line="248" w:lineRule="auto"/>
        <w:rPr>
          <w:sz w:val="20"/>
          <w:szCs w:val="20"/>
          <w:color w:val="auto"/>
        </w:rPr>
      </w:pPr>
      <w:r>
        <w:rPr>
          <w:rFonts w:ascii="Arial" w:cs="Arial" w:eastAsia="Arial" w:hAnsi="Arial"/>
          <w:sz w:val="18"/>
          <w:szCs w:val="18"/>
          <w:color w:val="auto"/>
        </w:rPr>
        <w:t>at age 65 (if the officer has satisfied certain age and service requirements) payable monthly for two years and in a lump sum thereafter to such officer or his or her beneficiary, with the total benefit equaling the present value of ten years of payments in an amount not to exceed 36% of the officer’s eligible compensation, which is defined as the average of the highest two of the last five years’ cash compensation prior to termination; or (3) a supplemental early retirement benefit equal to the benefit described in (2) above, except that such amount is reduced for each month prior to age 65 that the participant begins to receive the benefit.</w:t>
      </w:r>
    </w:p>
    <w:p>
      <w:pPr>
        <w:spacing w:after="0" w:line="107" w:lineRule="exact"/>
        <w:rPr>
          <w:sz w:val="20"/>
          <w:szCs w:val="20"/>
          <w:color w:val="auto"/>
        </w:rPr>
      </w:pPr>
    </w:p>
    <w:p>
      <w:pPr>
        <w:ind w:left="1000" w:right="139"/>
        <w:spacing w:after="0" w:line="271" w:lineRule="auto"/>
        <w:rPr>
          <w:sz w:val="20"/>
          <w:szCs w:val="20"/>
          <w:color w:val="auto"/>
        </w:rPr>
      </w:pPr>
      <w:r>
        <w:rPr>
          <w:rFonts w:ascii="Arial" w:cs="Arial" w:eastAsia="Arial" w:hAnsi="Arial"/>
          <w:sz w:val="17"/>
          <w:szCs w:val="17"/>
          <w:color w:val="auto"/>
        </w:rPr>
        <w:t>As discussed in the CD&amp;A, the SERP was closed to new participants effective December 31, 2011, and the Restoration Plan was adopted effective January 1, 2012. Pursuant to the terms of both plans, any benefit payable under the Restoration Plan will reduce the benefit payable under the SERP. Thus, the maximum benefit payable to vested participants in both nonqualified plans will equal the benefit payable under the SERP.</w:t>
      </w:r>
    </w:p>
    <w:p>
      <w:pPr>
        <w:spacing w:after="0" w:line="89" w:lineRule="exact"/>
        <w:rPr>
          <w:sz w:val="20"/>
          <w:szCs w:val="20"/>
          <w:color w:val="auto"/>
        </w:rPr>
      </w:pPr>
    </w:p>
    <w:p>
      <w:pPr>
        <w:ind w:left="1000" w:right="299"/>
        <w:spacing w:after="0" w:line="271" w:lineRule="auto"/>
        <w:rPr>
          <w:sz w:val="20"/>
          <w:szCs w:val="20"/>
          <w:color w:val="auto"/>
        </w:rPr>
      </w:pPr>
      <w:r>
        <w:rPr>
          <w:rFonts w:ascii="Arial" w:cs="Arial" w:eastAsia="Arial" w:hAnsi="Arial"/>
          <w:sz w:val="17"/>
          <w:szCs w:val="17"/>
          <w:color w:val="auto"/>
        </w:rPr>
        <w:t>The table below shows the number of years of service credited to each such NEO, the actuarial present value of accumulated benefits payable to each of the NEOs as of the end of the fiscal year, and the payments made to each of the NEOs during the last fiscal year, if any. The present value of the accumulated benefit was determined using interest rate assumptions consistent with those used in the Company’s financial statements.</w:t>
      </w:r>
    </w:p>
    <w:p>
      <w:pPr>
        <w:spacing w:after="0" w:line="148" w:lineRule="exact"/>
        <w:rPr>
          <w:sz w:val="20"/>
          <w:szCs w:val="20"/>
          <w:color w:val="auto"/>
        </w:rPr>
      </w:pPr>
    </w:p>
    <w:tbl>
      <w:tblPr>
        <w:tblLayout w:type="fixed"/>
        <w:tblInd w:w="980" w:type="dxa"/>
        <w:tblCellMar>
          <w:top w:w="0" w:type="dxa"/>
          <w:left w:w="0" w:type="dxa"/>
          <w:bottom w:w="0" w:type="dxa"/>
          <w:right w:w="0" w:type="dxa"/>
        </w:tblCellMar>
      </w:tblPr>
      <w:tr>
        <w:trPr>
          <w:trHeight w:val="180"/>
        </w:trPr>
        <w:tc>
          <w:tcPr>
            <w:tcW w:w="2080" w:type="dxa"/>
            <w:vAlign w:val="bottom"/>
            <w:shd w:val="clear" w:color="auto" w:fill="53C072"/>
          </w:tcPr>
          <w:p>
            <w:pPr>
              <w:spacing w:after="0"/>
              <w:rPr>
                <w:sz w:val="15"/>
                <w:szCs w:val="15"/>
                <w:color w:val="auto"/>
              </w:rPr>
            </w:pPr>
          </w:p>
        </w:tc>
        <w:tc>
          <w:tcPr>
            <w:tcW w:w="3280" w:type="dxa"/>
            <w:vAlign w:val="bottom"/>
            <w:shd w:val="clear" w:color="auto" w:fill="53C072"/>
          </w:tcPr>
          <w:p>
            <w:pPr>
              <w:spacing w:after="0"/>
              <w:rPr>
                <w:sz w:val="15"/>
                <w:szCs w:val="15"/>
                <w:color w:val="auto"/>
              </w:rPr>
            </w:pPr>
          </w:p>
        </w:tc>
        <w:tc>
          <w:tcPr>
            <w:tcW w:w="1260" w:type="dxa"/>
            <w:vAlign w:val="bottom"/>
            <w:shd w:val="clear" w:color="auto" w:fill="53C072"/>
          </w:tcPr>
          <w:p>
            <w:pPr>
              <w:spacing w:after="0"/>
              <w:rPr>
                <w:sz w:val="15"/>
                <w:szCs w:val="15"/>
                <w:color w:val="auto"/>
              </w:rPr>
            </w:pPr>
          </w:p>
        </w:tc>
        <w:tc>
          <w:tcPr>
            <w:tcW w:w="1180" w:type="dxa"/>
            <w:vAlign w:val="bottom"/>
            <w:shd w:val="clear" w:color="auto" w:fill="53C072"/>
          </w:tcPr>
          <w:p>
            <w:pPr>
              <w:jc w:val="right"/>
              <w:ind w:right="76"/>
              <w:spacing w:after="0"/>
              <w:rPr>
                <w:sz w:val="20"/>
                <w:szCs w:val="20"/>
                <w:color w:val="auto"/>
              </w:rPr>
            </w:pPr>
            <w:r>
              <w:rPr>
                <w:rFonts w:ascii="Arial" w:cs="Arial" w:eastAsia="Arial" w:hAnsi="Arial"/>
                <w:sz w:val="14"/>
                <w:szCs w:val="14"/>
                <w:b w:val="1"/>
                <w:bCs w:val="1"/>
                <w:color w:val="FEFEFE"/>
              </w:rPr>
              <w:t>Present</w:t>
            </w:r>
          </w:p>
        </w:tc>
        <w:tc>
          <w:tcPr>
            <w:tcW w:w="960" w:type="dxa"/>
            <w:vAlign w:val="bottom"/>
            <w:shd w:val="clear" w:color="auto" w:fill="53C072"/>
          </w:tcPr>
          <w:p>
            <w:pPr>
              <w:spacing w:after="0"/>
              <w:rPr>
                <w:sz w:val="15"/>
                <w:szCs w:val="15"/>
                <w:color w:val="auto"/>
              </w:rPr>
            </w:pPr>
          </w:p>
        </w:tc>
      </w:tr>
      <w:tr>
        <w:trPr>
          <w:trHeight w:val="162"/>
        </w:trPr>
        <w:tc>
          <w:tcPr>
            <w:tcW w:w="2080" w:type="dxa"/>
            <w:vAlign w:val="bottom"/>
            <w:shd w:val="clear" w:color="auto" w:fill="53C072"/>
          </w:tcPr>
          <w:p>
            <w:pPr>
              <w:spacing w:after="0"/>
              <w:rPr>
                <w:sz w:val="14"/>
                <w:szCs w:val="14"/>
                <w:color w:val="auto"/>
              </w:rPr>
            </w:pPr>
          </w:p>
        </w:tc>
        <w:tc>
          <w:tcPr>
            <w:tcW w:w="3280" w:type="dxa"/>
            <w:vAlign w:val="bottom"/>
            <w:shd w:val="clear" w:color="auto" w:fill="53C072"/>
          </w:tcPr>
          <w:p>
            <w:pPr>
              <w:spacing w:after="0"/>
              <w:rPr>
                <w:sz w:val="14"/>
                <w:szCs w:val="14"/>
                <w:color w:val="auto"/>
              </w:rPr>
            </w:pPr>
          </w:p>
        </w:tc>
        <w:tc>
          <w:tcPr>
            <w:tcW w:w="1260" w:type="dxa"/>
            <w:vAlign w:val="bottom"/>
            <w:shd w:val="clear" w:color="auto" w:fill="53C072"/>
          </w:tcPr>
          <w:p>
            <w:pPr>
              <w:spacing w:after="0"/>
              <w:rPr>
                <w:sz w:val="14"/>
                <w:szCs w:val="14"/>
                <w:color w:val="auto"/>
              </w:rPr>
            </w:pPr>
          </w:p>
        </w:tc>
        <w:tc>
          <w:tcPr>
            <w:tcW w:w="1180" w:type="dxa"/>
            <w:vAlign w:val="bottom"/>
            <w:shd w:val="clear" w:color="auto" w:fill="53C072"/>
          </w:tcPr>
          <w:p>
            <w:pPr>
              <w:jc w:val="right"/>
              <w:ind w:right="76"/>
              <w:spacing w:after="0"/>
              <w:rPr>
                <w:sz w:val="20"/>
                <w:szCs w:val="20"/>
                <w:color w:val="auto"/>
              </w:rPr>
            </w:pPr>
            <w:r>
              <w:rPr>
                <w:rFonts w:ascii="Arial" w:cs="Arial" w:eastAsia="Arial" w:hAnsi="Arial"/>
                <w:sz w:val="14"/>
                <w:szCs w:val="14"/>
                <w:b w:val="1"/>
                <w:bCs w:val="1"/>
                <w:color w:val="FEFEFE"/>
              </w:rPr>
              <w:t>Value of</w:t>
            </w:r>
          </w:p>
        </w:tc>
        <w:tc>
          <w:tcPr>
            <w:tcW w:w="960" w:type="dxa"/>
            <w:vAlign w:val="bottom"/>
            <w:shd w:val="clear" w:color="auto" w:fill="53C072"/>
          </w:tcPr>
          <w:p>
            <w:pPr>
              <w:jc w:val="right"/>
              <w:ind w:right="15"/>
              <w:spacing w:after="0"/>
              <w:rPr>
                <w:sz w:val="20"/>
                <w:szCs w:val="20"/>
                <w:color w:val="auto"/>
              </w:rPr>
            </w:pPr>
            <w:r>
              <w:rPr>
                <w:rFonts w:ascii="Arial" w:cs="Arial" w:eastAsia="Arial" w:hAnsi="Arial"/>
                <w:sz w:val="14"/>
                <w:szCs w:val="14"/>
                <w:b w:val="1"/>
                <w:bCs w:val="1"/>
                <w:color w:val="FEFEFE"/>
              </w:rPr>
              <w:t>Payments</w:t>
            </w:r>
          </w:p>
        </w:tc>
      </w:tr>
      <w:tr>
        <w:trPr>
          <w:trHeight w:val="162"/>
        </w:trPr>
        <w:tc>
          <w:tcPr>
            <w:tcW w:w="2080" w:type="dxa"/>
            <w:vAlign w:val="bottom"/>
            <w:shd w:val="clear" w:color="auto" w:fill="53C072"/>
          </w:tcPr>
          <w:p>
            <w:pPr>
              <w:spacing w:after="0"/>
              <w:rPr>
                <w:sz w:val="14"/>
                <w:szCs w:val="14"/>
                <w:color w:val="auto"/>
              </w:rPr>
            </w:pPr>
          </w:p>
        </w:tc>
        <w:tc>
          <w:tcPr>
            <w:tcW w:w="3280" w:type="dxa"/>
            <w:vAlign w:val="bottom"/>
            <w:shd w:val="clear" w:color="auto" w:fill="53C072"/>
          </w:tcPr>
          <w:p>
            <w:pPr>
              <w:spacing w:after="0"/>
              <w:rPr>
                <w:sz w:val="14"/>
                <w:szCs w:val="14"/>
                <w:color w:val="auto"/>
              </w:rPr>
            </w:pPr>
          </w:p>
        </w:tc>
        <w:tc>
          <w:tcPr>
            <w:tcW w:w="1260" w:type="dxa"/>
            <w:vAlign w:val="bottom"/>
            <w:shd w:val="clear" w:color="auto" w:fill="53C072"/>
          </w:tcPr>
          <w:p>
            <w:pPr>
              <w:jc w:val="right"/>
              <w:ind w:right="74"/>
              <w:spacing w:after="0"/>
              <w:rPr>
                <w:sz w:val="20"/>
                <w:szCs w:val="20"/>
                <w:color w:val="auto"/>
              </w:rPr>
            </w:pPr>
            <w:r>
              <w:rPr>
                <w:rFonts w:ascii="Arial" w:cs="Arial" w:eastAsia="Arial" w:hAnsi="Arial"/>
                <w:sz w:val="14"/>
                <w:szCs w:val="14"/>
                <w:b w:val="1"/>
                <w:bCs w:val="1"/>
                <w:color w:val="FEFEFE"/>
              </w:rPr>
              <w:t>Number of</w:t>
            </w:r>
          </w:p>
        </w:tc>
        <w:tc>
          <w:tcPr>
            <w:tcW w:w="1180" w:type="dxa"/>
            <w:vAlign w:val="bottom"/>
            <w:shd w:val="clear" w:color="auto" w:fill="53C072"/>
          </w:tcPr>
          <w:p>
            <w:pPr>
              <w:jc w:val="right"/>
              <w:ind w:right="76"/>
              <w:spacing w:after="0"/>
              <w:rPr>
                <w:sz w:val="20"/>
                <w:szCs w:val="20"/>
                <w:color w:val="auto"/>
              </w:rPr>
            </w:pPr>
            <w:r>
              <w:rPr>
                <w:rFonts w:ascii="Arial" w:cs="Arial" w:eastAsia="Arial" w:hAnsi="Arial"/>
                <w:sz w:val="14"/>
                <w:szCs w:val="14"/>
                <w:b w:val="1"/>
                <w:bCs w:val="1"/>
                <w:color w:val="FEFEFE"/>
              </w:rPr>
              <w:t>Accumulated</w:t>
            </w:r>
          </w:p>
        </w:tc>
        <w:tc>
          <w:tcPr>
            <w:tcW w:w="960" w:type="dxa"/>
            <w:vAlign w:val="bottom"/>
            <w:shd w:val="clear" w:color="auto" w:fill="53C072"/>
          </w:tcPr>
          <w:p>
            <w:pPr>
              <w:jc w:val="right"/>
              <w:ind w:right="15"/>
              <w:spacing w:after="0"/>
              <w:rPr>
                <w:sz w:val="20"/>
                <w:szCs w:val="20"/>
                <w:color w:val="auto"/>
              </w:rPr>
            </w:pPr>
            <w:r>
              <w:rPr>
                <w:rFonts w:ascii="Arial" w:cs="Arial" w:eastAsia="Arial" w:hAnsi="Arial"/>
                <w:sz w:val="14"/>
                <w:szCs w:val="14"/>
                <w:b w:val="1"/>
                <w:bCs w:val="1"/>
                <w:color w:val="FEFEFE"/>
              </w:rPr>
              <w:t>During</w:t>
            </w:r>
          </w:p>
        </w:tc>
      </w:tr>
      <w:tr>
        <w:trPr>
          <w:trHeight w:val="162"/>
        </w:trPr>
        <w:tc>
          <w:tcPr>
            <w:tcW w:w="2080" w:type="dxa"/>
            <w:vAlign w:val="bottom"/>
            <w:shd w:val="clear" w:color="auto" w:fill="53C072"/>
          </w:tcPr>
          <w:p>
            <w:pPr>
              <w:spacing w:after="0"/>
              <w:rPr>
                <w:sz w:val="14"/>
                <w:szCs w:val="14"/>
                <w:color w:val="auto"/>
              </w:rPr>
            </w:pPr>
          </w:p>
        </w:tc>
        <w:tc>
          <w:tcPr>
            <w:tcW w:w="3280" w:type="dxa"/>
            <w:vAlign w:val="bottom"/>
            <w:shd w:val="clear" w:color="auto" w:fill="53C072"/>
          </w:tcPr>
          <w:p>
            <w:pPr>
              <w:spacing w:after="0"/>
              <w:rPr>
                <w:sz w:val="14"/>
                <w:szCs w:val="14"/>
                <w:color w:val="auto"/>
              </w:rPr>
            </w:pPr>
          </w:p>
        </w:tc>
        <w:tc>
          <w:tcPr>
            <w:tcW w:w="1260" w:type="dxa"/>
            <w:vAlign w:val="bottom"/>
            <w:shd w:val="clear" w:color="auto" w:fill="53C072"/>
          </w:tcPr>
          <w:p>
            <w:pPr>
              <w:jc w:val="right"/>
              <w:ind w:right="74"/>
              <w:spacing w:after="0"/>
              <w:rPr>
                <w:sz w:val="20"/>
                <w:szCs w:val="20"/>
                <w:color w:val="auto"/>
              </w:rPr>
            </w:pPr>
            <w:r>
              <w:rPr>
                <w:rFonts w:ascii="Arial" w:cs="Arial" w:eastAsia="Arial" w:hAnsi="Arial"/>
                <w:sz w:val="14"/>
                <w:szCs w:val="14"/>
                <w:b w:val="1"/>
                <w:bCs w:val="1"/>
                <w:color w:val="FEFEFE"/>
              </w:rPr>
              <w:t>Years Credited</w:t>
            </w:r>
          </w:p>
        </w:tc>
        <w:tc>
          <w:tcPr>
            <w:tcW w:w="1180" w:type="dxa"/>
            <w:vAlign w:val="bottom"/>
            <w:shd w:val="clear" w:color="auto" w:fill="53C072"/>
          </w:tcPr>
          <w:p>
            <w:pPr>
              <w:jc w:val="right"/>
              <w:ind w:right="76"/>
              <w:spacing w:after="0"/>
              <w:rPr>
                <w:sz w:val="20"/>
                <w:szCs w:val="20"/>
                <w:color w:val="auto"/>
              </w:rPr>
            </w:pPr>
            <w:r>
              <w:rPr>
                <w:rFonts w:ascii="Arial" w:cs="Arial" w:eastAsia="Arial" w:hAnsi="Arial"/>
                <w:sz w:val="14"/>
                <w:szCs w:val="14"/>
                <w:b w:val="1"/>
                <w:bCs w:val="1"/>
                <w:color w:val="FEFEFE"/>
              </w:rPr>
              <w:t>Benefit</w:t>
            </w:r>
          </w:p>
        </w:tc>
        <w:tc>
          <w:tcPr>
            <w:tcW w:w="960" w:type="dxa"/>
            <w:vAlign w:val="bottom"/>
            <w:shd w:val="clear" w:color="auto" w:fill="53C072"/>
          </w:tcPr>
          <w:p>
            <w:pPr>
              <w:jc w:val="right"/>
              <w:ind w:right="15"/>
              <w:spacing w:after="0"/>
              <w:rPr>
                <w:sz w:val="20"/>
                <w:szCs w:val="20"/>
                <w:color w:val="auto"/>
              </w:rPr>
            </w:pPr>
            <w:r>
              <w:rPr>
                <w:rFonts w:ascii="Arial" w:cs="Arial" w:eastAsia="Arial" w:hAnsi="Arial"/>
                <w:sz w:val="14"/>
                <w:szCs w:val="14"/>
                <w:b w:val="1"/>
                <w:bCs w:val="1"/>
                <w:color w:val="FEFEFE"/>
              </w:rPr>
              <w:t>Last Fiscal</w:t>
            </w:r>
          </w:p>
        </w:tc>
      </w:tr>
      <w:tr>
        <w:trPr>
          <w:trHeight w:val="171"/>
        </w:trPr>
        <w:tc>
          <w:tcPr>
            <w:tcW w:w="2080" w:type="dxa"/>
            <w:vAlign w:val="bottom"/>
            <w:shd w:val="clear" w:color="auto" w:fill="53C072"/>
          </w:tcPr>
          <w:p>
            <w:pPr>
              <w:ind w:left="60"/>
              <w:spacing w:after="0"/>
              <w:rPr>
                <w:sz w:val="20"/>
                <w:szCs w:val="20"/>
                <w:color w:val="auto"/>
              </w:rPr>
            </w:pPr>
            <w:r>
              <w:rPr>
                <w:rFonts w:ascii="Arial" w:cs="Arial" w:eastAsia="Arial" w:hAnsi="Arial"/>
                <w:sz w:val="14"/>
                <w:szCs w:val="14"/>
                <w:b w:val="1"/>
                <w:bCs w:val="1"/>
                <w:color w:val="FEFEFE"/>
              </w:rPr>
              <w:t>Name</w:t>
            </w:r>
          </w:p>
        </w:tc>
        <w:tc>
          <w:tcPr>
            <w:tcW w:w="3280" w:type="dxa"/>
            <w:vAlign w:val="bottom"/>
            <w:shd w:val="clear" w:color="auto" w:fill="53C072"/>
          </w:tcPr>
          <w:p>
            <w:pPr>
              <w:ind w:left="2420"/>
              <w:spacing w:after="0"/>
              <w:rPr>
                <w:sz w:val="20"/>
                <w:szCs w:val="20"/>
                <w:color w:val="auto"/>
              </w:rPr>
            </w:pPr>
            <w:r>
              <w:rPr>
                <w:rFonts w:ascii="Arial" w:cs="Arial" w:eastAsia="Arial" w:hAnsi="Arial"/>
                <w:sz w:val="14"/>
                <w:szCs w:val="14"/>
                <w:b w:val="1"/>
                <w:bCs w:val="1"/>
                <w:color w:val="FEFEFE"/>
              </w:rPr>
              <w:t>Plan Name</w:t>
            </w:r>
          </w:p>
        </w:tc>
        <w:tc>
          <w:tcPr>
            <w:tcW w:w="1260" w:type="dxa"/>
            <w:vAlign w:val="bottom"/>
            <w:shd w:val="clear" w:color="auto" w:fill="53C072"/>
          </w:tcPr>
          <w:p>
            <w:pPr>
              <w:jc w:val="right"/>
              <w:ind w:right="34"/>
              <w:spacing w:after="0"/>
              <w:rPr>
                <w:sz w:val="20"/>
                <w:szCs w:val="20"/>
                <w:color w:val="auto"/>
              </w:rPr>
            </w:pPr>
            <w:r>
              <w:rPr>
                <w:rFonts w:ascii="Arial" w:cs="Arial" w:eastAsia="Arial" w:hAnsi="Arial"/>
                <w:sz w:val="14"/>
                <w:szCs w:val="14"/>
                <w:b w:val="1"/>
                <w:bCs w:val="1"/>
                <w:color w:val="FEFEFE"/>
              </w:rPr>
              <w:t>Service (#)(1)</w:t>
            </w:r>
          </w:p>
        </w:tc>
        <w:tc>
          <w:tcPr>
            <w:tcW w:w="1180" w:type="dxa"/>
            <w:vAlign w:val="bottom"/>
            <w:shd w:val="clear" w:color="auto" w:fill="53C072"/>
          </w:tcPr>
          <w:p>
            <w:pPr>
              <w:jc w:val="right"/>
              <w:ind w:right="36"/>
              <w:spacing w:after="0"/>
              <w:rPr>
                <w:sz w:val="20"/>
                <w:szCs w:val="20"/>
                <w:color w:val="auto"/>
              </w:rPr>
            </w:pPr>
            <w:r>
              <w:rPr>
                <w:rFonts w:ascii="Arial" w:cs="Arial" w:eastAsia="Arial" w:hAnsi="Arial"/>
                <w:sz w:val="14"/>
                <w:szCs w:val="14"/>
                <w:b w:val="1"/>
                <w:bCs w:val="1"/>
                <w:color w:val="FEFEFE"/>
              </w:rPr>
              <w:t>($)</w:t>
            </w:r>
          </w:p>
        </w:tc>
        <w:tc>
          <w:tcPr>
            <w:tcW w:w="9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Year ($)</w:t>
            </w:r>
          </w:p>
        </w:tc>
      </w:tr>
      <w:tr>
        <w:trPr>
          <w:trHeight w:val="224"/>
        </w:trPr>
        <w:tc>
          <w:tcPr>
            <w:tcW w:w="2080" w:type="dxa"/>
            <w:vAlign w:val="bottom"/>
          </w:tcPr>
          <w:p>
            <w:pPr>
              <w:ind w:left="60"/>
              <w:spacing w:after="0"/>
              <w:rPr>
                <w:sz w:val="20"/>
                <w:szCs w:val="20"/>
                <w:color w:val="auto"/>
              </w:rPr>
            </w:pPr>
            <w:r>
              <w:rPr>
                <w:rFonts w:ascii="Arial" w:cs="Arial" w:eastAsia="Arial" w:hAnsi="Arial"/>
                <w:sz w:val="18"/>
                <w:szCs w:val="18"/>
                <w:color w:val="auto"/>
              </w:rPr>
              <w:t>Philip R. Gallagher</w:t>
            </w:r>
          </w:p>
        </w:tc>
        <w:tc>
          <w:tcPr>
            <w:tcW w:w="3280" w:type="dxa"/>
            <w:vAlign w:val="bottom"/>
          </w:tcPr>
          <w:p>
            <w:pPr>
              <w:ind w:left="520"/>
              <w:spacing w:after="0"/>
              <w:rPr>
                <w:sz w:val="20"/>
                <w:szCs w:val="20"/>
                <w:color w:val="auto"/>
              </w:rPr>
            </w:pPr>
            <w:r>
              <w:rPr>
                <w:rFonts w:ascii="Arial" w:cs="Arial" w:eastAsia="Arial" w:hAnsi="Arial"/>
                <w:sz w:val="18"/>
                <w:szCs w:val="18"/>
                <w:color w:val="auto"/>
              </w:rPr>
              <w:t>Pension Plan</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40.6</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220,577</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2080" w:type="dxa"/>
            <w:vAlign w:val="bottom"/>
          </w:tcPr>
          <w:p>
            <w:pPr>
              <w:spacing w:after="0"/>
              <w:rPr>
                <w:sz w:val="18"/>
                <w:szCs w:val="18"/>
                <w:color w:val="auto"/>
              </w:rPr>
            </w:pPr>
          </w:p>
        </w:tc>
        <w:tc>
          <w:tcPr>
            <w:tcW w:w="3280" w:type="dxa"/>
            <w:vAlign w:val="bottom"/>
          </w:tcPr>
          <w:p>
            <w:pPr>
              <w:ind w:left="520"/>
              <w:spacing w:after="0"/>
              <w:rPr>
                <w:sz w:val="20"/>
                <w:szCs w:val="20"/>
                <w:color w:val="auto"/>
              </w:rPr>
            </w:pPr>
            <w:r>
              <w:rPr>
                <w:rFonts w:ascii="Arial" w:cs="Arial" w:eastAsia="Arial" w:hAnsi="Arial"/>
                <w:sz w:val="18"/>
                <w:szCs w:val="18"/>
                <w:color w:val="auto"/>
              </w:rPr>
              <w:t>Nonqualified Retirement Plans(2)</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80" w:type="dxa"/>
            <w:vAlign w:val="bottom"/>
            <w:shd w:val="clear" w:color="auto" w:fill="CBECD5"/>
          </w:tcPr>
          <w:p>
            <w:pPr>
              <w:ind w:left="60"/>
              <w:spacing w:after="0"/>
              <w:rPr>
                <w:sz w:val="20"/>
                <w:szCs w:val="20"/>
                <w:color w:val="auto"/>
              </w:rPr>
            </w:pPr>
            <w:r>
              <w:rPr>
                <w:rFonts w:ascii="Arial" w:cs="Arial" w:eastAsia="Arial" w:hAnsi="Arial"/>
                <w:sz w:val="18"/>
                <w:szCs w:val="18"/>
                <w:color w:val="auto"/>
              </w:rPr>
              <w:t>Kenneth Jacobson</w:t>
            </w:r>
          </w:p>
        </w:tc>
        <w:tc>
          <w:tcPr>
            <w:tcW w:w="3280" w:type="dxa"/>
            <w:vAlign w:val="bottom"/>
            <w:shd w:val="clear" w:color="auto" w:fill="CBECD5"/>
          </w:tcPr>
          <w:p>
            <w:pPr>
              <w:ind w:left="520"/>
              <w:spacing w:after="0"/>
              <w:rPr>
                <w:sz w:val="20"/>
                <w:szCs w:val="20"/>
                <w:color w:val="auto"/>
              </w:rPr>
            </w:pPr>
            <w:r>
              <w:rPr>
                <w:rFonts w:ascii="Arial" w:cs="Arial" w:eastAsia="Arial" w:hAnsi="Arial"/>
                <w:sz w:val="18"/>
                <w:szCs w:val="18"/>
                <w:color w:val="auto"/>
              </w:rPr>
              <w:t>Pension Plan</w:t>
            </w:r>
          </w:p>
        </w:tc>
        <w:tc>
          <w:tcPr>
            <w:tcW w:w="126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10.5</w:t>
            </w:r>
          </w:p>
        </w:tc>
        <w:tc>
          <w:tcPr>
            <w:tcW w:w="1180" w:type="dxa"/>
            <w:vAlign w:val="bottom"/>
            <w:shd w:val="clear" w:color="auto" w:fill="CBECD5"/>
          </w:tcPr>
          <w:p>
            <w:pPr>
              <w:jc w:val="right"/>
              <w:ind w:right="36"/>
              <w:spacing w:after="0"/>
              <w:rPr>
                <w:sz w:val="20"/>
                <w:szCs w:val="20"/>
                <w:color w:val="auto"/>
              </w:rPr>
            </w:pPr>
            <w:r>
              <w:rPr>
                <w:rFonts w:ascii="Arial" w:cs="Arial" w:eastAsia="Arial" w:hAnsi="Arial"/>
                <w:sz w:val="18"/>
                <w:szCs w:val="18"/>
                <w:color w:val="auto"/>
              </w:rPr>
              <w:t>133,620</w:t>
            </w:r>
          </w:p>
        </w:tc>
        <w:tc>
          <w:tcPr>
            <w:tcW w:w="9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80" w:type="dxa"/>
            <w:vAlign w:val="bottom"/>
            <w:shd w:val="clear" w:color="auto" w:fill="CBECD5"/>
          </w:tcPr>
          <w:p>
            <w:pPr>
              <w:spacing w:after="0"/>
              <w:rPr>
                <w:sz w:val="18"/>
                <w:szCs w:val="18"/>
                <w:color w:val="auto"/>
              </w:rPr>
            </w:pPr>
          </w:p>
        </w:tc>
        <w:tc>
          <w:tcPr>
            <w:tcW w:w="3280" w:type="dxa"/>
            <w:vAlign w:val="bottom"/>
            <w:shd w:val="clear" w:color="auto" w:fill="CBECD5"/>
          </w:tcPr>
          <w:p>
            <w:pPr>
              <w:ind w:left="520"/>
              <w:spacing w:after="0"/>
              <w:rPr>
                <w:sz w:val="20"/>
                <w:szCs w:val="20"/>
                <w:color w:val="auto"/>
              </w:rPr>
            </w:pPr>
            <w:r>
              <w:rPr>
                <w:rFonts w:ascii="Arial" w:cs="Arial" w:eastAsia="Arial" w:hAnsi="Arial"/>
                <w:sz w:val="18"/>
                <w:szCs w:val="18"/>
                <w:color w:val="auto"/>
              </w:rPr>
              <w:t>Restoration Plan</w:t>
            </w:r>
          </w:p>
        </w:tc>
        <w:tc>
          <w:tcPr>
            <w:tcW w:w="126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10.5</w:t>
            </w:r>
          </w:p>
        </w:tc>
        <w:tc>
          <w:tcPr>
            <w:tcW w:w="1180" w:type="dxa"/>
            <w:vAlign w:val="bottom"/>
            <w:shd w:val="clear" w:color="auto" w:fill="CBECD5"/>
          </w:tcPr>
          <w:p>
            <w:pPr>
              <w:jc w:val="right"/>
              <w:ind w:right="36"/>
              <w:spacing w:after="0"/>
              <w:rPr>
                <w:sz w:val="20"/>
                <w:szCs w:val="20"/>
                <w:color w:val="auto"/>
              </w:rPr>
            </w:pPr>
            <w:r>
              <w:rPr>
                <w:rFonts w:ascii="Arial" w:cs="Arial" w:eastAsia="Arial" w:hAnsi="Arial"/>
                <w:sz w:val="18"/>
                <w:szCs w:val="18"/>
                <w:color w:val="auto"/>
              </w:rPr>
              <w:t>120,770</w:t>
            </w:r>
          </w:p>
        </w:tc>
        <w:tc>
          <w:tcPr>
            <w:tcW w:w="9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080" w:type="dxa"/>
            <w:vAlign w:val="bottom"/>
          </w:tcPr>
          <w:p>
            <w:pPr>
              <w:ind w:left="60"/>
              <w:spacing w:after="0"/>
              <w:rPr>
                <w:sz w:val="20"/>
                <w:szCs w:val="20"/>
                <w:color w:val="auto"/>
              </w:rPr>
            </w:pPr>
            <w:r>
              <w:rPr>
                <w:rFonts w:ascii="Arial" w:cs="Arial" w:eastAsia="Arial" w:hAnsi="Arial"/>
                <w:sz w:val="18"/>
                <w:szCs w:val="18"/>
                <w:color w:val="auto"/>
              </w:rPr>
              <w:t>Ken E. Arnold</w:t>
            </w:r>
          </w:p>
        </w:tc>
        <w:tc>
          <w:tcPr>
            <w:tcW w:w="3280" w:type="dxa"/>
            <w:vAlign w:val="bottom"/>
          </w:tcPr>
          <w:p>
            <w:pPr>
              <w:ind w:left="520"/>
              <w:spacing w:after="0"/>
              <w:rPr>
                <w:sz w:val="20"/>
                <w:szCs w:val="20"/>
                <w:color w:val="auto"/>
              </w:rPr>
            </w:pPr>
            <w:r>
              <w:rPr>
                <w:rFonts w:ascii="Arial" w:cs="Arial" w:eastAsia="Arial" w:hAnsi="Arial"/>
                <w:sz w:val="18"/>
                <w:szCs w:val="18"/>
                <w:color w:val="auto"/>
              </w:rPr>
              <w:t>Pension Plan</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26.5</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469,169</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2080" w:type="dxa"/>
            <w:vAlign w:val="bottom"/>
          </w:tcPr>
          <w:p>
            <w:pPr>
              <w:spacing w:after="0"/>
              <w:rPr>
                <w:sz w:val="18"/>
                <w:szCs w:val="18"/>
                <w:color w:val="auto"/>
              </w:rPr>
            </w:pPr>
          </w:p>
        </w:tc>
        <w:tc>
          <w:tcPr>
            <w:tcW w:w="3280" w:type="dxa"/>
            <w:vAlign w:val="bottom"/>
          </w:tcPr>
          <w:p>
            <w:pPr>
              <w:ind w:left="520"/>
              <w:spacing w:after="0"/>
              <w:rPr>
                <w:sz w:val="20"/>
                <w:szCs w:val="20"/>
                <w:color w:val="auto"/>
              </w:rPr>
            </w:pPr>
            <w:r>
              <w:rPr>
                <w:rFonts w:ascii="Arial" w:cs="Arial" w:eastAsia="Arial" w:hAnsi="Arial"/>
                <w:sz w:val="18"/>
                <w:szCs w:val="18"/>
                <w:color w:val="auto"/>
              </w:rPr>
              <w:t>Restoration Plan</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8.5</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206,220</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80" w:type="dxa"/>
            <w:vAlign w:val="bottom"/>
            <w:shd w:val="clear" w:color="auto" w:fill="CBECD5"/>
          </w:tcPr>
          <w:p>
            <w:pPr>
              <w:ind w:left="60"/>
              <w:spacing w:after="0"/>
              <w:rPr>
                <w:sz w:val="20"/>
                <w:szCs w:val="20"/>
                <w:color w:val="auto"/>
              </w:rPr>
            </w:pPr>
            <w:r>
              <w:rPr>
                <w:rFonts w:ascii="Arial" w:cs="Arial" w:eastAsia="Arial" w:hAnsi="Arial"/>
                <w:sz w:val="18"/>
                <w:szCs w:val="18"/>
                <w:color w:val="auto"/>
              </w:rPr>
              <w:t>Max Chan</w:t>
            </w:r>
          </w:p>
        </w:tc>
        <w:tc>
          <w:tcPr>
            <w:tcW w:w="3280" w:type="dxa"/>
            <w:vAlign w:val="bottom"/>
            <w:shd w:val="clear" w:color="auto" w:fill="CBECD5"/>
          </w:tcPr>
          <w:p>
            <w:pPr>
              <w:ind w:left="520"/>
              <w:spacing w:after="0"/>
              <w:rPr>
                <w:sz w:val="20"/>
                <w:szCs w:val="20"/>
                <w:color w:val="auto"/>
              </w:rPr>
            </w:pPr>
            <w:r>
              <w:rPr>
                <w:rFonts w:ascii="Arial" w:cs="Arial" w:eastAsia="Arial" w:hAnsi="Arial"/>
                <w:sz w:val="18"/>
                <w:szCs w:val="18"/>
                <w:color w:val="auto"/>
              </w:rPr>
              <w:t>Pension Plan</w:t>
            </w:r>
          </w:p>
        </w:tc>
        <w:tc>
          <w:tcPr>
            <w:tcW w:w="126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8.9</w:t>
            </w:r>
          </w:p>
        </w:tc>
        <w:tc>
          <w:tcPr>
            <w:tcW w:w="1180" w:type="dxa"/>
            <w:vAlign w:val="bottom"/>
            <w:shd w:val="clear" w:color="auto" w:fill="CBECD5"/>
          </w:tcPr>
          <w:p>
            <w:pPr>
              <w:jc w:val="right"/>
              <w:ind w:right="36"/>
              <w:spacing w:after="0"/>
              <w:rPr>
                <w:sz w:val="20"/>
                <w:szCs w:val="20"/>
                <w:color w:val="auto"/>
              </w:rPr>
            </w:pPr>
            <w:r>
              <w:rPr>
                <w:rFonts w:ascii="Arial" w:cs="Arial" w:eastAsia="Arial" w:hAnsi="Arial"/>
                <w:sz w:val="18"/>
                <w:szCs w:val="18"/>
                <w:color w:val="auto"/>
              </w:rPr>
              <w:t>129,220</w:t>
            </w:r>
          </w:p>
        </w:tc>
        <w:tc>
          <w:tcPr>
            <w:tcW w:w="9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80" w:type="dxa"/>
            <w:vAlign w:val="bottom"/>
            <w:shd w:val="clear" w:color="auto" w:fill="CBECD5"/>
          </w:tcPr>
          <w:p>
            <w:pPr>
              <w:spacing w:after="0"/>
              <w:rPr>
                <w:sz w:val="19"/>
                <w:szCs w:val="19"/>
                <w:color w:val="auto"/>
              </w:rPr>
            </w:pPr>
          </w:p>
        </w:tc>
        <w:tc>
          <w:tcPr>
            <w:tcW w:w="3280" w:type="dxa"/>
            <w:vAlign w:val="bottom"/>
            <w:shd w:val="clear" w:color="auto" w:fill="CBECD5"/>
          </w:tcPr>
          <w:p>
            <w:pPr>
              <w:ind w:left="520"/>
              <w:spacing w:after="0"/>
              <w:rPr>
                <w:sz w:val="20"/>
                <w:szCs w:val="20"/>
                <w:color w:val="auto"/>
              </w:rPr>
            </w:pPr>
            <w:r>
              <w:rPr>
                <w:rFonts w:ascii="Arial" w:cs="Arial" w:eastAsia="Arial" w:hAnsi="Arial"/>
                <w:sz w:val="18"/>
                <w:szCs w:val="18"/>
                <w:color w:val="auto"/>
              </w:rPr>
              <w:t>Restoration Plan</w:t>
            </w:r>
          </w:p>
        </w:tc>
        <w:tc>
          <w:tcPr>
            <w:tcW w:w="126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8.9</w:t>
            </w:r>
          </w:p>
        </w:tc>
        <w:tc>
          <w:tcPr>
            <w:tcW w:w="1180" w:type="dxa"/>
            <w:vAlign w:val="bottom"/>
            <w:shd w:val="clear" w:color="auto" w:fill="CBECD5"/>
          </w:tcPr>
          <w:p>
            <w:pPr>
              <w:jc w:val="right"/>
              <w:ind w:right="36"/>
              <w:spacing w:after="0"/>
              <w:rPr>
                <w:sz w:val="20"/>
                <w:szCs w:val="20"/>
                <w:color w:val="auto"/>
              </w:rPr>
            </w:pPr>
            <w:r>
              <w:rPr>
                <w:rFonts w:ascii="Arial" w:cs="Arial" w:eastAsia="Arial" w:hAnsi="Arial"/>
                <w:sz w:val="18"/>
                <w:szCs w:val="18"/>
                <w:color w:val="auto"/>
              </w:rPr>
              <w:t>120,970</w:t>
            </w:r>
          </w:p>
        </w:tc>
        <w:tc>
          <w:tcPr>
            <w:tcW w:w="9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2080" w:type="dxa"/>
            <w:vAlign w:val="bottom"/>
          </w:tcPr>
          <w:p>
            <w:pPr>
              <w:ind w:left="60"/>
              <w:spacing w:after="0"/>
              <w:rPr>
                <w:sz w:val="20"/>
                <w:szCs w:val="20"/>
                <w:color w:val="auto"/>
              </w:rPr>
            </w:pPr>
            <w:r>
              <w:rPr>
                <w:rFonts w:ascii="Arial" w:cs="Arial" w:eastAsia="Arial" w:hAnsi="Arial"/>
                <w:sz w:val="18"/>
                <w:szCs w:val="18"/>
                <w:color w:val="auto"/>
              </w:rPr>
              <w:t>Michael R. McCoy</w:t>
            </w:r>
          </w:p>
        </w:tc>
        <w:tc>
          <w:tcPr>
            <w:tcW w:w="3280" w:type="dxa"/>
            <w:vAlign w:val="bottom"/>
          </w:tcPr>
          <w:p>
            <w:pPr>
              <w:ind w:left="520"/>
              <w:spacing w:after="0"/>
              <w:rPr>
                <w:sz w:val="20"/>
                <w:szCs w:val="20"/>
                <w:color w:val="auto"/>
              </w:rPr>
            </w:pPr>
            <w:r>
              <w:rPr>
                <w:rFonts w:ascii="Arial" w:cs="Arial" w:eastAsia="Arial" w:hAnsi="Arial"/>
                <w:sz w:val="18"/>
                <w:szCs w:val="18"/>
                <w:color w:val="auto"/>
              </w:rPr>
              <w:t>Pension Plan</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13.5</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194,647</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2080" w:type="dxa"/>
            <w:vAlign w:val="bottom"/>
            <w:tcBorders>
              <w:bottom w:val="single" w:sz="8" w:color="53C072"/>
            </w:tcBorders>
          </w:tcPr>
          <w:p>
            <w:pPr>
              <w:spacing w:after="0"/>
              <w:rPr>
                <w:sz w:val="22"/>
                <w:szCs w:val="22"/>
                <w:color w:val="auto"/>
              </w:rPr>
            </w:pPr>
          </w:p>
        </w:tc>
        <w:tc>
          <w:tcPr>
            <w:tcW w:w="3280" w:type="dxa"/>
            <w:vAlign w:val="bottom"/>
            <w:tcBorders>
              <w:bottom w:val="single" w:sz="8" w:color="53C072"/>
            </w:tcBorders>
          </w:tcPr>
          <w:p>
            <w:pPr>
              <w:ind w:left="520"/>
              <w:spacing w:after="0"/>
              <w:rPr>
                <w:sz w:val="20"/>
                <w:szCs w:val="20"/>
                <w:color w:val="auto"/>
              </w:rPr>
            </w:pPr>
            <w:r>
              <w:rPr>
                <w:rFonts w:ascii="Arial" w:cs="Arial" w:eastAsia="Arial" w:hAnsi="Arial"/>
                <w:sz w:val="18"/>
                <w:szCs w:val="18"/>
                <w:color w:val="auto"/>
              </w:rPr>
              <w:t>Restoration Plan</w:t>
            </w:r>
          </w:p>
        </w:tc>
        <w:tc>
          <w:tcPr>
            <w:tcW w:w="1260" w:type="dxa"/>
            <w:vAlign w:val="bottom"/>
            <w:tcBorders>
              <w:bottom w:val="single" w:sz="8" w:color="53C072"/>
            </w:tcBorders>
          </w:tcPr>
          <w:p>
            <w:pPr>
              <w:jc w:val="right"/>
              <w:ind w:right="34"/>
              <w:spacing w:after="0"/>
              <w:rPr>
                <w:sz w:val="20"/>
                <w:szCs w:val="20"/>
                <w:color w:val="auto"/>
              </w:rPr>
            </w:pPr>
            <w:r>
              <w:rPr>
                <w:rFonts w:ascii="Arial" w:cs="Arial" w:eastAsia="Arial" w:hAnsi="Arial"/>
                <w:sz w:val="18"/>
                <w:szCs w:val="18"/>
                <w:color w:val="auto"/>
              </w:rPr>
              <w:t>10.5</w:t>
            </w:r>
          </w:p>
        </w:tc>
        <w:tc>
          <w:tcPr>
            <w:tcW w:w="1180" w:type="dxa"/>
            <w:vAlign w:val="bottom"/>
            <w:tcBorders>
              <w:bottom w:val="single" w:sz="8" w:color="53C072"/>
            </w:tcBorders>
          </w:tcPr>
          <w:p>
            <w:pPr>
              <w:jc w:val="right"/>
              <w:ind w:right="36"/>
              <w:spacing w:after="0"/>
              <w:rPr>
                <w:sz w:val="20"/>
                <w:szCs w:val="20"/>
                <w:color w:val="auto"/>
              </w:rPr>
            </w:pPr>
            <w:r>
              <w:rPr>
                <w:rFonts w:ascii="Arial" w:cs="Arial" w:eastAsia="Arial" w:hAnsi="Arial"/>
                <w:sz w:val="18"/>
                <w:szCs w:val="18"/>
                <w:color w:val="auto"/>
              </w:rPr>
              <w:t>135,630</w:t>
            </w:r>
          </w:p>
        </w:tc>
        <w:tc>
          <w:tcPr>
            <w:tcW w:w="96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w:t>
            </w:r>
          </w:p>
        </w:tc>
      </w:tr>
    </w:tbl>
    <w:p>
      <w:pPr>
        <w:spacing w:after="0" w:line="49" w:lineRule="exact"/>
        <w:rPr>
          <w:sz w:val="20"/>
          <w:szCs w:val="20"/>
          <w:color w:val="auto"/>
        </w:rPr>
      </w:pPr>
    </w:p>
    <w:p>
      <w:pPr>
        <w:ind w:left="1780" w:right="159" w:hanging="718"/>
        <w:spacing w:after="0" w:line="262" w:lineRule="auto"/>
        <w:tabs>
          <w:tab w:leader="none" w:pos="1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Pursuant to the terms of the Pension Plan and Restoration Plan, an employee must wait until the next open period after his or her start date before being credited with any years of service. No participant is credited with any additional years of service under the Pension Plan, Restoration Plan or the SERP beyond their actual years of service.</w:t>
      </w:r>
    </w:p>
    <w:p>
      <w:pPr>
        <w:spacing w:after="0" w:line="108" w:lineRule="exact"/>
        <w:rPr>
          <w:rFonts w:ascii="Arial" w:cs="Arial" w:eastAsia="Arial" w:hAnsi="Arial"/>
          <w:sz w:val="18"/>
          <w:szCs w:val="18"/>
          <w:color w:val="auto"/>
        </w:rPr>
      </w:pPr>
    </w:p>
    <w:p>
      <w:pPr>
        <w:ind w:left="1780" w:right="319" w:hanging="718"/>
        <w:spacing w:after="0" w:line="287" w:lineRule="auto"/>
        <w:tabs>
          <w:tab w:leader="none" w:pos="1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Only Mr. Gallagher was a participant in the SERP and he received his final payment under this Plan in fiscal 2023.</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POTENTIAL PAYOUTS UPON TERMINATION AND CHANGE OF CONTROL</w:t>
      </w:r>
    </w:p>
    <w:p>
      <w:pPr>
        <w:spacing w:after="0" w:line="206"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auto"/>
        </w:rPr>
        <w:t>Severance Benefits and Change of Control Agreements</w:t>
      </w:r>
    </w:p>
    <w:p>
      <w:pPr>
        <w:spacing w:after="0" w:line="162" w:lineRule="exact"/>
        <w:rPr>
          <w:sz w:val="20"/>
          <w:szCs w:val="20"/>
          <w:color w:val="auto"/>
        </w:rPr>
      </w:pPr>
    </w:p>
    <w:p>
      <w:pPr>
        <w:ind w:left="1000" w:right="299"/>
        <w:spacing w:after="0" w:line="257" w:lineRule="auto"/>
        <w:rPr>
          <w:sz w:val="20"/>
          <w:szCs w:val="20"/>
          <w:color w:val="auto"/>
        </w:rPr>
      </w:pPr>
      <w:r>
        <w:rPr>
          <w:rFonts w:ascii="Arial" w:cs="Arial" w:eastAsia="Arial" w:hAnsi="Arial"/>
          <w:sz w:val="18"/>
          <w:szCs w:val="18"/>
          <w:b w:val="1"/>
          <w:bCs w:val="1"/>
          <w:color w:val="53C072"/>
        </w:rPr>
        <w:t xml:space="preserve">Severance Benefits. </w:t>
      </w:r>
      <w:r>
        <w:rPr>
          <w:rFonts w:ascii="Arial" w:cs="Arial" w:eastAsia="Arial" w:hAnsi="Arial"/>
          <w:sz w:val="18"/>
          <w:szCs w:val="18"/>
          <w:color w:val="000000"/>
        </w:rPr>
        <w:t>Each of the NEOs have entered into an employment agreement with the Company,</w:t>
      </w:r>
      <w:r>
        <w:rPr>
          <w:rFonts w:ascii="Arial" w:cs="Arial" w:eastAsia="Arial" w:hAnsi="Arial"/>
          <w:sz w:val="18"/>
          <w:szCs w:val="18"/>
          <w:b w:val="1"/>
          <w:bCs w:val="1"/>
          <w:color w:val="53C072"/>
        </w:rPr>
        <w:t xml:space="preserve"> </w:t>
      </w:r>
      <w:r>
        <w:rPr>
          <w:rFonts w:ascii="Arial" w:cs="Arial" w:eastAsia="Arial" w:hAnsi="Arial"/>
          <w:sz w:val="18"/>
          <w:szCs w:val="18"/>
          <w:color w:val="000000"/>
        </w:rPr>
        <w:t>which provide for severance benefits. Specifically, if the Company terminates an NEOs employment without cause, they will receive a lump sum equal to: (1) base annual salary and (2) target bonus for the year in which the termination occurs. “Cause” generally includes gross misconduct, breach of any material term of the agreement, willful breach, habitual neglect or wanton disregard of the executive’s duties, or conviction of any criminal act.</w:t>
      </w:r>
    </w:p>
    <w:p>
      <w:pPr>
        <w:spacing w:after="0" w:line="101" w:lineRule="exact"/>
        <w:rPr>
          <w:sz w:val="20"/>
          <w:szCs w:val="20"/>
          <w:color w:val="auto"/>
        </w:rPr>
      </w:pPr>
    </w:p>
    <w:p>
      <w:pPr>
        <w:ind w:left="1000" w:right="219"/>
        <w:spacing w:after="0" w:line="291" w:lineRule="auto"/>
        <w:rPr>
          <w:sz w:val="20"/>
          <w:szCs w:val="20"/>
          <w:color w:val="auto"/>
        </w:rPr>
      </w:pPr>
      <w:r>
        <w:rPr>
          <w:rFonts w:ascii="Arial" w:cs="Arial" w:eastAsia="Arial" w:hAnsi="Arial"/>
          <w:sz w:val="17"/>
          <w:szCs w:val="17"/>
          <w:b w:val="1"/>
          <w:bCs w:val="1"/>
          <w:color w:val="53C072"/>
        </w:rPr>
        <w:t xml:space="preserve">Change of Control Agreements. </w:t>
      </w:r>
      <w:r>
        <w:rPr>
          <w:rFonts w:ascii="Arial" w:cs="Arial" w:eastAsia="Arial" w:hAnsi="Arial"/>
          <w:sz w:val="17"/>
          <w:szCs w:val="17"/>
          <w:color w:val="000000"/>
        </w:rPr>
        <w:t>Each of the NEOs entered into a change of control agreement with the</w:t>
      </w:r>
      <w:r>
        <w:rPr>
          <w:rFonts w:ascii="Arial" w:cs="Arial" w:eastAsia="Arial" w:hAnsi="Arial"/>
          <w:sz w:val="17"/>
          <w:szCs w:val="17"/>
          <w:b w:val="1"/>
          <w:bCs w:val="1"/>
          <w:color w:val="53C072"/>
        </w:rPr>
        <w:t xml:space="preserve"> </w:t>
      </w:r>
      <w:r>
        <w:rPr>
          <w:rFonts w:ascii="Arial" w:cs="Arial" w:eastAsia="Arial" w:hAnsi="Arial"/>
          <w:sz w:val="17"/>
          <w:szCs w:val="17"/>
          <w:color w:val="000000"/>
        </w:rPr>
        <w:t>Company. If an NEO is actually or constructively terminated within 24 months of a change of control, the Company must pay the NEO all accrued base salary and pro-rata incentive payments, plus 2.99 times the sum</w:t>
      </w:r>
    </w:p>
    <w:p>
      <w:pPr>
        <w:spacing w:after="0" w:line="93"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92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820" w:type="dxa"/>
            <w:vAlign w:val="bottom"/>
            <w:vMerge w:val="restart"/>
          </w:tcPr>
          <w:p>
            <w:pPr>
              <w:ind w:left="2580"/>
              <w:spacing w:after="0"/>
              <w:rPr>
                <w:sz w:val="20"/>
                <w:szCs w:val="20"/>
                <w:color w:val="auto"/>
              </w:rPr>
            </w:pPr>
            <w:r>
              <w:rPr>
                <w:rFonts w:ascii="Arial" w:cs="Arial" w:eastAsia="Arial" w:hAnsi="Arial"/>
                <w:sz w:val="14"/>
                <w:szCs w:val="14"/>
                <w:color w:val="auto"/>
                <w:w w:val="99"/>
              </w:rPr>
              <w:t>Compensation of Executive Officers</w:t>
            </w:r>
          </w:p>
        </w:tc>
        <w:tc>
          <w:tcPr>
            <w:tcW w:w="0" w:type="dxa"/>
            <w:vAlign w:val="bottom"/>
          </w:tcPr>
          <w:p>
            <w:pPr>
              <w:spacing w:after="0"/>
              <w:rPr>
                <w:sz w:val="1"/>
                <w:szCs w:val="1"/>
                <w:color w:val="auto"/>
              </w:rPr>
            </w:pPr>
          </w:p>
        </w:tc>
      </w:tr>
      <w:tr>
        <w:trPr>
          <w:trHeight w:val="89"/>
        </w:trPr>
        <w:tc>
          <w:tcPr>
            <w:tcW w:w="4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920" w:type="dxa"/>
            <w:vAlign w:val="bottom"/>
            <w:vMerge w:val="continue"/>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159"/>
        <w:spacing w:after="0" w:line="274" w:lineRule="auto"/>
        <w:rPr>
          <w:sz w:val="20"/>
          <w:szCs w:val="20"/>
          <w:color w:val="auto"/>
        </w:rPr>
      </w:pPr>
      <w:r>
        <w:rPr>
          <w:rFonts w:ascii="Arial" w:cs="Arial" w:eastAsia="Arial" w:hAnsi="Arial"/>
          <w:sz w:val="17"/>
          <w:szCs w:val="17"/>
          <w:color w:val="auto"/>
        </w:rPr>
        <w:t>of (i) the NEO’s then-current annual base salary and (ii) the NEO’s target incentive compensation for the year in which such termination occurred. Further, unvested stock options shall accelerate and vest in accordance with the early vesting provisions under the applicable stock compensation plans, and all equity incentive awards granted, but not yet delivered, will be accelerated and delivered. No NEO is entitled to a tax gross-up for excise taxes related to payments made upon a change of control. The change of control agreements between the Company and the NEOs have provisions to ensure compliance with Section 409A of the Code, by deferring any payment due upon termination of employment for up to six months to the extent required by Section 409A.</w:t>
      </w:r>
    </w:p>
    <w:p>
      <w:pPr>
        <w:spacing w:after="0" w:line="98" w:lineRule="exact"/>
        <w:rPr>
          <w:sz w:val="20"/>
          <w:szCs w:val="20"/>
          <w:color w:val="auto"/>
        </w:rPr>
      </w:pPr>
    </w:p>
    <w:p>
      <w:pPr>
        <w:ind w:left="1000" w:right="239"/>
        <w:spacing w:after="0" w:line="255" w:lineRule="auto"/>
        <w:rPr>
          <w:sz w:val="20"/>
          <w:szCs w:val="20"/>
          <w:color w:val="auto"/>
        </w:rPr>
      </w:pPr>
      <w:r>
        <w:rPr>
          <w:rFonts w:ascii="Arial" w:cs="Arial" w:eastAsia="Arial" w:hAnsi="Arial"/>
          <w:sz w:val="18"/>
          <w:szCs w:val="18"/>
          <w:color w:val="auto"/>
        </w:rPr>
        <w:t>A constructive termination includes a material diminution in the NEO’s responsibilities, a material change in the geographic location at which the NEO is primarily required to perform services, a material reduction in the NEO’s base compensation, or any other action or inaction that constitutes a material breach by the Company under its employment agreement with the NEO. A change of control includes (i) the acquisition of voting or dispositive power with respect to 50% or more of the outstanding shares of the Company’s Common Stock, (ii) a change in the individuals serving on the Board of Directors so that those serving on the effective date of the applicable agreement and those persons appointed by such individuals to the Board no longer constitute a majority of the Board, or (iii) shareholder approval of a liquidation, dissolution or sale of substantially all of the assets of the Company.</w:t>
      </w:r>
    </w:p>
    <w:p>
      <w:pPr>
        <w:spacing w:after="0" w:line="113" w:lineRule="exact"/>
        <w:rPr>
          <w:sz w:val="20"/>
          <w:szCs w:val="20"/>
          <w:color w:val="auto"/>
        </w:rPr>
      </w:pPr>
    </w:p>
    <w:p>
      <w:pPr>
        <w:ind w:left="1000" w:right="239"/>
        <w:spacing w:after="0" w:line="257" w:lineRule="auto"/>
        <w:rPr>
          <w:sz w:val="20"/>
          <w:szCs w:val="20"/>
          <w:color w:val="auto"/>
        </w:rPr>
      </w:pPr>
      <w:r>
        <w:rPr>
          <w:rFonts w:ascii="Arial" w:cs="Arial" w:eastAsia="Arial" w:hAnsi="Arial"/>
          <w:sz w:val="18"/>
          <w:szCs w:val="18"/>
          <w:b w:val="1"/>
          <w:bCs w:val="1"/>
          <w:color w:val="53C072"/>
        </w:rPr>
        <w:t xml:space="preserve">Potential Payouts upon Termination Table. </w:t>
      </w:r>
      <w:r>
        <w:rPr>
          <w:rFonts w:ascii="Arial" w:cs="Arial" w:eastAsia="Arial" w:hAnsi="Arial"/>
          <w:sz w:val="18"/>
          <w:szCs w:val="18"/>
          <w:color w:val="000000"/>
        </w:rPr>
        <w:t>The following table sets forth the estimated payments and</w:t>
      </w:r>
      <w:r>
        <w:rPr>
          <w:rFonts w:ascii="Arial" w:cs="Arial" w:eastAsia="Arial" w:hAnsi="Arial"/>
          <w:sz w:val="18"/>
          <w:szCs w:val="18"/>
          <w:b w:val="1"/>
          <w:bCs w:val="1"/>
          <w:color w:val="53C072"/>
        </w:rPr>
        <w:t xml:space="preserve"> </w:t>
      </w:r>
      <w:r>
        <w:rPr>
          <w:rFonts w:ascii="Arial" w:cs="Arial" w:eastAsia="Arial" w:hAnsi="Arial"/>
          <w:sz w:val="18"/>
          <w:szCs w:val="18"/>
          <w:color w:val="000000"/>
        </w:rPr>
        <w:t>value of benefits that each of the NEOs would be entitled to receive under their employment agreements, change of control agreements, and equity plans, in the event of the termination of their employment under various scenarios. The table assumes that the termination occurred on June 28, 2025, which is the Company’s fiscal year end. The market value of the stock awards is based on the closing market price of the Company’s Common Stock as of June 28, 2025, which was $52.66.</w:t>
      </w:r>
    </w:p>
    <w:p>
      <w:pPr>
        <w:spacing w:after="0" w:line="10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used in this section:</w:t>
      </w:r>
    </w:p>
    <w:p>
      <w:pPr>
        <w:spacing w:after="0" w:line="117" w:lineRule="exact"/>
        <w:rPr>
          <w:sz w:val="20"/>
          <w:szCs w:val="20"/>
          <w:color w:val="auto"/>
        </w:rPr>
      </w:pPr>
    </w:p>
    <w:p>
      <w:pPr>
        <w:ind w:left="1540" w:hanging="190"/>
        <w:spacing w:after="0"/>
        <w:tabs>
          <w:tab w:leader="none" w:pos="1540" w:val="left"/>
        </w:tabs>
        <w:numPr>
          <w:ilvl w:val="0"/>
          <w:numId w:val="59"/>
        </w:numPr>
        <w:rPr>
          <w:rFonts w:ascii="Arial" w:cs="Arial" w:eastAsia="Arial" w:hAnsi="Arial"/>
          <w:sz w:val="18"/>
          <w:szCs w:val="18"/>
          <w:color w:val="53C072"/>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refers to an NEO’s death;</w:t>
      </w:r>
    </w:p>
    <w:p>
      <w:pPr>
        <w:spacing w:after="0" w:line="117" w:lineRule="exact"/>
        <w:rPr>
          <w:rFonts w:ascii="Arial" w:cs="Arial" w:eastAsia="Arial" w:hAnsi="Arial"/>
          <w:sz w:val="18"/>
          <w:szCs w:val="18"/>
          <w:color w:val="53C072"/>
        </w:rPr>
      </w:pPr>
    </w:p>
    <w:p>
      <w:pPr>
        <w:ind w:left="1540" w:hanging="190"/>
        <w:spacing w:after="0"/>
        <w:tabs>
          <w:tab w:leader="none" w:pos="1540" w:val="left"/>
        </w:tabs>
        <w:numPr>
          <w:ilvl w:val="0"/>
          <w:numId w:val="59"/>
        </w:numPr>
        <w:rPr>
          <w:rFonts w:ascii="Arial" w:cs="Arial" w:eastAsia="Arial" w:hAnsi="Arial"/>
          <w:sz w:val="17"/>
          <w:szCs w:val="17"/>
          <w:color w:val="53C072"/>
        </w:rPr>
      </w:pPr>
      <w:r>
        <w:rPr>
          <w:rFonts w:ascii="Arial" w:cs="Arial" w:eastAsia="Arial" w:hAnsi="Arial"/>
          <w:sz w:val="17"/>
          <w:szCs w:val="17"/>
          <w:b w:val="1"/>
          <w:bCs w:val="1"/>
          <w:color w:val="auto"/>
        </w:rPr>
        <w:t xml:space="preserve">“Disability” </w:t>
      </w:r>
      <w:r>
        <w:rPr>
          <w:rFonts w:ascii="Arial" w:cs="Arial" w:eastAsia="Arial" w:hAnsi="Arial"/>
          <w:sz w:val="17"/>
          <w:szCs w:val="17"/>
          <w:color w:val="auto"/>
        </w:rPr>
        <w:t>refers to an NEO’s permanent and total disability during the term of the NEO’s employment;</w:t>
      </w:r>
    </w:p>
    <w:p>
      <w:pPr>
        <w:spacing w:after="0" w:line="128" w:lineRule="exact"/>
        <w:rPr>
          <w:rFonts w:ascii="Arial" w:cs="Arial" w:eastAsia="Arial" w:hAnsi="Arial"/>
          <w:sz w:val="17"/>
          <w:szCs w:val="17"/>
          <w:color w:val="53C072"/>
        </w:rPr>
      </w:pPr>
    </w:p>
    <w:p>
      <w:pPr>
        <w:ind w:left="1540" w:right="239" w:hanging="190"/>
        <w:spacing w:after="0" w:line="287" w:lineRule="auto"/>
        <w:tabs>
          <w:tab w:leader="none" w:pos="1540" w:val="left"/>
        </w:tabs>
        <w:numPr>
          <w:ilvl w:val="0"/>
          <w:numId w:val="59"/>
        </w:numPr>
        <w:rPr>
          <w:rFonts w:ascii="Arial" w:cs="Arial" w:eastAsia="Arial" w:hAnsi="Arial"/>
          <w:sz w:val="18"/>
          <w:szCs w:val="18"/>
          <w:color w:val="53C072"/>
        </w:rPr>
      </w:pPr>
      <w:r>
        <w:rPr>
          <w:rFonts w:ascii="Arial" w:cs="Arial" w:eastAsia="Arial" w:hAnsi="Arial"/>
          <w:sz w:val="18"/>
          <w:szCs w:val="18"/>
          <w:b w:val="1"/>
          <w:bCs w:val="1"/>
          <w:color w:val="auto"/>
        </w:rPr>
        <w:t xml:space="preserve">“Company Termination Without Cause” </w:t>
      </w:r>
      <w:r>
        <w:rPr>
          <w:rFonts w:ascii="Arial" w:cs="Arial" w:eastAsia="Arial" w:hAnsi="Arial"/>
          <w:sz w:val="18"/>
          <w:szCs w:val="18"/>
          <w:color w:val="auto"/>
        </w:rPr>
        <w:t>means that the NEO is fired without cause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w:t>
      </w:r>
    </w:p>
    <w:p>
      <w:pPr>
        <w:spacing w:after="0" w:line="44" w:lineRule="exact"/>
        <w:rPr>
          <w:rFonts w:ascii="Arial" w:cs="Arial" w:eastAsia="Arial" w:hAnsi="Arial"/>
          <w:sz w:val="18"/>
          <w:szCs w:val="18"/>
          <w:color w:val="53C072"/>
        </w:rPr>
      </w:pPr>
    </w:p>
    <w:p>
      <w:pPr>
        <w:ind w:left="1540" w:right="959" w:hanging="190"/>
        <w:spacing w:after="0" w:line="287" w:lineRule="auto"/>
        <w:tabs>
          <w:tab w:leader="none" w:pos="1540" w:val="left"/>
        </w:tabs>
        <w:numPr>
          <w:ilvl w:val="0"/>
          <w:numId w:val="59"/>
        </w:numPr>
        <w:rPr>
          <w:rFonts w:ascii="Arial" w:cs="Arial" w:eastAsia="Arial" w:hAnsi="Arial"/>
          <w:sz w:val="18"/>
          <w:szCs w:val="18"/>
          <w:color w:val="53C072"/>
        </w:rPr>
      </w:pPr>
      <w:r>
        <w:rPr>
          <w:rFonts w:ascii="Arial" w:cs="Arial" w:eastAsia="Arial" w:hAnsi="Arial"/>
          <w:sz w:val="18"/>
          <w:szCs w:val="18"/>
          <w:b w:val="1"/>
          <w:bCs w:val="1"/>
          <w:color w:val="auto"/>
        </w:rPr>
        <w:t xml:space="preserve">“Change of Control Termination” </w:t>
      </w:r>
      <w:r>
        <w:rPr>
          <w:rFonts w:ascii="Arial" w:cs="Arial" w:eastAsia="Arial" w:hAnsi="Arial"/>
          <w:sz w:val="18"/>
          <w:szCs w:val="18"/>
          <w:color w:val="auto"/>
        </w:rPr>
        <w:t>means the occurrence of both a change of control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constructive termination of the NEO within 24 months of the change; and</w:t>
      </w:r>
    </w:p>
    <w:p>
      <w:pPr>
        <w:spacing w:after="0" w:line="44" w:lineRule="exact"/>
        <w:rPr>
          <w:rFonts w:ascii="Arial" w:cs="Arial" w:eastAsia="Arial" w:hAnsi="Arial"/>
          <w:sz w:val="18"/>
          <w:szCs w:val="18"/>
          <w:color w:val="53C072"/>
        </w:rPr>
      </w:pPr>
    </w:p>
    <w:p>
      <w:pPr>
        <w:ind w:left="1540" w:right="319" w:hanging="190"/>
        <w:spacing w:after="0" w:line="268" w:lineRule="auto"/>
        <w:tabs>
          <w:tab w:leader="none" w:pos="1540" w:val="left"/>
        </w:tabs>
        <w:numPr>
          <w:ilvl w:val="0"/>
          <w:numId w:val="59"/>
        </w:numPr>
        <w:rPr>
          <w:rFonts w:ascii="Arial" w:cs="Arial" w:eastAsia="Arial" w:hAnsi="Arial"/>
          <w:sz w:val="18"/>
          <w:szCs w:val="18"/>
          <w:color w:val="53C072"/>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for the purpose of determining benefit under the stock plans, means all the following: (a)</w:t>
      </w:r>
      <w:r>
        <w:rPr>
          <w:rFonts w:ascii="Arial" w:cs="Arial" w:eastAsia="Arial" w:hAnsi="Arial"/>
          <w:sz w:val="18"/>
          <w:szCs w:val="18"/>
          <w:b w:val="1"/>
          <w:bCs w:val="1"/>
          <w:color w:val="auto"/>
        </w:rPr>
        <w:t xml:space="preserve"> </w:t>
      </w:r>
      <w:r>
        <w:rPr>
          <w:rFonts w:ascii="Arial" w:cs="Arial" w:eastAsia="Arial" w:hAnsi="Arial"/>
          <w:sz w:val="18"/>
          <w:szCs w:val="18"/>
          <w:color w:val="auto"/>
        </w:rPr>
        <w:t>age 55, (b) five years of service, (c) age plus years of service is equal to at least 65, and (d) the NEO must have signed a non-compete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64     </w:t>
      </w:r>
      <w:r>
        <w:rPr>
          <w:sz w:val="1"/>
          <w:szCs w:val="1"/>
          <w:color w:val="auto"/>
        </w:rPr>
        <w:drawing>
          <wp:inline distT="0" distB="0" distL="0" distR="0">
            <wp:extent cx="1242695" cy="24003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81"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Pr>
          <w:p>
            <w:pPr>
              <w:ind w:left="34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5"/>
            <w:vMerge w:val="restart"/>
          </w:tcPr>
          <w:p>
            <w:pPr>
              <w:jc w:val="right"/>
              <w:ind w:right="392"/>
              <w:spacing w:after="0"/>
              <w:rPr>
                <w:sz w:val="20"/>
                <w:szCs w:val="20"/>
                <w:color w:val="auto"/>
              </w:rPr>
            </w:pPr>
            <w:r>
              <w:rPr>
                <w:rFonts w:ascii="Arial" w:cs="Arial" w:eastAsia="Arial" w:hAnsi="Arial"/>
                <w:sz w:val="14"/>
                <w:szCs w:val="14"/>
                <w:color w:val="auto"/>
              </w:rPr>
              <w:t>Compensation of Executive Officers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3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PROXY STATEMENT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8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8"/>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432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10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68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100" w:type="dxa"/>
            <w:vAlign w:val="bottom"/>
            <w:shd w:val="clear" w:color="auto" w:fill="53C072"/>
          </w:tcPr>
          <w:p>
            <w:pPr>
              <w:spacing w:after="0"/>
              <w:rPr>
                <w:sz w:val="16"/>
                <w:szCs w:val="16"/>
                <w:color w:val="auto"/>
              </w:rPr>
            </w:pPr>
          </w:p>
        </w:tc>
        <w:tc>
          <w:tcPr>
            <w:tcW w:w="100" w:type="dxa"/>
            <w:vAlign w:val="bottom"/>
            <w:shd w:val="clear" w:color="auto" w:fill="53C072"/>
          </w:tcPr>
          <w:p>
            <w:pPr>
              <w:spacing w:after="0"/>
              <w:rPr>
                <w:sz w:val="16"/>
                <w:szCs w:val="16"/>
                <w:color w:val="auto"/>
              </w:rPr>
            </w:pPr>
          </w:p>
        </w:tc>
        <w:tc>
          <w:tcPr>
            <w:tcW w:w="720" w:type="dxa"/>
            <w:vAlign w:val="bottom"/>
            <w:shd w:val="clear" w:color="auto" w:fill="53C072"/>
          </w:tcPr>
          <w:p>
            <w:pPr>
              <w:spacing w:after="0"/>
              <w:rPr>
                <w:sz w:val="16"/>
                <w:szCs w:val="16"/>
                <w:color w:val="auto"/>
              </w:rPr>
            </w:pPr>
          </w:p>
        </w:tc>
        <w:tc>
          <w:tcPr>
            <w:tcW w:w="100" w:type="dxa"/>
            <w:vAlign w:val="bottom"/>
            <w:shd w:val="clear" w:color="auto" w:fill="53C072"/>
          </w:tcPr>
          <w:p>
            <w:pPr>
              <w:spacing w:after="0"/>
              <w:rPr>
                <w:sz w:val="16"/>
                <w:szCs w:val="16"/>
                <w:color w:val="auto"/>
              </w:rPr>
            </w:pPr>
          </w:p>
        </w:tc>
        <w:tc>
          <w:tcPr>
            <w:tcW w:w="200" w:type="dxa"/>
            <w:vAlign w:val="bottom"/>
            <w:shd w:val="clear" w:color="auto" w:fill="53C072"/>
          </w:tcPr>
          <w:p>
            <w:pPr>
              <w:spacing w:after="0"/>
              <w:rPr>
                <w:sz w:val="16"/>
                <w:szCs w:val="16"/>
                <w:color w:val="auto"/>
              </w:rPr>
            </w:pPr>
          </w:p>
        </w:tc>
        <w:tc>
          <w:tcPr>
            <w:tcW w:w="7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Company</w:t>
            </w:r>
          </w:p>
        </w:tc>
        <w:tc>
          <w:tcPr>
            <w:tcW w:w="280" w:type="dxa"/>
            <w:vAlign w:val="bottom"/>
            <w:shd w:val="clear" w:color="auto" w:fill="53C072"/>
          </w:tcPr>
          <w:p>
            <w:pPr>
              <w:spacing w:after="0"/>
              <w:rPr>
                <w:sz w:val="16"/>
                <w:szCs w:val="16"/>
                <w:color w:val="auto"/>
              </w:rPr>
            </w:pPr>
          </w:p>
        </w:tc>
        <w:tc>
          <w:tcPr>
            <w:tcW w:w="740" w:type="dxa"/>
            <w:vAlign w:val="bottom"/>
            <w:shd w:val="clear" w:color="auto" w:fill="53C072"/>
          </w:tcPr>
          <w:p>
            <w:pPr>
              <w:spacing w:after="0"/>
              <w:rPr>
                <w:sz w:val="16"/>
                <w:szCs w:val="16"/>
                <w:color w:val="auto"/>
              </w:rPr>
            </w:pPr>
          </w:p>
        </w:tc>
        <w:tc>
          <w:tcPr>
            <w:tcW w:w="320" w:type="dxa"/>
            <w:vAlign w:val="bottom"/>
            <w:shd w:val="clear" w:color="auto" w:fill="53C072"/>
          </w:tcPr>
          <w:p>
            <w:pPr>
              <w:spacing w:after="0"/>
              <w:rPr>
                <w:sz w:val="16"/>
                <w:szCs w:val="16"/>
                <w:color w:val="auto"/>
              </w:rPr>
            </w:pPr>
          </w:p>
        </w:tc>
        <w:tc>
          <w:tcPr>
            <w:tcW w:w="760" w:type="dxa"/>
            <w:vAlign w:val="bottom"/>
            <w:tcBorders>
              <w:right w:val="single" w:sz="8" w:color="53C072"/>
            </w:tcBorders>
            <w:shd w:val="clear" w:color="auto" w:fill="53C07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432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68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72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98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Termination</w:t>
            </w:r>
          </w:p>
        </w:tc>
        <w:tc>
          <w:tcPr>
            <w:tcW w:w="280" w:type="dxa"/>
            <w:vAlign w:val="bottom"/>
            <w:shd w:val="clear" w:color="auto" w:fill="53C072"/>
          </w:tcPr>
          <w:p>
            <w:pPr>
              <w:spacing w:after="0"/>
              <w:rPr>
                <w:sz w:val="14"/>
                <w:szCs w:val="14"/>
                <w:color w:val="auto"/>
              </w:rPr>
            </w:pP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w w:val="99"/>
              </w:rPr>
              <w:t>Change of</w:t>
            </w:r>
          </w:p>
        </w:tc>
        <w:tc>
          <w:tcPr>
            <w:tcW w:w="320" w:type="dxa"/>
            <w:vAlign w:val="bottom"/>
            <w:shd w:val="clear" w:color="auto" w:fill="53C072"/>
          </w:tcPr>
          <w:p>
            <w:pPr>
              <w:spacing w:after="0"/>
              <w:rPr>
                <w:sz w:val="14"/>
                <w:szCs w:val="14"/>
                <w:color w:val="auto"/>
              </w:rPr>
            </w:pPr>
          </w:p>
        </w:tc>
        <w:tc>
          <w:tcPr>
            <w:tcW w:w="760" w:type="dxa"/>
            <w:vAlign w:val="bottom"/>
            <w:tcBorders>
              <w:right w:val="single" w:sz="8" w:color="53C072"/>
            </w:tcBorders>
            <w:shd w:val="clear" w:color="auto" w:fill="53C07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432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68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7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Disability</w:t>
            </w:r>
          </w:p>
        </w:tc>
        <w:tc>
          <w:tcPr>
            <w:tcW w:w="100" w:type="dxa"/>
            <w:vAlign w:val="bottom"/>
            <w:shd w:val="clear" w:color="auto" w:fill="53C072"/>
          </w:tcPr>
          <w:p>
            <w:pPr>
              <w:spacing w:after="0"/>
              <w:rPr>
                <w:sz w:val="14"/>
                <w:szCs w:val="14"/>
                <w:color w:val="auto"/>
              </w:rPr>
            </w:pPr>
          </w:p>
        </w:tc>
        <w:tc>
          <w:tcPr>
            <w:tcW w:w="200" w:type="dxa"/>
            <w:vAlign w:val="bottom"/>
            <w:shd w:val="clear" w:color="auto" w:fill="53C072"/>
          </w:tcPr>
          <w:p>
            <w:pPr>
              <w:spacing w:after="0"/>
              <w:rPr>
                <w:sz w:val="14"/>
                <w:szCs w:val="14"/>
                <w:color w:val="auto"/>
              </w:rPr>
            </w:pPr>
          </w:p>
        </w:tc>
        <w:tc>
          <w:tcPr>
            <w:tcW w:w="7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w/o Cause</w:t>
            </w:r>
          </w:p>
        </w:tc>
        <w:tc>
          <w:tcPr>
            <w:tcW w:w="280" w:type="dxa"/>
            <w:vAlign w:val="bottom"/>
            <w:shd w:val="clear" w:color="auto" w:fill="53C072"/>
          </w:tcPr>
          <w:p>
            <w:pPr>
              <w:spacing w:after="0"/>
              <w:rPr>
                <w:sz w:val="14"/>
                <w:szCs w:val="14"/>
                <w:color w:val="auto"/>
              </w:rPr>
            </w:pP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Control</w:t>
            </w:r>
          </w:p>
        </w:tc>
        <w:tc>
          <w:tcPr>
            <w:tcW w:w="1080" w:type="dxa"/>
            <w:vAlign w:val="bottom"/>
            <w:tcBorders>
              <w:right w:val="single" w:sz="8" w:color="53C072"/>
            </w:tcBorders>
            <w:gridSpan w:val="2"/>
            <w:shd w:val="clear" w:color="auto" w:fill="53C072"/>
          </w:tcPr>
          <w:p>
            <w:pPr>
              <w:ind w:left="240"/>
              <w:spacing w:after="0"/>
              <w:rPr>
                <w:sz w:val="20"/>
                <w:szCs w:val="20"/>
                <w:color w:val="auto"/>
              </w:rPr>
            </w:pPr>
            <w:r>
              <w:rPr>
                <w:rFonts w:ascii="Arial" w:cs="Arial" w:eastAsia="Arial" w:hAnsi="Arial"/>
                <w:sz w:val="14"/>
                <w:szCs w:val="14"/>
                <w:b w:val="1"/>
                <w:bCs w:val="1"/>
                <w:color w:val="FEFEFE"/>
              </w:rPr>
              <w:t>Retirement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20"/>
                <w:szCs w:val="20"/>
                <w:color w:val="auto"/>
              </w:rPr>
            </w:pPr>
            <w:r>
              <w:rPr>
                <w:rFonts w:ascii="Arial" w:cs="Arial" w:eastAsia="Arial" w:hAnsi="Arial"/>
                <w:sz w:val="14"/>
                <w:szCs w:val="14"/>
                <w:b w:val="1"/>
                <w:bCs w:val="1"/>
                <w:color w:val="FEFEFE"/>
              </w:rPr>
              <w:t>​</w:t>
            </w:r>
          </w:p>
        </w:tc>
        <w:tc>
          <w:tcPr>
            <w:tcW w:w="432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220" w:type="dxa"/>
            <w:vAlign w:val="bottom"/>
            <w:gridSpan w:val="2"/>
            <w:shd w:val="clear" w:color="auto" w:fill="53C072"/>
          </w:tcPr>
          <w:p>
            <w:pPr>
              <w:spacing w:after="0"/>
              <w:rPr>
                <w:sz w:val="20"/>
                <w:szCs w:val="20"/>
                <w:color w:val="auto"/>
              </w:rPr>
            </w:pPr>
            <w:r>
              <w:rPr>
                <w:rFonts w:ascii="Arial" w:cs="Arial" w:eastAsia="Arial" w:hAnsi="Arial"/>
                <w:sz w:val="14"/>
                <w:szCs w:val="14"/>
                <w:b w:val="1"/>
                <w:bCs w:val="1"/>
                <w:color w:val="FEFEFE"/>
              </w:rPr>
              <w:t>​ ​</w:t>
            </w:r>
          </w:p>
        </w:tc>
        <w:tc>
          <w:tcPr>
            <w:tcW w:w="6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Death ($)</w:t>
            </w:r>
          </w:p>
        </w:tc>
        <w:tc>
          <w:tcPr>
            <w:tcW w:w="120" w:type="dxa"/>
            <w:vAlign w:val="bottom"/>
            <w:shd w:val="clear" w:color="auto" w:fill="53C072"/>
          </w:tcPr>
          <w:p>
            <w:pPr>
              <w:spacing w:after="0"/>
              <w:rPr>
                <w:sz w:val="14"/>
                <w:szCs w:val="14"/>
                <w:color w:val="auto"/>
              </w:rPr>
            </w:pPr>
          </w:p>
        </w:tc>
        <w:tc>
          <w:tcPr>
            <w:tcW w:w="200" w:type="dxa"/>
            <w:vAlign w:val="bottom"/>
            <w:gridSpan w:val="2"/>
            <w:shd w:val="clear" w:color="auto" w:fill="53C072"/>
          </w:tcPr>
          <w:p>
            <w:pPr>
              <w:spacing w:after="0"/>
              <w:rPr>
                <w:sz w:val="20"/>
                <w:szCs w:val="20"/>
                <w:color w:val="auto"/>
              </w:rPr>
            </w:pPr>
            <w:r>
              <w:rPr>
                <w:rFonts w:ascii="Arial" w:cs="Arial" w:eastAsia="Arial" w:hAnsi="Arial"/>
                <w:sz w:val="14"/>
                <w:szCs w:val="14"/>
                <w:b w:val="1"/>
                <w:bCs w:val="1"/>
                <w:color w:val="FEFEFE"/>
              </w:rPr>
              <w:t>​ ​</w:t>
            </w:r>
          </w:p>
        </w:tc>
        <w:tc>
          <w:tcPr>
            <w:tcW w:w="7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100" w:type="dxa"/>
            <w:vAlign w:val="bottom"/>
            <w:shd w:val="clear" w:color="auto" w:fill="53C072"/>
          </w:tcPr>
          <w:p>
            <w:pPr>
              <w:spacing w:after="0"/>
              <w:rPr>
                <w:sz w:val="14"/>
                <w:szCs w:val="14"/>
                <w:color w:val="auto"/>
              </w:rPr>
            </w:pPr>
          </w:p>
        </w:tc>
        <w:tc>
          <w:tcPr>
            <w:tcW w:w="200" w:type="dxa"/>
            <w:vAlign w:val="bottom"/>
            <w:shd w:val="clear" w:color="auto" w:fill="53C072"/>
          </w:tcPr>
          <w:p>
            <w:pPr>
              <w:ind w:left="20"/>
              <w:spacing w:after="0"/>
              <w:rPr>
                <w:sz w:val="20"/>
                <w:szCs w:val="20"/>
                <w:color w:val="auto"/>
              </w:rPr>
            </w:pPr>
            <w:r>
              <w:rPr>
                <w:rFonts w:ascii="Arial" w:cs="Arial" w:eastAsia="Arial" w:hAnsi="Arial"/>
                <w:sz w:val="14"/>
                <w:szCs w:val="14"/>
                <w:b w:val="1"/>
                <w:bCs w:val="1"/>
                <w:color w:val="FEFEFE"/>
              </w:rPr>
              <w:t>​ ​</w:t>
            </w:r>
          </w:p>
        </w:tc>
        <w:tc>
          <w:tcPr>
            <w:tcW w:w="7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2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 ​</w:t>
            </w: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32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 ​</w:t>
            </w:r>
          </w:p>
        </w:tc>
        <w:tc>
          <w:tcPr>
            <w:tcW w:w="760" w:type="dxa"/>
            <w:vAlign w:val="bottom"/>
            <w:tcBorders>
              <w:right w:val="single" w:sz="8" w:color="53C072"/>
            </w:tcBorders>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tcPr>
          <w:p>
            <w:pPr>
              <w:spacing w:after="0" w:line="149" w:lineRule="exact"/>
              <w:rPr>
                <w:sz w:val="20"/>
                <w:szCs w:val="20"/>
                <w:color w:val="auto"/>
              </w:rPr>
            </w:pPr>
            <w:r>
              <w:rPr>
                <w:rFonts w:ascii="Arial" w:cs="Arial" w:eastAsia="Arial" w:hAnsi="Arial"/>
                <w:sz w:val="17"/>
                <w:szCs w:val="17"/>
                <w:color w:val="auto"/>
              </w:rPr>
              <w:t>​ ​</w:t>
            </w:r>
          </w:p>
        </w:tc>
        <w:tc>
          <w:tcPr>
            <w:tcW w:w="680" w:type="dxa"/>
            <w:vAlign w:val="bottom"/>
          </w:tcPr>
          <w:p>
            <w:pPr>
              <w:spacing w:after="0"/>
              <w:rPr>
                <w:sz w:val="12"/>
                <w:szCs w:val="12"/>
                <w:color w:val="auto"/>
              </w:rPr>
            </w:pPr>
          </w:p>
        </w:tc>
        <w:tc>
          <w:tcPr>
            <w:tcW w:w="320" w:type="dxa"/>
            <w:vAlign w:val="bottom"/>
            <w:gridSpan w:val="3"/>
          </w:tcPr>
          <w:p>
            <w:pPr>
              <w:jc w:val="right"/>
              <w:spacing w:after="0" w:line="149" w:lineRule="exact"/>
              <w:rPr>
                <w:sz w:val="20"/>
                <w:szCs w:val="20"/>
                <w:color w:val="auto"/>
              </w:rPr>
            </w:pPr>
            <w:r>
              <w:rPr>
                <w:rFonts w:ascii="Arial" w:cs="Arial" w:eastAsia="Arial" w:hAnsi="Arial"/>
                <w:sz w:val="17"/>
                <w:szCs w:val="17"/>
                <w:color w:val="auto"/>
              </w:rPr>
              <w:t>​ ​ ​</w:t>
            </w:r>
          </w:p>
        </w:tc>
        <w:tc>
          <w:tcPr>
            <w:tcW w:w="720" w:type="dxa"/>
            <w:vAlign w:val="bottom"/>
          </w:tcPr>
          <w:p>
            <w:pPr>
              <w:spacing w:after="0"/>
              <w:rPr>
                <w:sz w:val="12"/>
                <w:szCs w:val="12"/>
                <w:color w:val="auto"/>
              </w:rPr>
            </w:pPr>
          </w:p>
        </w:tc>
        <w:tc>
          <w:tcPr>
            <w:tcW w:w="300" w:type="dxa"/>
            <w:vAlign w:val="bottom"/>
            <w:gridSpan w:val="2"/>
          </w:tcPr>
          <w:p>
            <w:pPr>
              <w:spacing w:after="0" w:line="149" w:lineRule="exact"/>
              <w:rPr>
                <w:sz w:val="20"/>
                <w:szCs w:val="20"/>
                <w:color w:val="auto"/>
              </w:rPr>
            </w:pPr>
            <w:r>
              <w:rPr>
                <w:rFonts w:ascii="Arial" w:cs="Arial" w:eastAsia="Arial" w:hAnsi="Arial"/>
                <w:sz w:val="17"/>
                <w:szCs w:val="17"/>
                <w:color w:val="auto"/>
              </w:rPr>
              <w:t>​ ​ ​</w:t>
            </w:r>
          </w:p>
        </w:tc>
        <w:tc>
          <w:tcPr>
            <w:tcW w:w="7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7"/>
                <w:szCs w:val="17"/>
                <w:color w:val="auto"/>
              </w:rPr>
              <w:t>​ ​ ​</w:t>
            </w:r>
          </w:p>
        </w:tc>
        <w:tc>
          <w:tcPr>
            <w:tcW w:w="740" w:type="dxa"/>
            <w:vAlign w:val="bottom"/>
          </w:tcPr>
          <w:p>
            <w:pPr>
              <w:spacing w:after="0"/>
              <w:rPr>
                <w:sz w:val="12"/>
                <w:szCs w:val="12"/>
                <w:color w:val="auto"/>
              </w:rPr>
            </w:pPr>
          </w:p>
        </w:tc>
        <w:tc>
          <w:tcPr>
            <w:tcW w:w="320" w:type="dxa"/>
            <w:vAlign w:val="bottom"/>
          </w:tcPr>
          <w:p>
            <w:pPr>
              <w:spacing w:after="0" w:line="149" w:lineRule="exact"/>
              <w:rPr>
                <w:sz w:val="20"/>
                <w:szCs w:val="20"/>
                <w:color w:val="auto"/>
              </w:rPr>
            </w:pPr>
            <w:r>
              <w:rPr>
                <w:rFonts w:ascii="Arial" w:cs="Arial" w:eastAsia="Arial" w:hAnsi="Arial"/>
                <w:sz w:val="17"/>
                <w:szCs w:val="17"/>
                <w:color w:val="auto"/>
              </w:rPr>
              <w:t>​ ​ ​</w:t>
            </w:r>
          </w:p>
        </w:tc>
        <w:tc>
          <w:tcPr>
            <w:tcW w:w="76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4440" w:type="dxa"/>
            <w:vAlign w:val="bottom"/>
            <w:gridSpan w:val="2"/>
          </w:tcPr>
          <w:p>
            <w:pPr>
              <w:spacing w:after="0"/>
              <w:rPr>
                <w:sz w:val="20"/>
                <w:szCs w:val="20"/>
                <w:color w:val="auto"/>
              </w:rPr>
            </w:pPr>
            <w:r>
              <w:rPr>
                <w:rFonts w:ascii="Arial" w:cs="Arial" w:eastAsia="Arial" w:hAnsi="Arial"/>
                <w:sz w:val="4"/>
                <w:szCs w:val="4"/>
                <w:color w:val="auto"/>
              </w:rPr>
              <w:t>Philip R. Gallagher</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line="243" w:lineRule="exact"/>
              <w:rPr>
                <w:sz w:val="20"/>
                <w:szCs w:val="20"/>
                <w:color w:val="auto"/>
              </w:rPr>
            </w:pPr>
            <w:r>
              <w:rPr>
                <w:rFonts w:ascii="Arial" w:cs="Arial" w:eastAsia="Arial" w:hAnsi="Arial"/>
                <w:sz w:val="18"/>
                <w:szCs w:val="18"/>
                <w:color w:val="auto"/>
              </w:rPr>
              <w:t>Severance</w:t>
            </w:r>
            <w:r>
              <w:rPr>
                <w:rFonts w:ascii="Arial" w:cs="Arial" w:eastAsia="Arial" w:hAnsi="Arial"/>
                <w:sz w:val="26"/>
                <w:szCs w:val="26"/>
                <w:color w:val="auto"/>
                <w:vertAlign w:val="superscript"/>
              </w:rPr>
              <w:t>(1)</w:t>
            </w:r>
          </w:p>
        </w:tc>
        <w:tc>
          <w:tcPr>
            <w:tcW w:w="12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80" w:type="dxa"/>
            <w:vAlign w:val="bottom"/>
            <w:gridSpan w:val="2"/>
          </w:tcPr>
          <w:p>
            <w:pPr>
              <w:ind w:left="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3,000,000</w:t>
            </w:r>
          </w:p>
        </w:tc>
        <w:tc>
          <w:tcPr>
            <w:tcW w:w="102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8,970,000</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43"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Settlement of previously vested stock options</w:t>
            </w:r>
          </w:p>
        </w:tc>
        <w:tc>
          <w:tcPr>
            <w:tcW w:w="120" w:type="dxa"/>
            <w:vAlign w:val="bottom"/>
          </w:tcPr>
          <w:p>
            <w:pPr>
              <w:spacing w:after="0"/>
              <w:rPr>
                <w:sz w:val="19"/>
                <w:szCs w:val="19"/>
                <w:color w:val="auto"/>
              </w:rPr>
            </w:pPr>
          </w:p>
        </w:tc>
        <w:tc>
          <w:tcPr>
            <w:tcW w:w="900" w:type="dxa"/>
            <w:vAlign w:val="bottom"/>
            <w:gridSpan w:val="3"/>
          </w:tcPr>
          <w:p>
            <w:pPr>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7,254,383</w:t>
            </w:r>
          </w:p>
        </w:tc>
        <w:tc>
          <w:tcPr>
            <w:tcW w:w="120" w:type="dxa"/>
            <w:vAlign w:val="bottom"/>
          </w:tcPr>
          <w:p>
            <w:pPr>
              <w:spacing w:after="0"/>
              <w:rPr>
                <w:sz w:val="19"/>
                <w:szCs w:val="19"/>
                <w:color w:val="auto"/>
              </w:rPr>
            </w:pPr>
          </w:p>
        </w:tc>
        <w:tc>
          <w:tcPr>
            <w:tcW w:w="920" w:type="dxa"/>
            <w:vAlign w:val="bottom"/>
            <w:gridSpan w:val="3"/>
          </w:tcPr>
          <w:p>
            <w:pPr>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7,254,383</w:t>
            </w:r>
          </w:p>
        </w:tc>
        <w:tc>
          <w:tcPr>
            <w:tcW w:w="100" w:type="dxa"/>
            <w:vAlign w:val="bottom"/>
          </w:tcPr>
          <w:p>
            <w:pPr>
              <w:spacing w:after="0"/>
              <w:rPr>
                <w:sz w:val="19"/>
                <w:szCs w:val="19"/>
                <w:color w:val="auto"/>
              </w:rPr>
            </w:pPr>
          </w:p>
        </w:tc>
        <w:tc>
          <w:tcPr>
            <w:tcW w:w="980" w:type="dxa"/>
            <w:vAlign w:val="bottom"/>
            <w:gridSpan w:val="2"/>
          </w:tcPr>
          <w:p>
            <w:pPr>
              <w:ind w:left="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7,254,383</w:t>
            </w:r>
          </w:p>
        </w:tc>
        <w:tc>
          <w:tcPr>
            <w:tcW w:w="102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7,254,383</w:t>
            </w:r>
          </w:p>
        </w:tc>
        <w:tc>
          <w:tcPr>
            <w:tcW w:w="1080" w:type="dxa"/>
            <w:vAlign w:val="bottom"/>
            <w:gridSpan w:val="2"/>
          </w:tcPr>
          <w:p>
            <w:pPr>
              <w:ind w:left="1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7,254,383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line="243" w:lineRule="exact"/>
              <w:rPr>
                <w:sz w:val="20"/>
                <w:szCs w:val="20"/>
                <w:color w:val="auto"/>
              </w:rPr>
            </w:pPr>
            <w:r>
              <w:rPr>
                <w:rFonts w:ascii="Arial" w:cs="Arial" w:eastAsia="Arial" w:hAnsi="Arial"/>
                <w:sz w:val="18"/>
                <w:szCs w:val="18"/>
                <w:color w:val="auto"/>
              </w:rPr>
              <w:t>Settlement of unvested stock options</w:t>
            </w:r>
            <w:r>
              <w:rPr>
                <w:rFonts w:ascii="Arial" w:cs="Arial" w:eastAsia="Arial" w:hAnsi="Arial"/>
                <w:sz w:val="26"/>
                <w:szCs w:val="26"/>
                <w:color w:val="auto"/>
                <w:vertAlign w:val="superscript"/>
              </w:rPr>
              <w:t>(4)</w:t>
            </w:r>
          </w:p>
        </w:tc>
        <w:tc>
          <w:tcPr>
            <w:tcW w:w="12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633,261</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633,261</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633,261</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633,261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line="243" w:lineRule="exact"/>
              <w:rPr>
                <w:sz w:val="20"/>
                <w:szCs w:val="20"/>
                <w:color w:val="auto"/>
              </w:rPr>
            </w:pPr>
            <w:r>
              <w:rPr>
                <w:rFonts w:ascii="Arial" w:cs="Arial" w:eastAsia="Arial" w:hAnsi="Arial"/>
                <w:sz w:val="18"/>
                <w:szCs w:val="18"/>
                <w:color w:val="auto"/>
              </w:rPr>
              <w:t>Settlement of RSUs</w:t>
            </w:r>
            <w:r>
              <w:rPr>
                <w:rFonts w:ascii="Arial" w:cs="Arial" w:eastAsia="Arial" w:hAnsi="Arial"/>
                <w:sz w:val="26"/>
                <w:szCs w:val="26"/>
                <w:color w:val="auto"/>
                <w:vertAlign w:val="superscript"/>
              </w:rPr>
              <w:t>(2)(4)</w:t>
            </w:r>
          </w:p>
        </w:tc>
        <w:tc>
          <w:tcPr>
            <w:tcW w:w="120" w:type="dxa"/>
            <w:vAlign w:val="bottom"/>
          </w:tcPr>
          <w:p>
            <w:pPr>
              <w:spacing w:after="0"/>
              <w:rPr>
                <w:sz w:val="21"/>
                <w:szCs w:val="21"/>
                <w:color w:val="auto"/>
              </w:rPr>
            </w:pPr>
          </w:p>
        </w:tc>
        <w:tc>
          <w:tcPr>
            <w:tcW w:w="900" w:type="dxa"/>
            <w:vAlign w:val="bottom"/>
            <w:gridSpan w:val="3"/>
          </w:tcPr>
          <w:p>
            <w:pPr>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5,619,191</w:t>
            </w:r>
          </w:p>
        </w:tc>
        <w:tc>
          <w:tcPr>
            <w:tcW w:w="120" w:type="dxa"/>
            <w:vAlign w:val="bottom"/>
          </w:tcPr>
          <w:p>
            <w:pPr>
              <w:spacing w:after="0"/>
              <w:rPr>
                <w:sz w:val="21"/>
                <w:szCs w:val="21"/>
                <w:color w:val="auto"/>
              </w:rPr>
            </w:pPr>
          </w:p>
        </w:tc>
        <w:tc>
          <w:tcPr>
            <w:tcW w:w="920" w:type="dxa"/>
            <w:vAlign w:val="bottom"/>
            <w:gridSpan w:val="3"/>
          </w:tcPr>
          <w:p>
            <w:pPr>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2,815,204</w:t>
            </w:r>
          </w:p>
        </w:tc>
        <w:tc>
          <w:tcPr>
            <w:tcW w:w="100" w:type="dxa"/>
            <w:vAlign w:val="bottom"/>
          </w:tcPr>
          <w:p>
            <w:pPr>
              <w:spacing w:after="0"/>
              <w:rPr>
                <w:sz w:val="21"/>
                <w:szCs w:val="21"/>
                <w:color w:val="auto"/>
              </w:rPr>
            </w:pPr>
          </w:p>
        </w:tc>
        <w:tc>
          <w:tcPr>
            <w:tcW w:w="980" w:type="dxa"/>
            <w:vAlign w:val="bottom"/>
            <w:gridSpan w:val="2"/>
          </w:tcPr>
          <w:p>
            <w:pPr>
              <w:ind w:left="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2,815,204</w:t>
            </w:r>
          </w:p>
        </w:tc>
        <w:tc>
          <w:tcPr>
            <w:tcW w:w="102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5,619,191</w:t>
            </w:r>
          </w:p>
        </w:tc>
        <w:tc>
          <w:tcPr>
            <w:tcW w:w="1080" w:type="dxa"/>
            <w:vAlign w:val="bottom"/>
            <w:gridSpan w:val="2"/>
          </w:tcPr>
          <w:p>
            <w:pPr>
              <w:ind w:left="1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2,815,204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line="243" w:lineRule="exact"/>
              <w:rPr>
                <w:sz w:val="20"/>
                <w:szCs w:val="20"/>
                <w:color w:val="auto"/>
              </w:rPr>
            </w:pPr>
            <w:r>
              <w:rPr>
                <w:rFonts w:ascii="Arial" w:cs="Arial" w:eastAsia="Arial" w:hAnsi="Arial"/>
                <w:sz w:val="18"/>
                <w:szCs w:val="18"/>
                <w:color w:val="auto"/>
              </w:rPr>
              <w:t>Settlement of PSUs</w:t>
            </w:r>
            <w:r>
              <w:rPr>
                <w:rFonts w:ascii="Arial" w:cs="Arial" w:eastAsia="Arial" w:hAnsi="Arial"/>
                <w:sz w:val="26"/>
                <w:szCs w:val="26"/>
                <w:color w:val="auto"/>
                <w:vertAlign w:val="superscript"/>
              </w:rPr>
              <w:t>(3)</w:t>
            </w:r>
          </w:p>
        </w:tc>
        <w:tc>
          <w:tcPr>
            <w:tcW w:w="120" w:type="dxa"/>
            <w:vAlign w:val="bottom"/>
          </w:tcPr>
          <w:p>
            <w:pPr>
              <w:spacing w:after="0"/>
              <w:rPr>
                <w:sz w:val="21"/>
                <w:szCs w:val="21"/>
                <w:color w:val="auto"/>
              </w:rPr>
            </w:pPr>
          </w:p>
        </w:tc>
        <w:tc>
          <w:tcPr>
            <w:tcW w:w="900" w:type="dxa"/>
            <w:vAlign w:val="bottom"/>
            <w:gridSpan w:val="3"/>
          </w:tcPr>
          <w:p>
            <w:pPr>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2,928,844</w:t>
            </w:r>
          </w:p>
        </w:tc>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80" w:type="dxa"/>
            <w:vAlign w:val="bottom"/>
            <w:gridSpan w:val="2"/>
          </w:tcPr>
          <w:p>
            <w:pPr>
              <w:ind w:left="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4,157,296</w:t>
            </w:r>
          </w:p>
        </w:tc>
        <w:tc>
          <w:tcPr>
            <w:tcW w:w="102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6,649,747</w:t>
            </w:r>
          </w:p>
        </w:tc>
        <w:tc>
          <w:tcPr>
            <w:tcW w:w="1080" w:type="dxa"/>
            <w:vAlign w:val="bottom"/>
            <w:gridSpan w:val="2"/>
          </w:tcPr>
          <w:p>
            <w:pPr>
              <w:ind w:left="1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4,157,296</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Welfare benefits</w:t>
            </w:r>
          </w:p>
        </w:tc>
        <w:tc>
          <w:tcPr>
            <w:tcW w:w="1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105,828</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Life insurance benefit</w:t>
            </w:r>
          </w:p>
        </w:tc>
        <w:tc>
          <w:tcPr>
            <w:tcW w:w="1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Pension</w:t>
            </w:r>
          </w:p>
        </w:tc>
        <w:tc>
          <w:tcPr>
            <w:tcW w:w="1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222,140</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222,140</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222,140</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222,140</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222,140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line="243" w:lineRule="exact"/>
              <w:rPr>
                <w:sz w:val="20"/>
                <w:szCs w:val="20"/>
                <w:color w:val="auto"/>
              </w:rPr>
            </w:pPr>
            <w:r>
              <w:rPr>
                <w:rFonts w:ascii="Arial" w:cs="Arial" w:eastAsia="Arial" w:hAnsi="Arial"/>
                <w:sz w:val="18"/>
                <w:szCs w:val="18"/>
                <w:color w:val="auto"/>
              </w:rPr>
              <w:t>Nonqualified retirement plans</w:t>
            </w:r>
            <w:r>
              <w:rPr>
                <w:rFonts w:ascii="Arial" w:cs="Arial" w:eastAsia="Arial" w:hAnsi="Arial"/>
                <w:sz w:val="26"/>
                <w:szCs w:val="26"/>
                <w:color w:val="auto"/>
                <w:vertAlign w:val="superscript"/>
              </w:rPr>
              <w:t>(5)</w:t>
            </w:r>
          </w:p>
        </w:tc>
        <w:tc>
          <w:tcPr>
            <w:tcW w:w="120" w:type="dxa"/>
            <w:vAlign w:val="bottom"/>
          </w:tcPr>
          <w:p>
            <w:pPr>
              <w:spacing w:after="0"/>
              <w:rPr>
                <w:sz w:val="21"/>
                <w:szCs w:val="21"/>
                <w:color w:val="auto"/>
              </w:rPr>
            </w:pPr>
          </w:p>
        </w:tc>
        <w:tc>
          <w:tcPr>
            <w:tcW w:w="900" w:type="dxa"/>
            <w:vAlign w:val="bottom"/>
            <w:gridSpan w:val="3"/>
          </w:tcPr>
          <w:p>
            <w:pPr>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4,992,000</w:t>
            </w:r>
          </w:p>
        </w:tc>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43"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vMerge w:val="restart"/>
          </w:tcPr>
          <w:p>
            <w:pPr>
              <w:spacing w:after="0" w:line="181" w:lineRule="exact"/>
              <w:rPr>
                <w:sz w:val="20"/>
                <w:szCs w:val="20"/>
                <w:color w:val="auto"/>
              </w:rPr>
            </w:pPr>
            <w:r>
              <w:rPr>
                <w:rFonts w:ascii="Arial" w:cs="Arial" w:eastAsia="Arial" w:hAnsi="Arial"/>
                <w:sz w:val="18"/>
                <w:szCs w:val="18"/>
                <w:color w:val="auto"/>
              </w:rPr>
              <w:t>​</w:t>
            </w: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vMerge w:val="restart"/>
          </w:tcPr>
          <w:p>
            <w:pPr>
              <w:spacing w:after="0" w:line="181" w:lineRule="exact"/>
              <w:rPr>
                <w:sz w:val="20"/>
                <w:szCs w:val="20"/>
                <w:color w:val="auto"/>
              </w:rPr>
            </w:pPr>
            <w:r>
              <w:rPr>
                <w:rFonts w:ascii="Arial" w:cs="Arial" w:eastAsia="Arial" w:hAnsi="Arial"/>
                <w:sz w:val="18"/>
                <w:szCs w:val="18"/>
                <w:color w:val="auto"/>
              </w:rPr>
              <w:t>​ ​</w:t>
            </w:r>
          </w:p>
        </w:tc>
        <w:tc>
          <w:tcPr>
            <w:tcW w:w="680" w:type="dxa"/>
            <w:vAlign w:val="bottom"/>
          </w:tcPr>
          <w:p>
            <w:pPr>
              <w:spacing w:after="0"/>
              <w:rPr>
                <w:sz w:val="2"/>
                <w:szCs w:val="2"/>
                <w:color w:val="auto"/>
              </w:rPr>
            </w:pPr>
          </w:p>
        </w:tc>
        <w:tc>
          <w:tcPr>
            <w:tcW w:w="320" w:type="dxa"/>
            <w:vAlign w:val="bottom"/>
            <w:gridSpan w:val="3"/>
            <w:vMerge w:val="restart"/>
          </w:tcPr>
          <w:p>
            <w:pPr>
              <w:jc w:val="right"/>
              <w:spacing w:after="0" w:line="181" w:lineRule="exact"/>
              <w:rPr>
                <w:sz w:val="20"/>
                <w:szCs w:val="20"/>
                <w:color w:val="auto"/>
              </w:rPr>
            </w:pPr>
            <w:r>
              <w:rPr>
                <w:rFonts w:ascii="Arial" w:cs="Arial" w:eastAsia="Arial" w:hAnsi="Arial"/>
                <w:sz w:val="18"/>
                <w:szCs w:val="18"/>
                <w:color w:val="auto"/>
              </w:rPr>
              <w:t>​ ​ ​</w:t>
            </w:r>
          </w:p>
        </w:tc>
        <w:tc>
          <w:tcPr>
            <w:tcW w:w="720" w:type="dxa"/>
            <w:vAlign w:val="bottom"/>
          </w:tcPr>
          <w:p>
            <w:pPr>
              <w:spacing w:after="0"/>
              <w:rPr>
                <w:sz w:val="2"/>
                <w:szCs w:val="2"/>
                <w:color w:val="auto"/>
              </w:rPr>
            </w:pPr>
          </w:p>
        </w:tc>
        <w:tc>
          <w:tcPr>
            <w:tcW w:w="300" w:type="dxa"/>
            <w:vAlign w:val="bottom"/>
            <w:gridSpan w:val="2"/>
            <w:vMerge w:val="restart"/>
          </w:tcPr>
          <w:p>
            <w:pPr>
              <w:spacing w:after="0" w:line="181" w:lineRule="exact"/>
              <w:rPr>
                <w:sz w:val="20"/>
                <w:szCs w:val="20"/>
                <w:color w:val="auto"/>
              </w:rPr>
            </w:pPr>
            <w:r>
              <w:rPr>
                <w:rFonts w:ascii="Arial" w:cs="Arial" w:eastAsia="Arial" w:hAnsi="Arial"/>
                <w:sz w:val="18"/>
                <w:szCs w:val="18"/>
                <w:color w:val="auto"/>
              </w:rPr>
              <w:t>​ ​ ​</w:t>
            </w:r>
          </w:p>
        </w:tc>
        <w:tc>
          <w:tcPr>
            <w:tcW w:w="780" w:type="dxa"/>
            <w:vAlign w:val="bottom"/>
          </w:tcPr>
          <w:p>
            <w:pPr>
              <w:spacing w:after="0"/>
              <w:rPr>
                <w:sz w:val="2"/>
                <w:szCs w:val="2"/>
                <w:color w:val="auto"/>
              </w:rPr>
            </w:pPr>
          </w:p>
        </w:tc>
        <w:tc>
          <w:tcPr>
            <w:tcW w:w="280" w:type="dxa"/>
            <w:vAlign w:val="bottom"/>
            <w:vMerge w:val="restart"/>
          </w:tcPr>
          <w:p>
            <w:pPr>
              <w:jc w:val="right"/>
              <w:spacing w:after="0" w:line="181" w:lineRule="exact"/>
              <w:rPr>
                <w:sz w:val="20"/>
                <w:szCs w:val="20"/>
                <w:color w:val="auto"/>
              </w:rPr>
            </w:pPr>
            <w:r>
              <w:rPr>
                <w:rFonts w:ascii="Arial" w:cs="Arial" w:eastAsia="Arial" w:hAnsi="Arial"/>
                <w:sz w:val="18"/>
                <w:szCs w:val="18"/>
                <w:color w:val="auto"/>
              </w:rPr>
              <w:t>​ ​ ​</w:t>
            </w:r>
          </w:p>
        </w:tc>
        <w:tc>
          <w:tcPr>
            <w:tcW w:w="740" w:type="dxa"/>
            <w:vAlign w:val="bottom"/>
          </w:tcPr>
          <w:p>
            <w:pPr>
              <w:spacing w:after="0"/>
              <w:rPr>
                <w:sz w:val="2"/>
                <w:szCs w:val="2"/>
                <w:color w:val="auto"/>
              </w:rPr>
            </w:pPr>
          </w:p>
        </w:tc>
        <w:tc>
          <w:tcPr>
            <w:tcW w:w="320" w:type="dxa"/>
            <w:vAlign w:val="bottom"/>
            <w:vMerge w:val="restart"/>
          </w:tcPr>
          <w:p>
            <w:pPr>
              <w:spacing w:after="0" w:line="181" w:lineRule="exact"/>
              <w:rPr>
                <w:sz w:val="20"/>
                <w:szCs w:val="20"/>
                <w:color w:val="auto"/>
              </w:rPr>
            </w:pPr>
            <w:r>
              <w:rPr>
                <w:rFonts w:ascii="Arial" w:cs="Arial" w:eastAsia="Arial" w:hAnsi="Arial"/>
                <w:sz w:val="18"/>
                <w:szCs w:val="18"/>
                <w:color w:val="auto"/>
              </w:rPr>
              <w:t>​ ​ ​</w:t>
            </w:r>
          </w:p>
        </w:tc>
        <w:tc>
          <w:tcPr>
            <w:tcW w:w="760" w:type="dxa"/>
            <w:vAlign w:val="bottom"/>
          </w:tcPr>
          <w:p>
            <w:pPr>
              <w:spacing w:after="0"/>
              <w:rPr>
                <w:sz w:val="2"/>
                <w:szCs w:val="2"/>
                <w:color w:val="auto"/>
              </w:rPr>
            </w:pPr>
          </w:p>
        </w:tc>
        <w:tc>
          <w:tcPr>
            <w:tcW w:w="60" w:type="dxa"/>
            <w:vAlign w:val="bottom"/>
            <w:vMerge w:val="restart"/>
          </w:tcPr>
          <w:p>
            <w:pPr>
              <w:jc w:val="right"/>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BECD5"/>
          </w:tcPr>
          <w:p>
            <w:pPr>
              <w:spacing w:after="0"/>
              <w:rPr>
                <w:sz w:val="12"/>
                <w:szCs w:val="12"/>
                <w:color w:val="auto"/>
              </w:rPr>
            </w:pPr>
          </w:p>
        </w:tc>
        <w:tc>
          <w:tcPr>
            <w:tcW w:w="120" w:type="dxa"/>
            <w:vAlign w:val="bottom"/>
            <w:vMerge w:val="continue"/>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shd w:val="clear" w:color="auto" w:fill="CBECD5"/>
          </w:tcPr>
          <w:p>
            <w:pPr>
              <w:spacing w:after="0"/>
              <w:rPr>
                <w:sz w:val="7"/>
                <w:szCs w:val="7"/>
                <w:color w:val="auto"/>
              </w:rPr>
            </w:pPr>
          </w:p>
        </w:tc>
        <w:tc>
          <w:tcPr>
            <w:tcW w:w="4440" w:type="dxa"/>
            <w:vAlign w:val="bottom"/>
            <w:gridSpan w:val="2"/>
          </w:tcPr>
          <w:p>
            <w:pPr>
              <w:spacing w:after="0" w:line="81" w:lineRule="exact"/>
              <w:rPr>
                <w:sz w:val="20"/>
                <w:szCs w:val="20"/>
                <w:color w:val="auto"/>
              </w:rPr>
            </w:pPr>
            <w:r>
              <w:rPr>
                <w:rFonts w:ascii="Arial" w:cs="Arial" w:eastAsia="Arial" w:hAnsi="Arial"/>
                <w:sz w:val="9"/>
                <w:szCs w:val="9"/>
                <w:color w:val="auto"/>
              </w:rPr>
              <w:t>Kenneth Jacobson</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40" w:type="dxa"/>
            <w:vAlign w:val="bottom"/>
            <w:shd w:val="clear" w:color="auto" w:fill="CBECD5"/>
          </w:tcPr>
          <w:p>
            <w:pPr>
              <w:spacing w:after="0"/>
              <w:rPr>
                <w:sz w:val="18"/>
                <w:szCs w:val="18"/>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line="211" w:lineRule="exact"/>
              <w:rPr>
                <w:sz w:val="20"/>
                <w:szCs w:val="20"/>
                <w:color w:val="auto"/>
              </w:rPr>
            </w:pPr>
            <w:r>
              <w:rPr>
                <w:rFonts w:ascii="Arial" w:cs="Arial" w:eastAsia="Arial" w:hAnsi="Arial"/>
                <w:sz w:val="17"/>
                <w:szCs w:val="17"/>
                <w:color w:val="auto"/>
              </w:rPr>
              <w:t>Severance</w:t>
            </w:r>
            <w:r>
              <w:rPr>
                <w:rFonts w:ascii="Arial" w:cs="Arial" w:eastAsia="Arial" w:hAnsi="Arial"/>
                <w:sz w:val="24"/>
                <w:szCs w:val="24"/>
                <w:color w:val="auto"/>
                <w:vertAlign w:val="superscript"/>
              </w:rPr>
              <w:t>(1)</w:t>
            </w:r>
          </w:p>
        </w:tc>
        <w:tc>
          <w:tcPr>
            <w:tcW w:w="120" w:type="dxa"/>
            <w:vAlign w:val="bottom"/>
            <w:shd w:val="clear" w:color="auto" w:fill="CBECD5"/>
          </w:tcPr>
          <w:p>
            <w:pPr>
              <w:spacing w:after="0"/>
              <w:rPr>
                <w:sz w:val="18"/>
                <w:szCs w:val="18"/>
                <w:color w:val="auto"/>
              </w:rPr>
            </w:pPr>
          </w:p>
        </w:tc>
        <w:tc>
          <w:tcPr>
            <w:tcW w:w="22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8"/>
                <w:szCs w:val="18"/>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8"/>
                <w:szCs w:val="18"/>
                <w:color w:val="auto"/>
              </w:rPr>
            </w:pPr>
          </w:p>
        </w:tc>
        <w:tc>
          <w:tcPr>
            <w:tcW w:w="980" w:type="dxa"/>
            <w:vAlign w:val="bottom"/>
            <w:gridSpan w:val="2"/>
            <w:shd w:val="clear" w:color="auto" w:fill="CBECD5"/>
          </w:tcPr>
          <w:p>
            <w:pPr>
              <w:ind w:left="20"/>
              <w:spacing w:after="0" w:line="211"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4"/>
                <w:szCs w:val="14"/>
                <w:color w:val="auto"/>
              </w:rPr>
              <w:t>1,350,000</w:t>
            </w:r>
          </w:p>
        </w:tc>
        <w:tc>
          <w:tcPr>
            <w:tcW w:w="1020" w:type="dxa"/>
            <w:vAlign w:val="bottom"/>
            <w:gridSpan w:val="2"/>
            <w:shd w:val="clear" w:color="auto" w:fill="CBECD5"/>
          </w:tcPr>
          <w:p>
            <w:pPr>
              <w:jc w:val="right"/>
              <w:spacing w:after="0" w:line="211"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4"/>
                <w:szCs w:val="14"/>
                <w:color w:val="auto"/>
              </w:rPr>
              <w:t>4,036,500</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Settlement of previously vested stock options</w:t>
            </w:r>
          </w:p>
        </w:tc>
        <w:tc>
          <w:tcPr>
            <w:tcW w:w="120" w:type="dxa"/>
            <w:vAlign w:val="bottom"/>
            <w:shd w:val="clear" w:color="auto" w:fill="CBECD5"/>
          </w:tcPr>
          <w:p>
            <w:pPr>
              <w:spacing w:after="0"/>
              <w:rPr>
                <w:sz w:val="19"/>
                <w:szCs w:val="19"/>
                <w:color w:val="auto"/>
              </w:rPr>
            </w:pPr>
          </w:p>
        </w:tc>
        <w:tc>
          <w:tcPr>
            <w:tcW w:w="22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9"/>
                <w:szCs w:val="19"/>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Settlement of unvested stock options</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9"/>
                <w:szCs w:val="19"/>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shd w:val="clear" w:color="auto" w:fill="CBECD5"/>
          </w:tcPr>
          <w:p>
            <w:pPr>
              <w:spacing w:after="0"/>
              <w:rPr>
                <w:sz w:val="21"/>
                <w:szCs w:val="21"/>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line="243" w:lineRule="exact"/>
              <w:rPr>
                <w:sz w:val="20"/>
                <w:szCs w:val="20"/>
                <w:color w:val="auto"/>
              </w:rPr>
            </w:pPr>
            <w:r>
              <w:rPr>
                <w:rFonts w:ascii="Arial" w:cs="Arial" w:eastAsia="Arial" w:hAnsi="Arial"/>
                <w:sz w:val="18"/>
                <w:szCs w:val="18"/>
                <w:color w:val="auto"/>
              </w:rPr>
              <w:t>Settlement of RSUs</w:t>
            </w:r>
            <w:r>
              <w:rPr>
                <w:rFonts w:ascii="Arial" w:cs="Arial" w:eastAsia="Arial" w:hAnsi="Arial"/>
                <w:sz w:val="26"/>
                <w:szCs w:val="26"/>
                <w:color w:val="auto"/>
                <w:vertAlign w:val="superscript"/>
              </w:rPr>
              <w:t>(2)</w:t>
            </w:r>
          </w:p>
        </w:tc>
        <w:tc>
          <w:tcPr>
            <w:tcW w:w="120" w:type="dxa"/>
            <w:vAlign w:val="bottom"/>
            <w:shd w:val="clear" w:color="auto" w:fill="CBECD5"/>
          </w:tcPr>
          <w:p>
            <w:pPr>
              <w:spacing w:after="0"/>
              <w:rPr>
                <w:sz w:val="21"/>
                <w:szCs w:val="21"/>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BECD5"/>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1,269,212</w:t>
            </w:r>
          </w:p>
        </w:tc>
        <w:tc>
          <w:tcPr>
            <w:tcW w:w="120" w:type="dxa"/>
            <w:vAlign w:val="bottom"/>
            <w:shd w:val="clear" w:color="auto" w:fill="CBECD5"/>
          </w:tcPr>
          <w:p>
            <w:pPr>
              <w:spacing w:after="0"/>
              <w:rPr>
                <w:sz w:val="21"/>
                <w:szCs w:val="21"/>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21"/>
                <w:szCs w:val="21"/>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BECD5"/>
          </w:tcPr>
          <w:p>
            <w:pPr>
              <w:jc w:val="right"/>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1,269,212</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shd w:val="clear" w:color="auto" w:fill="CBECD5"/>
          </w:tcPr>
          <w:p>
            <w:pPr>
              <w:spacing w:after="0"/>
              <w:rPr>
                <w:sz w:val="21"/>
                <w:szCs w:val="21"/>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line="243" w:lineRule="exact"/>
              <w:rPr>
                <w:sz w:val="20"/>
                <w:szCs w:val="20"/>
                <w:color w:val="auto"/>
              </w:rPr>
            </w:pPr>
            <w:r>
              <w:rPr>
                <w:rFonts w:ascii="Arial" w:cs="Arial" w:eastAsia="Arial" w:hAnsi="Arial"/>
                <w:sz w:val="18"/>
                <w:szCs w:val="18"/>
                <w:color w:val="auto"/>
              </w:rPr>
              <w:t>Settlement of PSUs</w:t>
            </w:r>
            <w:r>
              <w:rPr>
                <w:rFonts w:ascii="Arial" w:cs="Arial" w:eastAsia="Arial" w:hAnsi="Arial"/>
                <w:sz w:val="26"/>
                <w:szCs w:val="26"/>
                <w:color w:val="auto"/>
                <w:vertAlign w:val="superscript"/>
              </w:rPr>
              <w:t>(3)</w:t>
            </w:r>
          </w:p>
        </w:tc>
        <w:tc>
          <w:tcPr>
            <w:tcW w:w="120" w:type="dxa"/>
            <w:vAlign w:val="bottom"/>
            <w:shd w:val="clear" w:color="auto" w:fill="CBECD5"/>
          </w:tcPr>
          <w:p>
            <w:pPr>
              <w:spacing w:after="0"/>
              <w:rPr>
                <w:sz w:val="21"/>
                <w:szCs w:val="21"/>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574,520</w:t>
            </w:r>
          </w:p>
        </w:tc>
        <w:tc>
          <w:tcPr>
            <w:tcW w:w="120" w:type="dxa"/>
            <w:vAlign w:val="bottom"/>
            <w:shd w:val="clear" w:color="auto" w:fill="CBECD5"/>
          </w:tcPr>
          <w:p>
            <w:pPr>
              <w:spacing w:after="0"/>
              <w:rPr>
                <w:sz w:val="21"/>
                <w:szCs w:val="21"/>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574,520</w:t>
            </w:r>
          </w:p>
        </w:tc>
        <w:tc>
          <w:tcPr>
            <w:tcW w:w="100" w:type="dxa"/>
            <w:vAlign w:val="bottom"/>
            <w:shd w:val="clear" w:color="auto" w:fill="CBECD5"/>
          </w:tcPr>
          <w:p>
            <w:pPr>
              <w:spacing w:after="0"/>
              <w:rPr>
                <w:sz w:val="21"/>
                <w:szCs w:val="21"/>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BECD5"/>
          </w:tcPr>
          <w:p>
            <w:pPr>
              <w:jc w:val="right"/>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1,448,835</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Welfare benefits</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101,953</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Life insurance benefit</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Pension</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171,509</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171,509</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171,509</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171,509</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171,509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40" w:type="dxa"/>
            <w:vAlign w:val="bottom"/>
            <w:shd w:val="clear" w:color="auto" w:fill="CBECD5"/>
          </w:tcPr>
          <w:p>
            <w:pPr>
              <w:spacing w:after="0"/>
              <w:rPr>
                <w:sz w:val="22"/>
                <w:szCs w:val="22"/>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Restoration Plan</w:t>
            </w:r>
          </w:p>
        </w:tc>
        <w:tc>
          <w:tcPr>
            <w:tcW w:w="120" w:type="dxa"/>
            <w:vAlign w:val="bottom"/>
            <w:shd w:val="clear" w:color="auto" w:fill="CBECD5"/>
          </w:tcPr>
          <w:p>
            <w:pPr>
              <w:spacing w:after="0"/>
              <w:rPr>
                <w:sz w:val="22"/>
                <w:szCs w:val="22"/>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155,016</w:t>
            </w:r>
          </w:p>
        </w:tc>
        <w:tc>
          <w:tcPr>
            <w:tcW w:w="120" w:type="dxa"/>
            <w:vAlign w:val="bottom"/>
            <w:shd w:val="clear" w:color="auto" w:fill="CBECD5"/>
          </w:tcPr>
          <w:p>
            <w:pPr>
              <w:spacing w:after="0"/>
              <w:rPr>
                <w:sz w:val="22"/>
                <w:szCs w:val="22"/>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155,016</w:t>
            </w:r>
          </w:p>
        </w:tc>
        <w:tc>
          <w:tcPr>
            <w:tcW w:w="100" w:type="dxa"/>
            <w:vAlign w:val="bottom"/>
            <w:shd w:val="clear" w:color="auto" w:fill="CBECD5"/>
          </w:tcPr>
          <w:p>
            <w:pPr>
              <w:spacing w:after="0"/>
              <w:rPr>
                <w:sz w:val="22"/>
                <w:szCs w:val="22"/>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shd w:val="clear" w:color="auto" w:fill="CBECD5"/>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155,016</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155,016</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shd w:val="clear" w:color="auto" w:fill="CBECD5"/>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155,016</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12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680" w:type="dxa"/>
            <w:vAlign w:val="bottom"/>
          </w:tcPr>
          <w:p>
            <w:pPr>
              <w:spacing w:after="0"/>
              <w:rPr>
                <w:sz w:val="12"/>
                <w:szCs w:val="12"/>
                <w:color w:val="auto"/>
              </w:rPr>
            </w:pPr>
          </w:p>
        </w:tc>
        <w:tc>
          <w:tcPr>
            <w:tcW w:w="120" w:type="dxa"/>
            <w:vAlign w:val="bottom"/>
          </w:tcPr>
          <w:p>
            <w:pPr>
              <w:ind w:left="20"/>
              <w:spacing w:after="0" w:line="149" w:lineRule="exact"/>
              <w:rPr>
                <w:sz w:val="20"/>
                <w:szCs w:val="20"/>
                <w:color w:val="auto"/>
              </w:rPr>
            </w:pPr>
            <w:r>
              <w:rPr>
                <w:rFonts w:ascii="Arial" w:cs="Arial" w:eastAsia="Arial" w:hAnsi="Arial"/>
                <w:sz w:val="17"/>
                <w:szCs w:val="17"/>
                <w:color w:val="auto"/>
              </w:rPr>
              <w:t>​</w:t>
            </w:r>
          </w:p>
        </w:tc>
        <w:tc>
          <w:tcPr>
            <w:tcW w:w="10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200" w:type="dxa"/>
            <w:vAlign w:val="bottom"/>
          </w:tcPr>
          <w:p>
            <w:pPr>
              <w:ind w:left="20"/>
              <w:spacing w:after="0" w:line="149" w:lineRule="exact"/>
              <w:rPr>
                <w:sz w:val="20"/>
                <w:szCs w:val="20"/>
                <w:color w:val="auto"/>
              </w:rPr>
            </w:pPr>
            <w:r>
              <w:rPr>
                <w:rFonts w:ascii="Arial" w:cs="Arial" w:eastAsia="Arial" w:hAnsi="Arial"/>
                <w:sz w:val="17"/>
                <w:szCs w:val="17"/>
                <w:color w:val="auto"/>
              </w:rPr>
              <w:t>​ ​</w:t>
            </w:r>
          </w:p>
        </w:tc>
        <w:tc>
          <w:tcPr>
            <w:tcW w:w="7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7"/>
                <w:szCs w:val="17"/>
                <w:color w:val="auto"/>
              </w:rPr>
              <w:t>​ ​ ​</w:t>
            </w:r>
          </w:p>
        </w:tc>
        <w:tc>
          <w:tcPr>
            <w:tcW w:w="740" w:type="dxa"/>
            <w:vAlign w:val="bottom"/>
          </w:tcPr>
          <w:p>
            <w:pPr>
              <w:spacing w:after="0"/>
              <w:rPr>
                <w:sz w:val="12"/>
                <w:szCs w:val="12"/>
                <w:color w:val="auto"/>
              </w:rPr>
            </w:pPr>
          </w:p>
        </w:tc>
        <w:tc>
          <w:tcPr>
            <w:tcW w:w="320" w:type="dxa"/>
            <w:vAlign w:val="bottom"/>
          </w:tcPr>
          <w:p>
            <w:pPr>
              <w:spacing w:after="0" w:line="149" w:lineRule="exact"/>
              <w:rPr>
                <w:sz w:val="20"/>
                <w:szCs w:val="20"/>
                <w:color w:val="auto"/>
              </w:rPr>
            </w:pPr>
            <w:r>
              <w:rPr>
                <w:rFonts w:ascii="Arial" w:cs="Arial" w:eastAsia="Arial" w:hAnsi="Arial"/>
                <w:sz w:val="17"/>
                <w:szCs w:val="17"/>
                <w:color w:val="auto"/>
              </w:rPr>
              <w:t>​ ​ ​</w:t>
            </w:r>
          </w:p>
        </w:tc>
        <w:tc>
          <w:tcPr>
            <w:tcW w:w="76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4440" w:type="dxa"/>
            <w:vAlign w:val="bottom"/>
            <w:gridSpan w:val="2"/>
          </w:tcPr>
          <w:p>
            <w:pPr>
              <w:spacing w:after="0"/>
              <w:rPr>
                <w:sz w:val="20"/>
                <w:szCs w:val="20"/>
                <w:color w:val="auto"/>
              </w:rPr>
            </w:pPr>
            <w:r>
              <w:rPr>
                <w:rFonts w:ascii="Arial" w:cs="Arial" w:eastAsia="Arial" w:hAnsi="Arial"/>
                <w:sz w:val="4"/>
                <w:szCs w:val="4"/>
                <w:color w:val="auto"/>
              </w:rPr>
              <w:t>Ken E. Arnold</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line="243" w:lineRule="exact"/>
              <w:rPr>
                <w:sz w:val="20"/>
                <w:szCs w:val="20"/>
                <w:color w:val="auto"/>
              </w:rPr>
            </w:pPr>
            <w:r>
              <w:rPr>
                <w:rFonts w:ascii="Arial" w:cs="Arial" w:eastAsia="Arial" w:hAnsi="Arial"/>
                <w:sz w:val="18"/>
                <w:szCs w:val="18"/>
                <w:color w:val="auto"/>
              </w:rPr>
              <w:t>Severance</w:t>
            </w:r>
            <w:r>
              <w:rPr>
                <w:rFonts w:ascii="Arial" w:cs="Arial" w:eastAsia="Arial" w:hAnsi="Arial"/>
                <w:sz w:val="26"/>
                <w:szCs w:val="26"/>
                <w:color w:val="auto"/>
                <w:vertAlign w:val="superscript"/>
              </w:rPr>
              <w:t>(1)</w:t>
            </w:r>
          </w:p>
        </w:tc>
        <w:tc>
          <w:tcPr>
            <w:tcW w:w="12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980,000</w:t>
            </w:r>
          </w:p>
        </w:tc>
        <w:tc>
          <w:tcPr>
            <w:tcW w:w="102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2,930,200</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Settlement of previously vested stock options</w:t>
            </w:r>
          </w:p>
        </w:tc>
        <w:tc>
          <w:tcPr>
            <w:tcW w:w="120" w:type="dxa"/>
            <w:vAlign w:val="bottom"/>
          </w:tcPr>
          <w:p>
            <w:pPr>
              <w:spacing w:after="0"/>
              <w:rPr>
                <w:sz w:val="19"/>
                <w:szCs w:val="19"/>
                <w:color w:val="auto"/>
              </w:rPr>
            </w:pPr>
          </w:p>
        </w:tc>
        <w:tc>
          <w:tcPr>
            <w:tcW w:w="900" w:type="dxa"/>
            <w:vAlign w:val="bottom"/>
            <w:gridSpan w:val="3"/>
          </w:tcPr>
          <w:p>
            <w:pPr>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1,298,511</w:t>
            </w:r>
          </w:p>
        </w:tc>
        <w:tc>
          <w:tcPr>
            <w:tcW w:w="120" w:type="dxa"/>
            <w:vAlign w:val="bottom"/>
          </w:tcPr>
          <w:p>
            <w:pPr>
              <w:spacing w:after="0"/>
              <w:rPr>
                <w:sz w:val="19"/>
                <w:szCs w:val="19"/>
                <w:color w:val="auto"/>
              </w:rPr>
            </w:pPr>
          </w:p>
        </w:tc>
        <w:tc>
          <w:tcPr>
            <w:tcW w:w="920" w:type="dxa"/>
            <w:vAlign w:val="bottom"/>
            <w:gridSpan w:val="3"/>
          </w:tcPr>
          <w:p>
            <w:pPr>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1,298,511</w:t>
            </w:r>
          </w:p>
        </w:tc>
        <w:tc>
          <w:tcPr>
            <w:tcW w:w="100" w:type="dxa"/>
            <w:vAlign w:val="bottom"/>
          </w:tcPr>
          <w:p>
            <w:pPr>
              <w:spacing w:after="0"/>
              <w:rPr>
                <w:sz w:val="19"/>
                <w:szCs w:val="19"/>
                <w:color w:val="auto"/>
              </w:rPr>
            </w:pPr>
          </w:p>
        </w:tc>
        <w:tc>
          <w:tcPr>
            <w:tcW w:w="980" w:type="dxa"/>
            <w:vAlign w:val="bottom"/>
            <w:gridSpan w:val="2"/>
          </w:tcPr>
          <w:p>
            <w:pPr>
              <w:ind w:left="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1,298,511</w:t>
            </w:r>
          </w:p>
        </w:tc>
        <w:tc>
          <w:tcPr>
            <w:tcW w:w="102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1,298,511</w:t>
            </w:r>
          </w:p>
        </w:tc>
        <w:tc>
          <w:tcPr>
            <w:tcW w:w="1080" w:type="dxa"/>
            <w:vAlign w:val="bottom"/>
            <w:gridSpan w:val="2"/>
          </w:tcPr>
          <w:p>
            <w:pPr>
              <w:ind w:left="1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1,298,511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line="243" w:lineRule="exact"/>
              <w:rPr>
                <w:sz w:val="20"/>
                <w:szCs w:val="20"/>
                <w:color w:val="auto"/>
              </w:rPr>
            </w:pPr>
            <w:r>
              <w:rPr>
                <w:rFonts w:ascii="Arial" w:cs="Arial" w:eastAsia="Arial" w:hAnsi="Arial"/>
                <w:sz w:val="18"/>
                <w:szCs w:val="18"/>
                <w:color w:val="auto"/>
              </w:rPr>
              <w:t>Settlement of unvested stock options</w:t>
            </w:r>
            <w:r>
              <w:rPr>
                <w:rFonts w:ascii="Arial" w:cs="Arial" w:eastAsia="Arial" w:hAnsi="Arial"/>
                <w:sz w:val="26"/>
                <w:szCs w:val="26"/>
                <w:color w:val="auto"/>
                <w:vertAlign w:val="superscript"/>
              </w:rPr>
              <w:t>(4)</w:t>
            </w:r>
          </w:p>
        </w:tc>
        <w:tc>
          <w:tcPr>
            <w:tcW w:w="12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101,321</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101,321</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101,321</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101,321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line="243" w:lineRule="exact"/>
              <w:rPr>
                <w:sz w:val="20"/>
                <w:szCs w:val="20"/>
                <w:color w:val="auto"/>
              </w:rPr>
            </w:pPr>
            <w:r>
              <w:rPr>
                <w:rFonts w:ascii="Arial" w:cs="Arial" w:eastAsia="Arial" w:hAnsi="Arial"/>
                <w:sz w:val="18"/>
                <w:szCs w:val="18"/>
                <w:color w:val="auto"/>
              </w:rPr>
              <w:t>Settlement of RSUs</w:t>
            </w:r>
            <w:r>
              <w:rPr>
                <w:rFonts w:ascii="Arial" w:cs="Arial" w:eastAsia="Arial" w:hAnsi="Arial"/>
                <w:sz w:val="26"/>
                <w:szCs w:val="26"/>
                <w:color w:val="auto"/>
                <w:vertAlign w:val="superscript"/>
              </w:rPr>
              <w:t>(2)(4)</w:t>
            </w:r>
          </w:p>
        </w:tc>
        <w:tc>
          <w:tcPr>
            <w:tcW w:w="12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946,458</w:t>
            </w:r>
          </w:p>
        </w:tc>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457,984</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457,984</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946,458</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457,984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line="243" w:lineRule="exact"/>
              <w:rPr>
                <w:sz w:val="20"/>
                <w:szCs w:val="20"/>
                <w:color w:val="auto"/>
              </w:rPr>
            </w:pPr>
            <w:r>
              <w:rPr>
                <w:rFonts w:ascii="Arial" w:cs="Arial" w:eastAsia="Arial" w:hAnsi="Arial"/>
                <w:sz w:val="18"/>
                <w:szCs w:val="18"/>
                <w:color w:val="auto"/>
              </w:rPr>
              <w:t>Settlement of PSUs</w:t>
            </w:r>
            <w:r>
              <w:rPr>
                <w:rFonts w:ascii="Arial" w:cs="Arial" w:eastAsia="Arial" w:hAnsi="Arial"/>
                <w:sz w:val="26"/>
                <w:szCs w:val="26"/>
                <w:color w:val="auto"/>
                <w:vertAlign w:val="superscript"/>
              </w:rPr>
              <w:t>(3)</w:t>
            </w:r>
          </w:p>
        </w:tc>
        <w:tc>
          <w:tcPr>
            <w:tcW w:w="12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440,922</w:t>
            </w:r>
          </w:p>
        </w:tc>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651,562</w:t>
            </w:r>
          </w:p>
        </w:tc>
        <w:tc>
          <w:tcPr>
            <w:tcW w:w="102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1,085,744</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651,562</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Welfare benefits</w:t>
            </w:r>
          </w:p>
        </w:tc>
        <w:tc>
          <w:tcPr>
            <w:tcW w:w="1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94,438</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Life insurance benefit</w:t>
            </w:r>
          </w:p>
        </w:tc>
        <w:tc>
          <w:tcPr>
            <w:tcW w:w="1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Pension</w:t>
            </w:r>
          </w:p>
        </w:tc>
        <w:tc>
          <w:tcPr>
            <w:tcW w:w="1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491,098</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491,098</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491,098</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491,098</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491,098</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Restoration Plan</w:t>
            </w:r>
          </w:p>
        </w:tc>
        <w:tc>
          <w:tcPr>
            <w:tcW w:w="1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216,165</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216,165</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216,165</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216,165</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216,165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vMerge w:val="restart"/>
          </w:tcPr>
          <w:p>
            <w:pPr>
              <w:spacing w:after="0" w:line="181" w:lineRule="exact"/>
              <w:rPr>
                <w:sz w:val="20"/>
                <w:szCs w:val="20"/>
                <w:color w:val="auto"/>
              </w:rPr>
            </w:pPr>
            <w:r>
              <w:rPr>
                <w:rFonts w:ascii="Arial" w:cs="Arial" w:eastAsia="Arial" w:hAnsi="Arial"/>
                <w:sz w:val="18"/>
                <w:szCs w:val="18"/>
                <w:color w:val="auto"/>
              </w:rPr>
              <w:t>​</w:t>
            </w: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vMerge w:val="restart"/>
          </w:tcPr>
          <w:p>
            <w:pPr>
              <w:spacing w:after="0" w:line="181" w:lineRule="exact"/>
              <w:rPr>
                <w:sz w:val="20"/>
                <w:szCs w:val="20"/>
                <w:color w:val="auto"/>
              </w:rPr>
            </w:pPr>
            <w:r>
              <w:rPr>
                <w:rFonts w:ascii="Arial" w:cs="Arial" w:eastAsia="Arial" w:hAnsi="Arial"/>
                <w:sz w:val="18"/>
                <w:szCs w:val="18"/>
                <w:color w:val="auto"/>
              </w:rPr>
              <w:t>​ ​</w:t>
            </w:r>
          </w:p>
        </w:tc>
        <w:tc>
          <w:tcPr>
            <w:tcW w:w="680" w:type="dxa"/>
            <w:vAlign w:val="bottom"/>
          </w:tcPr>
          <w:p>
            <w:pPr>
              <w:spacing w:after="0"/>
              <w:rPr>
                <w:sz w:val="2"/>
                <w:szCs w:val="2"/>
                <w:color w:val="auto"/>
              </w:rPr>
            </w:pPr>
          </w:p>
        </w:tc>
        <w:tc>
          <w:tcPr>
            <w:tcW w:w="320" w:type="dxa"/>
            <w:vAlign w:val="bottom"/>
            <w:gridSpan w:val="3"/>
            <w:vMerge w:val="restart"/>
          </w:tcPr>
          <w:p>
            <w:pPr>
              <w:jc w:val="right"/>
              <w:spacing w:after="0" w:line="181" w:lineRule="exact"/>
              <w:rPr>
                <w:sz w:val="20"/>
                <w:szCs w:val="20"/>
                <w:color w:val="auto"/>
              </w:rPr>
            </w:pPr>
            <w:r>
              <w:rPr>
                <w:rFonts w:ascii="Arial" w:cs="Arial" w:eastAsia="Arial" w:hAnsi="Arial"/>
                <w:sz w:val="18"/>
                <w:szCs w:val="18"/>
                <w:color w:val="auto"/>
              </w:rPr>
              <w:t>​ ​ ​</w:t>
            </w:r>
          </w:p>
        </w:tc>
        <w:tc>
          <w:tcPr>
            <w:tcW w:w="720" w:type="dxa"/>
            <w:vAlign w:val="bottom"/>
          </w:tcPr>
          <w:p>
            <w:pPr>
              <w:spacing w:after="0"/>
              <w:rPr>
                <w:sz w:val="2"/>
                <w:szCs w:val="2"/>
                <w:color w:val="auto"/>
              </w:rPr>
            </w:pPr>
          </w:p>
        </w:tc>
        <w:tc>
          <w:tcPr>
            <w:tcW w:w="300" w:type="dxa"/>
            <w:vAlign w:val="bottom"/>
            <w:gridSpan w:val="2"/>
            <w:vMerge w:val="restart"/>
          </w:tcPr>
          <w:p>
            <w:pPr>
              <w:spacing w:after="0" w:line="181" w:lineRule="exact"/>
              <w:rPr>
                <w:sz w:val="20"/>
                <w:szCs w:val="20"/>
                <w:color w:val="auto"/>
              </w:rPr>
            </w:pPr>
            <w:r>
              <w:rPr>
                <w:rFonts w:ascii="Arial" w:cs="Arial" w:eastAsia="Arial" w:hAnsi="Arial"/>
                <w:sz w:val="18"/>
                <w:szCs w:val="18"/>
                <w:color w:val="auto"/>
              </w:rPr>
              <w:t>​ ​ ​</w:t>
            </w:r>
          </w:p>
        </w:tc>
        <w:tc>
          <w:tcPr>
            <w:tcW w:w="780" w:type="dxa"/>
            <w:vAlign w:val="bottom"/>
          </w:tcPr>
          <w:p>
            <w:pPr>
              <w:spacing w:after="0"/>
              <w:rPr>
                <w:sz w:val="2"/>
                <w:szCs w:val="2"/>
                <w:color w:val="auto"/>
              </w:rPr>
            </w:pPr>
          </w:p>
        </w:tc>
        <w:tc>
          <w:tcPr>
            <w:tcW w:w="280" w:type="dxa"/>
            <w:vAlign w:val="bottom"/>
            <w:vMerge w:val="restart"/>
          </w:tcPr>
          <w:p>
            <w:pPr>
              <w:jc w:val="right"/>
              <w:spacing w:after="0" w:line="181" w:lineRule="exact"/>
              <w:rPr>
                <w:sz w:val="20"/>
                <w:szCs w:val="20"/>
                <w:color w:val="auto"/>
              </w:rPr>
            </w:pPr>
            <w:r>
              <w:rPr>
                <w:rFonts w:ascii="Arial" w:cs="Arial" w:eastAsia="Arial" w:hAnsi="Arial"/>
                <w:sz w:val="18"/>
                <w:szCs w:val="18"/>
                <w:color w:val="auto"/>
              </w:rPr>
              <w:t>​ ​ ​</w:t>
            </w:r>
          </w:p>
        </w:tc>
        <w:tc>
          <w:tcPr>
            <w:tcW w:w="740" w:type="dxa"/>
            <w:vAlign w:val="bottom"/>
          </w:tcPr>
          <w:p>
            <w:pPr>
              <w:spacing w:after="0"/>
              <w:rPr>
                <w:sz w:val="2"/>
                <w:szCs w:val="2"/>
                <w:color w:val="auto"/>
              </w:rPr>
            </w:pPr>
          </w:p>
        </w:tc>
        <w:tc>
          <w:tcPr>
            <w:tcW w:w="320" w:type="dxa"/>
            <w:vAlign w:val="bottom"/>
            <w:vMerge w:val="restart"/>
          </w:tcPr>
          <w:p>
            <w:pPr>
              <w:spacing w:after="0" w:line="181" w:lineRule="exact"/>
              <w:rPr>
                <w:sz w:val="20"/>
                <w:szCs w:val="20"/>
                <w:color w:val="auto"/>
              </w:rPr>
            </w:pPr>
            <w:r>
              <w:rPr>
                <w:rFonts w:ascii="Arial" w:cs="Arial" w:eastAsia="Arial" w:hAnsi="Arial"/>
                <w:sz w:val="18"/>
                <w:szCs w:val="18"/>
                <w:color w:val="auto"/>
              </w:rPr>
              <w:t>​ ​ ​</w:t>
            </w:r>
          </w:p>
        </w:tc>
        <w:tc>
          <w:tcPr>
            <w:tcW w:w="760" w:type="dxa"/>
            <w:vAlign w:val="bottom"/>
          </w:tcPr>
          <w:p>
            <w:pPr>
              <w:spacing w:after="0"/>
              <w:rPr>
                <w:sz w:val="2"/>
                <w:szCs w:val="2"/>
                <w:color w:val="auto"/>
              </w:rPr>
            </w:pPr>
          </w:p>
        </w:tc>
        <w:tc>
          <w:tcPr>
            <w:tcW w:w="60" w:type="dxa"/>
            <w:vAlign w:val="bottom"/>
            <w:vMerge w:val="restart"/>
          </w:tcPr>
          <w:p>
            <w:pPr>
              <w:jc w:val="right"/>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48"/>
        </w:trPr>
        <w:tc>
          <w:tcPr>
            <w:tcW w:w="40" w:type="dxa"/>
            <w:vAlign w:val="bottom"/>
            <w:shd w:val="clear" w:color="auto" w:fill="CBECD5"/>
          </w:tcPr>
          <w:p>
            <w:pPr>
              <w:spacing w:after="0"/>
              <w:rPr>
                <w:sz w:val="12"/>
                <w:szCs w:val="12"/>
                <w:color w:val="auto"/>
              </w:rPr>
            </w:pPr>
          </w:p>
        </w:tc>
        <w:tc>
          <w:tcPr>
            <w:tcW w:w="120" w:type="dxa"/>
            <w:vAlign w:val="bottom"/>
            <w:vMerge w:val="continue"/>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shd w:val="clear" w:color="auto" w:fill="CBECD5"/>
          </w:tcPr>
          <w:p>
            <w:pPr>
              <w:spacing w:after="0"/>
              <w:rPr>
                <w:sz w:val="7"/>
                <w:szCs w:val="7"/>
                <w:color w:val="auto"/>
              </w:rPr>
            </w:pPr>
          </w:p>
        </w:tc>
        <w:tc>
          <w:tcPr>
            <w:tcW w:w="4440" w:type="dxa"/>
            <w:vAlign w:val="bottom"/>
            <w:gridSpan w:val="2"/>
          </w:tcPr>
          <w:p>
            <w:pPr>
              <w:spacing w:after="0" w:line="81" w:lineRule="exact"/>
              <w:rPr>
                <w:sz w:val="20"/>
                <w:szCs w:val="20"/>
                <w:color w:val="auto"/>
              </w:rPr>
            </w:pPr>
            <w:r>
              <w:rPr>
                <w:rFonts w:ascii="Arial" w:cs="Arial" w:eastAsia="Arial" w:hAnsi="Arial"/>
                <w:sz w:val="9"/>
                <w:szCs w:val="9"/>
                <w:color w:val="auto"/>
              </w:rPr>
              <w:t>Max Chan</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40" w:type="dxa"/>
            <w:vAlign w:val="bottom"/>
            <w:shd w:val="clear" w:color="auto" w:fill="CBECD5"/>
          </w:tcPr>
          <w:p>
            <w:pPr>
              <w:spacing w:after="0"/>
              <w:rPr>
                <w:sz w:val="18"/>
                <w:szCs w:val="18"/>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line="211" w:lineRule="exact"/>
              <w:rPr>
                <w:sz w:val="20"/>
                <w:szCs w:val="20"/>
                <w:color w:val="auto"/>
              </w:rPr>
            </w:pPr>
            <w:r>
              <w:rPr>
                <w:rFonts w:ascii="Arial" w:cs="Arial" w:eastAsia="Arial" w:hAnsi="Arial"/>
                <w:sz w:val="17"/>
                <w:szCs w:val="17"/>
                <w:color w:val="auto"/>
              </w:rPr>
              <w:t>Severance</w:t>
            </w:r>
            <w:r>
              <w:rPr>
                <w:rFonts w:ascii="Arial" w:cs="Arial" w:eastAsia="Arial" w:hAnsi="Arial"/>
                <w:sz w:val="24"/>
                <w:szCs w:val="24"/>
                <w:color w:val="auto"/>
                <w:vertAlign w:val="superscript"/>
              </w:rPr>
              <w:t>(1)</w:t>
            </w:r>
          </w:p>
        </w:tc>
        <w:tc>
          <w:tcPr>
            <w:tcW w:w="120" w:type="dxa"/>
            <w:vAlign w:val="bottom"/>
            <w:shd w:val="clear" w:color="auto" w:fill="CBECD5"/>
          </w:tcPr>
          <w:p>
            <w:pPr>
              <w:spacing w:after="0"/>
              <w:rPr>
                <w:sz w:val="18"/>
                <w:szCs w:val="18"/>
                <w:color w:val="auto"/>
              </w:rPr>
            </w:pPr>
          </w:p>
        </w:tc>
        <w:tc>
          <w:tcPr>
            <w:tcW w:w="22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8"/>
                <w:szCs w:val="18"/>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8"/>
                <w:szCs w:val="18"/>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990,000</w:t>
            </w:r>
          </w:p>
        </w:tc>
        <w:tc>
          <w:tcPr>
            <w:tcW w:w="1020" w:type="dxa"/>
            <w:vAlign w:val="bottom"/>
            <w:gridSpan w:val="2"/>
            <w:shd w:val="clear" w:color="auto" w:fill="CBECD5"/>
          </w:tcPr>
          <w:p>
            <w:pPr>
              <w:jc w:val="right"/>
              <w:spacing w:after="0" w:line="211"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4"/>
                <w:szCs w:val="14"/>
                <w:color w:val="auto"/>
              </w:rPr>
              <w:t>2,960,100</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Settlement of previously vested stock options</w:t>
            </w:r>
          </w:p>
        </w:tc>
        <w:tc>
          <w:tcPr>
            <w:tcW w:w="120" w:type="dxa"/>
            <w:vAlign w:val="bottom"/>
            <w:shd w:val="clear" w:color="auto" w:fill="CBECD5"/>
          </w:tcPr>
          <w:p>
            <w:pPr>
              <w:spacing w:after="0"/>
              <w:rPr>
                <w:sz w:val="19"/>
                <w:szCs w:val="19"/>
                <w:color w:val="auto"/>
              </w:rPr>
            </w:pPr>
          </w:p>
        </w:tc>
        <w:tc>
          <w:tcPr>
            <w:tcW w:w="22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60,154</w:t>
            </w:r>
          </w:p>
        </w:tc>
        <w:tc>
          <w:tcPr>
            <w:tcW w:w="120" w:type="dxa"/>
            <w:vAlign w:val="bottom"/>
            <w:shd w:val="clear" w:color="auto" w:fill="CBECD5"/>
          </w:tcPr>
          <w:p>
            <w:pPr>
              <w:spacing w:after="0"/>
              <w:rPr>
                <w:sz w:val="19"/>
                <w:szCs w:val="19"/>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60,154</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60,154</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60,154</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60,154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Settlement of unvested stock options</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9"/>
                <w:szCs w:val="19"/>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60,154</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shd w:val="clear" w:color="auto" w:fill="CBECD5"/>
          </w:tcPr>
          <w:p>
            <w:pPr>
              <w:spacing w:after="0"/>
              <w:rPr>
                <w:sz w:val="21"/>
                <w:szCs w:val="21"/>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line="243" w:lineRule="exact"/>
              <w:rPr>
                <w:sz w:val="20"/>
                <w:szCs w:val="20"/>
                <w:color w:val="auto"/>
              </w:rPr>
            </w:pPr>
            <w:r>
              <w:rPr>
                <w:rFonts w:ascii="Arial" w:cs="Arial" w:eastAsia="Arial" w:hAnsi="Arial"/>
                <w:sz w:val="18"/>
                <w:szCs w:val="18"/>
                <w:color w:val="auto"/>
              </w:rPr>
              <w:t>Settlement of RSUs</w:t>
            </w:r>
            <w:r>
              <w:rPr>
                <w:rFonts w:ascii="Arial" w:cs="Arial" w:eastAsia="Arial" w:hAnsi="Arial"/>
                <w:sz w:val="26"/>
                <w:szCs w:val="26"/>
                <w:color w:val="auto"/>
                <w:vertAlign w:val="superscript"/>
              </w:rPr>
              <w:t>(2)</w:t>
            </w:r>
          </w:p>
        </w:tc>
        <w:tc>
          <w:tcPr>
            <w:tcW w:w="120" w:type="dxa"/>
            <w:vAlign w:val="bottom"/>
            <w:shd w:val="clear" w:color="auto" w:fill="CBECD5"/>
          </w:tcPr>
          <w:p>
            <w:pPr>
              <w:spacing w:after="0"/>
              <w:rPr>
                <w:sz w:val="21"/>
                <w:szCs w:val="21"/>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579,839</w:t>
            </w:r>
          </w:p>
        </w:tc>
        <w:tc>
          <w:tcPr>
            <w:tcW w:w="120" w:type="dxa"/>
            <w:vAlign w:val="bottom"/>
            <w:shd w:val="clear" w:color="auto" w:fill="CBECD5"/>
          </w:tcPr>
          <w:p>
            <w:pPr>
              <w:spacing w:after="0"/>
              <w:rPr>
                <w:sz w:val="21"/>
                <w:szCs w:val="21"/>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21"/>
                <w:szCs w:val="21"/>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579,839</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shd w:val="clear" w:color="auto" w:fill="CBECD5"/>
          </w:tcPr>
          <w:p>
            <w:pPr>
              <w:spacing w:after="0"/>
              <w:rPr>
                <w:sz w:val="21"/>
                <w:szCs w:val="21"/>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line="243" w:lineRule="exact"/>
              <w:rPr>
                <w:sz w:val="20"/>
                <w:szCs w:val="20"/>
                <w:color w:val="auto"/>
              </w:rPr>
            </w:pPr>
            <w:r>
              <w:rPr>
                <w:rFonts w:ascii="Arial" w:cs="Arial" w:eastAsia="Arial" w:hAnsi="Arial"/>
                <w:sz w:val="18"/>
                <w:szCs w:val="18"/>
                <w:color w:val="auto"/>
              </w:rPr>
              <w:t>Settlement of PSUs</w:t>
            </w:r>
            <w:r>
              <w:rPr>
                <w:rFonts w:ascii="Arial" w:cs="Arial" w:eastAsia="Arial" w:hAnsi="Arial"/>
                <w:sz w:val="26"/>
                <w:szCs w:val="26"/>
                <w:color w:val="auto"/>
                <w:vertAlign w:val="superscript"/>
              </w:rPr>
              <w:t>(3)</w:t>
            </w:r>
          </w:p>
        </w:tc>
        <w:tc>
          <w:tcPr>
            <w:tcW w:w="120" w:type="dxa"/>
            <w:vAlign w:val="bottom"/>
            <w:shd w:val="clear" w:color="auto" w:fill="CBECD5"/>
          </w:tcPr>
          <w:p>
            <w:pPr>
              <w:spacing w:after="0"/>
              <w:rPr>
                <w:sz w:val="21"/>
                <w:szCs w:val="21"/>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240,814</w:t>
            </w:r>
          </w:p>
        </w:tc>
        <w:tc>
          <w:tcPr>
            <w:tcW w:w="120" w:type="dxa"/>
            <w:vAlign w:val="bottom"/>
            <w:shd w:val="clear" w:color="auto" w:fill="CBECD5"/>
          </w:tcPr>
          <w:p>
            <w:pPr>
              <w:spacing w:after="0"/>
              <w:rPr>
                <w:sz w:val="21"/>
                <w:szCs w:val="21"/>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240,814</w:t>
            </w:r>
          </w:p>
        </w:tc>
        <w:tc>
          <w:tcPr>
            <w:tcW w:w="100" w:type="dxa"/>
            <w:vAlign w:val="bottom"/>
            <w:shd w:val="clear" w:color="auto" w:fill="CBECD5"/>
          </w:tcPr>
          <w:p>
            <w:pPr>
              <w:spacing w:after="0"/>
              <w:rPr>
                <w:sz w:val="21"/>
                <w:szCs w:val="21"/>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645,770</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Welfare benefits</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87,800</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Life insurance benefit</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Pension</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152,200</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152,200</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152,200</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152,200</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152,200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40" w:type="dxa"/>
            <w:vAlign w:val="bottom"/>
            <w:shd w:val="clear" w:color="auto" w:fill="CBECD5"/>
          </w:tcPr>
          <w:p>
            <w:pPr>
              <w:spacing w:after="0"/>
              <w:rPr>
                <w:sz w:val="22"/>
                <w:szCs w:val="22"/>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Restoration Plan</w:t>
            </w:r>
          </w:p>
        </w:tc>
        <w:tc>
          <w:tcPr>
            <w:tcW w:w="120" w:type="dxa"/>
            <w:vAlign w:val="bottom"/>
            <w:shd w:val="clear" w:color="auto" w:fill="CBECD5"/>
          </w:tcPr>
          <w:p>
            <w:pPr>
              <w:spacing w:after="0"/>
              <w:rPr>
                <w:sz w:val="22"/>
                <w:szCs w:val="22"/>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142,482</w:t>
            </w:r>
          </w:p>
        </w:tc>
        <w:tc>
          <w:tcPr>
            <w:tcW w:w="120" w:type="dxa"/>
            <w:vAlign w:val="bottom"/>
            <w:shd w:val="clear" w:color="auto" w:fill="CBECD5"/>
          </w:tcPr>
          <w:p>
            <w:pPr>
              <w:spacing w:after="0"/>
              <w:rPr>
                <w:sz w:val="22"/>
                <w:szCs w:val="22"/>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142,482</w:t>
            </w:r>
          </w:p>
        </w:tc>
        <w:tc>
          <w:tcPr>
            <w:tcW w:w="100" w:type="dxa"/>
            <w:vAlign w:val="bottom"/>
            <w:shd w:val="clear" w:color="auto" w:fill="CBECD5"/>
          </w:tcPr>
          <w:p>
            <w:pPr>
              <w:spacing w:after="0"/>
              <w:rPr>
                <w:sz w:val="22"/>
                <w:szCs w:val="22"/>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shd w:val="clear" w:color="auto" w:fill="CBECD5"/>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142,482</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142,482</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shd w:val="clear" w:color="auto" w:fill="CBECD5"/>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142,482</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-4457065</wp:posOffset>
            </wp:positionV>
            <wp:extent cx="6180455" cy="146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80455" cy="14605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-1482090</wp:posOffset>
            </wp:positionV>
            <wp:extent cx="6180455" cy="145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804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81"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160" w:type="dxa"/>
            <w:vAlign w:val="bottom"/>
          </w:tcPr>
          <w:p>
            <w:pPr>
              <w:spacing w:after="0"/>
              <w:rPr>
                <w:sz w:val="17"/>
                <w:szCs w:val="17"/>
                <w:color w:val="auto"/>
              </w:rPr>
            </w:pPr>
          </w:p>
        </w:tc>
        <w:tc>
          <w:tcPr>
            <w:tcW w:w="3980" w:type="dxa"/>
            <w:vAlign w:val="bottom"/>
          </w:tcPr>
          <w:p>
            <w:pPr>
              <w:ind w:left="34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5"/>
            <w:vMerge w:val="restart"/>
          </w:tcPr>
          <w:p>
            <w:pPr>
              <w:jc w:val="right"/>
              <w:ind w:right="398"/>
              <w:spacing w:after="0"/>
              <w:rPr>
                <w:sz w:val="20"/>
                <w:szCs w:val="20"/>
                <w:color w:val="auto"/>
              </w:rPr>
            </w:pPr>
            <w:r>
              <w:rPr>
                <w:rFonts w:ascii="Arial" w:cs="Arial" w:eastAsia="Arial" w:hAnsi="Arial"/>
                <w:sz w:val="14"/>
                <w:szCs w:val="14"/>
                <w:color w:val="auto"/>
              </w:rPr>
              <w:t>Compensation of Executive Officers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160" w:type="dxa"/>
            <w:vAlign w:val="bottom"/>
          </w:tcPr>
          <w:p>
            <w:pPr>
              <w:spacing w:after="0"/>
              <w:rPr>
                <w:sz w:val="7"/>
                <w:szCs w:val="7"/>
                <w:color w:val="auto"/>
              </w:rPr>
            </w:pPr>
          </w:p>
        </w:tc>
        <w:tc>
          <w:tcPr>
            <w:tcW w:w="39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PROXY STATEMENT</w:t>
            </w: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60" w:type="dxa"/>
            <w:vAlign w:val="bottom"/>
          </w:tcPr>
          <w:p>
            <w:pPr>
              <w:spacing w:after="0"/>
              <w:rPr>
                <w:sz w:val="11"/>
                <w:szCs w:val="11"/>
                <w:color w:val="auto"/>
              </w:rPr>
            </w:pPr>
          </w:p>
        </w:tc>
        <w:tc>
          <w:tcPr>
            <w:tcW w:w="39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8"/>
        </w:trPr>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53C072"/>
          </w:tcPr>
          <w:p>
            <w:pPr>
              <w:spacing w:after="0"/>
              <w:rPr>
                <w:sz w:val="15"/>
                <w:szCs w:val="15"/>
                <w:color w:val="auto"/>
              </w:rPr>
            </w:pPr>
          </w:p>
        </w:tc>
        <w:tc>
          <w:tcPr>
            <w:tcW w:w="3980" w:type="dxa"/>
            <w:vAlign w:val="bottom"/>
            <w:shd w:val="clear" w:color="auto" w:fill="53C072"/>
          </w:tcPr>
          <w:p>
            <w:pPr>
              <w:spacing w:after="0"/>
              <w:rPr>
                <w:sz w:val="15"/>
                <w:szCs w:val="15"/>
                <w:color w:val="auto"/>
              </w:rPr>
            </w:pPr>
          </w:p>
        </w:tc>
        <w:tc>
          <w:tcPr>
            <w:tcW w:w="700" w:type="dxa"/>
            <w:vAlign w:val="bottom"/>
            <w:shd w:val="clear" w:color="auto" w:fill="53C072"/>
          </w:tcPr>
          <w:p>
            <w:pPr>
              <w:spacing w:after="0"/>
              <w:rPr>
                <w:sz w:val="15"/>
                <w:szCs w:val="15"/>
                <w:color w:val="auto"/>
              </w:rPr>
            </w:pPr>
          </w:p>
        </w:tc>
        <w:tc>
          <w:tcPr>
            <w:tcW w:w="700" w:type="dxa"/>
            <w:vAlign w:val="bottom"/>
            <w:shd w:val="clear" w:color="auto" w:fill="53C072"/>
          </w:tcPr>
          <w:p>
            <w:pPr>
              <w:spacing w:after="0"/>
              <w:rPr>
                <w:sz w:val="15"/>
                <w:szCs w:val="15"/>
                <w:color w:val="auto"/>
              </w:rPr>
            </w:pPr>
          </w:p>
        </w:tc>
        <w:tc>
          <w:tcPr>
            <w:tcW w:w="300" w:type="dxa"/>
            <w:vAlign w:val="bottom"/>
            <w:shd w:val="clear" w:color="auto" w:fill="53C072"/>
          </w:tcPr>
          <w:p>
            <w:pPr>
              <w:spacing w:after="0"/>
              <w:rPr>
                <w:sz w:val="15"/>
                <w:szCs w:val="15"/>
                <w:color w:val="auto"/>
              </w:rPr>
            </w:pPr>
          </w:p>
        </w:tc>
        <w:tc>
          <w:tcPr>
            <w:tcW w:w="700" w:type="dxa"/>
            <w:vAlign w:val="bottom"/>
            <w:shd w:val="clear" w:color="auto" w:fill="53C072"/>
          </w:tcPr>
          <w:p>
            <w:pPr>
              <w:spacing w:after="0"/>
              <w:rPr>
                <w:sz w:val="15"/>
                <w:szCs w:val="15"/>
                <w:color w:val="auto"/>
              </w:rPr>
            </w:pPr>
          </w:p>
        </w:tc>
        <w:tc>
          <w:tcPr>
            <w:tcW w:w="20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7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Company</w:t>
            </w:r>
          </w:p>
        </w:tc>
        <w:tc>
          <w:tcPr>
            <w:tcW w:w="340" w:type="dxa"/>
            <w:vAlign w:val="bottom"/>
            <w:shd w:val="clear" w:color="auto" w:fill="53C072"/>
          </w:tcPr>
          <w:p>
            <w:pPr>
              <w:spacing w:after="0"/>
              <w:rPr>
                <w:sz w:val="15"/>
                <w:szCs w:val="15"/>
                <w:color w:val="auto"/>
              </w:rPr>
            </w:pPr>
          </w:p>
        </w:tc>
        <w:tc>
          <w:tcPr>
            <w:tcW w:w="680" w:type="dxa"/>
            <w:vAlign w:val="bottom"/>
            <w:shd w:val="clear" w:color="auto" w:fill="53C072"/>
          </w:tcPr>
          <w:p>
            <w:pPr>
              <w:spacing w:after="0"/>
              <w:rPr>
                <w:sz w:val="15"/>
                <w:szCs w:val="15"/>
                <w:color w:val="auto"/>
              </w:rPr>
            </w:pPr>
          </w:p>
        </w:tc>
        <w:tc>
          <w:tcPr>
            <w:tcW w:w="320" w:type="dxa"/>
            <w:vAlign w:val="bottom"/>
            <w:shd w:val="clear" w:color="auto" w:fill="53C072"/>
          </w:tcPr>
          <w:p>
            <w:pPr>
              <w:spacing w:after="0"/>
              <w:rPr>
                <w:sz w:val="15"/>
                <w:szCs w:val="15"/>
                <w:color w:val="auto"/>
              </w:rPr>
            </w:pPr>
          </w:p>
        </w:tc>
        <w:tc>
          <w:tcPr>
            <w:tcW w:w="760" w:type="dxa"/>
            <w:vAlign w:val="bottom"/>
            <w:tcBorders>
              <w:right w:val="single" w:sz="8" w:color="53C072"/>
            </w:tcBorders>
            <w:shd w:val="clear" w:color="auto" w:fill="53C07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0" w:type="dxa"/>
            <w:vAlign w:val="bottom"/>
            <w:shd w:val="clear" w:color="auto" w:fill="53C072"/>
          </w:tcPr>
          <w:p>
            <w:pPr>
              <w:spacing w:after="0"/>
              <w:rPr>
                <w:sz w:val="14"/>
                <w:szCs w:val="14"/>
                <w:color w:val="auto"/>
              </w:rPr>
            </w:pPr>
          </w:p>
        </w:tc>
        <w:tc>
          <w:tcPr>
            <w:tcW w:w="398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30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200" w:type="dxa"/>
            <w:vAlign w:val="bottom"/>
            <w:shd w:val="clear" w:color="auto" w:fill="53C072"/>
          </w:tcPr>
          <w:p>
            <w:pPr>
              <w:spacing w:after="0"/>
              <w:rPr>
                <w:sz w:val="14"/>
                <w:szCs w:val="14"/>
                <w:color w:val="auto"/>
              </w:rPr>
            </w:pPr>
          </w:p>
        </w:tc>
        <w:tc>
          <w:tcPr>
            <w:tcW w:w="88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Termination</w:t>
            </w:r>
          </w:p>
        </w:tc>
        <w:tc>
          <w:tcPr>
            <w:tcW w:w="102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Change of</w:t>
            </w:r>
          </w:p>
        </w:tc>
        <w:tc>
          <w:tcPr>
            <w:tcW w:w="320" w:type="dxa"/>
            <w:vAlign w:val="bottom"/>
            <w:shd w:val="clear" w:color="auto" w:fill="53C072"/>
          </w:tcPr>
          <w:p>
            <w:pPr>
              <w:spacing w:after="0"/>
              <w:rPr>
                <w:sz w:val="14"/>
                <w:szCs w:val="14"/>
                <w:color w:val="auto"/>
              </w:rPr>
            </w:pPr>
          </w:p>
        </w:tc>
        <w:tc>
          <w:tcPr>
            <w:tcW w:w="760" w:type="dxa"/>
            <w:vAlign w:val="bottom"/>
            <w:tcBorders>
              <w:right w:val="single" w:sz="8" w:color="53C072"/>
            </w:tcBorders>
            <w:shd w:val="clear" w:color="auto" w:fill="53C07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shd w:val="clear" w:color="auto" w:fill="53C072"/>
          </w:tcPr>
          <w:p>
            <w:pPr>
              <w:spacing w:after="0"/>
              <w:rPr>
                <w:sz w:val="14"/>
                <w:szCs w:val="14"/>
                <w:color w:val="auto"/>
              </w:rPr>
            </w:pPr>
          </w:p>
        </w:tc>
        <w:tc>
          <w:tcPr>
            <w:tcW w:w="398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300" w:type="dxa"/>
            <w:vAlign w:val="bottom"/>
            <w:shd w:val="clear" w:color="auto" w:fill="53C072"/>
          </w:tcPr>
          <w:p>
            <w:pPr>
              <w:spacing w:after="0"/>
              <w:rPr>
                <w:sz w:val="14"/>
                <w:szCs w:val="14"/>
                <w:color w:val="auto"/>
              </w:rPr>
            </w:pP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Disability</w:t>
            </w:r>
          </w:p>
        </w:tc>
        <w:tc>
          <w:tcPr>
            <w:tcW w:w="20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7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w/o Cause</w:t>
            </w:r>
          </w:p>
        </w:tc>
        <w:tc>
          <w:tcPr>
            <w:tcW w:w="340" w:type="dxa"/>
            <w:vAlign w:val="bottom"/>
            <w:shd w:val="clear" w:color="auto" w:fill="53C072"/>
          </w:tcPr>
          <w:p>
            <w:pPr>
              <w:spacing w:after="0"/>
              <w:rPr>
                <w:sz w:val="14"/>
                <w:szCs w:val="14"/>
                <w:color w:val="auto"/>
              </w:rPr>
            </w:pPr>
          </w:p>
        </w:tc>
        <w:tc>
          <w:tcPr>
            <w:tcW w:w="6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Control</w:t>
            </w:r>
          </w:p>
        </w:tc>
        <w:tc>
          <w:tcPr>
            <w:tcW w:w="1080" w:type="dxa"/>
            <w:vAlign w:val="bottom"/>
            <w:tcBorders>
              <w:right w:val="single" w:sz="8" w:color="53C072"/>
            </w:tcBorders>
            <w:gridSpan w:val="2"/>
            <w:shd w:val="clear" w:color="auto" w:fill="53C072"/>
          </w:tcPr>
          <w:p>
            <w:pPr>
              <w:jc w:val="right"/>
              <w:ind w:right="18"/>
              <w:spacing w:after="0"/>
              <w:rPr>
                <w:sz w:val="20"/>
                <w:szCs w:val="20"/>
                <w:color w:val="auto"/>
              </w:rPr>
            </w:pPr>
            <w:r>
              <w:rPr>
                <w:rFonts w:ascii="Arial" w:cs="Arial" w:eastAsia="Arial" w:hAnsi="Arial"/>
                <w:sz w:val="14"/>
                <w:szCs w:val="14"/>
                <w:b w:val="1"/>
                <w:bCs w:val="1"/>
                <w:color w:val="FEFEFE"/>
              </w:rPr>
              <w:t>Retirement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 w:type="dxa"/>
            <w:vAlign w:val="bottom"/>
            <w:shd w:val="clear" w:color="auto" w:fill="53C072"/>
          </w:tcPr>
          <w:p>
            <w:pPr>
              <w:ind w:left="40"/>
              <w:spacing w:after="0"/>
              <w:rPr>
                <w:sz w:val="20"/>
                <w:szCs w:val="20"/>
                <w:color w:val="auto"/>
              </w:rPr>
            </w:pPr>
            <w:r>
              <w:rPr>
                <w:rFonts w:ascii="Arial" w:cs="Arial" w:eastAsia="Arial" w:hAnsi="Arial"/>
                <w:sz w:val="14"/>
                <w:szCs w:val="14"/>
                <w:b w:val="1"/>
                <w:bCs w:val="1"/>
                <w:color w:val="FEFEFE"/>
              </w:rPr>
              <w:t>​</w:t>
            </w:r>
          </w:p>
        </w:tc>
        <w:tc>
          <w:tcPr>
            <w:tcW w:w="3980" w:type="dxa"/>
            <w:vAlign w:val="bottom"/>
            <w:shd w:val="clear" w:color="auto" w:fill="53C072"/>
          </w:tcPr>
          <w:p>
            <w:pPr>
              <w:spacing w:after="0"/>
              <w:rPr>
                <w:sz w:val="14"/>
                <w:szCs w:val="14"/>
                <w:color w:val="auto"/>
              </w:rPr>
            </w:pPr>
          </w:p>
        </w:tc>
        <w:tc>
          <w:tcPr>
            <w:tcW w:w="700" w:type="dxa"/>
            <w:vAlign w:val="bottom"/>
            <w:shd w:val="clear" w:color="auto" w:fill="53C072"/>
          </w:tcPr>
          <w:p>
            <w:pPr>
              <w:ind w:left="500"/>
              <w:spacing w:after="0"/>
              <w:rPr>
                <w:sz w:val="20"/>
                <w:szCs w:val="20"/>
                <w:color w:val="auto"/>
              </w:rPr>
            </w:pPr>
            <w:r>
              <w:rPr>
                <w:rFonts w:ascii="Arial" w:cs="Arial" w:eastAsia="Arial" w:hAnsi="Arial"/>
                <w:sz w:val="14"/>
                <w:szCs w:val="14"/>
                <w:b w:val="1"/>
                <w:bCs w:val="1"/>
                <w:color w:val="FEFEFE"/>
              </w:rPr>
              <w:t>​ ​</w:t>
            </w: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Death ($)</w:t>
            </w:r>
          </w:p>
        </w:tc>
        <w:tc>
          <w:tcPr>
            <w:tcW w:w="3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 ​</w:t>
            </w: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2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100" w:type="dxa"/>
            <w:vAlign w:val="bottom"/>
            <w:shd w:val="clear" w:color="auto" w:fill="53C072"/>
          </w:tcPr>
          <w:p>
            <w:pPr>
              <w:ind w:left="40"/>
              <w:spacing w:after="0"/>
              <w:rPr>
                <w:sz w:val="20"/>
                <w:szCs w:val="20"/>
                <w:color w:val="auto"/>
              </w:rPr>
            </w:pPr>
            <w:r>
              <w:rPr>
                <w:rFonts w:ascii="Arial" w:cs="Arial" w:eastAsia="Arial" w:hAnsi="Arial"/>
                <w:sz w:val="14"/>
                <w:szCs w:val="14"/>
                <w:b w:val="1"/>
                <w:bCs w:val="1"/>
                <w:color w:val="FEFEFE"/>
              </w:rPr>
              <w:t>​</w:t>
            </w:r>
          </w:p>
        </w:tc>
        <w:tc>
          <w:tcPr>
            <w:tcW w:w="7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3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 ​</w:t>
            </w:r>
          </w:p>
        </w:tc>
        <w:tc>
          <w:tcPr>
            <w:tcW w:w="6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3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 ​</w:t>
            </w:r>
          </w:p>
        </w:tc>
        <w:tc>
          <w:tcPr>
            <w:tcW w:w="760" w:type="dxa"/>
            <w:vAlign w:val="bottom"/>
            <w:tcBorders>
              <w:right w:val="single" w:sz="8" w:color="53C072"/>
            </w:tcBorders>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149"/>
        </w:trPr>
        <w:tc>
          <w:tcPr>
            <w:tcW w:w="160" w:type="dxa"/>
            <w:vAlign w:val="bottom"/>
          </w:tcPr>
          <w:p>
            <w:pPr>
              <w:ind w:left="40"/>
              <w:spacing w:after="0" w:line="149" w:lineRule="exact"/>
              <w:rPr>
                <w:sz w:val="20"/>
                <w:szCs w:val="20"/>
                <w:color w:val="auto"/>
              </w:rPr>
            </w:pPr>
            <w:r>
              <w:rPr>
                <w:rFonts w:ascii="Arial" w:cs="Arial" w:eastAsia="Arial" w:hAnsi="Arial"/>
                <w:sz w:val="17"/>
                <w:szCs w:val="17"/>
                <w:color w:val="auto"/>
              </w:rPr>
              <w:t>​</w:t>
            </w:r>
          </w:p>
        </w:tc>
        <w:tc>
          <w:tcPr>
            <w:tcW w:w="398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7"/>
                <w:szCs w:val="17"/>
                <w:color w:val="auto"/>
              </w:rPr>
              <w:t>​ ​</w:t>
            </w:r>
          </w:p>
        </w:tc>
        <w:tc>
          <w:tcPr>
            <w:tcW w:w="7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7"/>
                <w:szCs w:val="17"/>
                <w:color w:val="auto"/>
              </w:rPr>
              <w:t>​ ​ ​</w:t>
            </w:r>
          </w:p>
        </w:tc>
        <w:tc>
          <w:tcPr>
            <w:tcW w:w="7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7"/>
                <w:szCs w:val="17"/>
                <w:color w:val="auto"/>
              </w:rPr>
              <w:t>​ ​</w:t>
            </w:r>
          </w:p>
        </w:tc>
        <w:tc>
          <w:tcPr>
            <w:tcW w:w="100" w:type="dxa"/>
            <w:vAlign w:val="bottom"/>
          </w:tcPr>
          <w:p>
            <w:pPr>
              <w:ind w:left="40"/>
              <w:spacing w:after="0" w:line="149" w:lineRule="exact"/>
              <w:rPr>
                <w:sz w:val="20"/>
                <w:szCs w:val="20"/>
                <w:color w:val="auto"/>
              </w:rPr>
            </w:pPr>
            <w:r>
              <w:rPr>
                <w:rFonts w:ascii="Arial" w:cs="Arial" w:eastAsia="Arial" w:hAnsi="Arial"/>
                <w:sz w:val="17"/>
                <w:szCs w:val="17"/>
                <w:color w:val="auto"/>
              </w:rPr>
              <w:t>​</w:t>
            </w:r>
          </w:p>
        </w:tc>
        <w:tc>
          <w:tcPr>
            <w:tcW w:w="7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7"/>
                <w:szCs w:val="17"/>
                <w:color w:val="auto"/>
              </w:rPr>
              <w:t>​ ​ ​</w:t>
            </w:r>
          </w:p>
        </w:tc>
        <w:tc>
          <w:tcPr>
            <w:tcW w:w="6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7"/>
                <w:szCs w:val="17"/>
                <w:color w:val="auto"/>
              </w:rPr>
              <w:t>​ ​ ​</w:t>
            </w:r>
          </w:p>
        </w:tc>
        <w:tc>
          <w:tcPr>
            <w:tcW w:w="76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
        </w:trPr>
        <w:tc>
          <w:tcPr>
            <w:tcW w:w="4140" w:type="dxa"/>
            <w:vAlign w:val="bottom"/>
            <w:gridSpan w:val="2"/>
          </w:tcPr>
          <w:p>
            <w:pPr>
              <w:ind w:left="40"/>
              <w:spacing w:after="0" w:line="41" w:lineRule="exact"/>
              <w:rPr>
                <w:sz w:val="20"/>
                <w:szCs w:val="20"/>
                <w:color w:val="auto"/>
              </w:rPr>
            </w:pPr>
            <w:r>
              <w:rPr>
                <w:rFonts w:ascii="Arial" w:cs="Arial" w:eastAsia="Arial" w:hAnsi="Arial"/>
                <w:sz w:val="4"/>
                <w:szCs w:val="4"/>
                <w:color w:val="auto"/>
              </w:rPr>
              <w:t>Michael R. McCoy</w:t>
            </w:r>
          </w:p>
        </w:tc>
        <w:tc>
          <w:tcPr>
            <w:tcW w:w="700" w:type="dxa"/>
            <w:vAlign w:val="bottom"/>
            <w:vMerge w:val="restart"/>
          </w:tcPr>
          <w:p>
            <w:pPr>
              <w:ind w:left="500"/>
              <w:spacing w:after="0"/>
              <w:rPr>
                <w:sz w:val="20"/>
                <w:szCs w:val="20"/>
                <w:color w:val="auto"/>
              </w:rPr>
            </w:pPr>
            <w:r>
              <w:rPr>
                <w:rFonts w:ascii="Arial" w:cs="Arial" w:eastAsia="Arial" w:hAnsi="Arial"/>
                <w:sz w:val="18"/>
                <w:szCs w:val="18"/>
                <w:color w:val="auto"/>
              </w:rPr>
              <w:t>​ ​</w:t>
            </w:r>
          </w:p>
        </w:tc>
        <w:tc>
          <w:tcPr>
            <w:tcW w:w="700" w:type="dxa"/>
            <w:vAlign w:val="bottom"/>
          </w:tcPr>
          <w:p>
            <w:pPr>
              <w:spacing w:after="0"/>
              <w:rPr>
                <w:sz w:val="3"/>
                <w:szCs w:val="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spacing w:after="0"/>
              <w:rPr>
                <w:sz w:val="3"/>
                <w:szCs w:val="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3"/>
                <w:szCs w:val="3"/>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spacing w:after="0"/>
              <w:rPr>
                <w:sz w:val="3"/>
                <w:szCs w:val="3"/>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spacing w:after="0"/>
              <w:rPr>
                <w:sz w:val="3"/>
                <w:szCs w:val="3"/>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6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3980" w:type="dxa"/>
            <w:vAlign w:val="bottom"/>
          </w:tcPr>
          <w:p>
            <w:pPr>
              <w:ind w:left="900"/>
              <w:spacing w:after="0"/>
              <w:rPr>
                <w:sz w:val="20"/>
                <w:szCs w:val="20"/>
                <w:color w:val="auto"/>
              </w:rPr>
            </w:pPr>
            <w:r>
              <w:rPr>
                <w:rFonts w:ascii="Arial" w:cs="Arial" w:eastAsia="Arial" w:hAnsi="Arial"/>
                <w:sz w:val="12"/>
                <w:szCs w:val="12"/>
                <w:color w:val="auto"/>
              </w:rPr>
              <w:t>(1)</w:t>
            </w:r>
          </w:p>
        </w:tc>
        <w:tc>
          <w:tcPr>
            <w:tcW w:w="700" w:type="dxa"/>
            <w:vAlign w:val="bottom"/>
            <w:vMerge w:val="continue"/>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4"/>
              </w:rPr>
              <w:t>1,071,000</w:t>
            </w:r>
          </w:p>
        </w:tc>
        <w:tc>
          <w:tcPr>
            <w:tcW w:w="3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160" w:type="dxa"/>
            <w:vAlign w:val="bottom"/>
          </w:tcPr>
          <w:p>
            <w:pPr>
              <w:spacing w:after="0"/>
              <w:rPr>
                <w:sz w:val="5"/>
                <w:szCs w:val="5"/>
                <w:color w:val="auto"/>
              </w:rPr>
            </w:pPr>
          </w:p>
        </w:tc>
        <w:tc>
          <w:tcPr>
            <w:tcW w:w="3980" w:type="dxa"/>
            <w:vAlign w:val="bottom"/>
          </w:tcPr>
          <w:p>
            <w:pPr>
              <w:ind w:left="60"/>
              <w:spacing w:after="0" w:line="63" w:lineRule="exact"/>
              <w:rPr>
                <w:sz w:val="20"/>
                <w:szCs w:val="20"/>
                <w:color w:val="auto"/>
              </w:rPr>
            </w:pPr>
            <w:r>
              <w:rPr>
                <w:rFonts w:ascii="Arial" w:cs="Arial" w:eastAsia="Arial" w:hAnsi="Arial"/>
                <w:sz w:val="7"/>
                <w:szCs w:val="7"/>
                <w:color w:val="auto"/>
              </w:rPr>
              <w:t>Severance</w:t>
            </w: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20" w:type="dxa"/>
            <w:vAlign w:val="bottom"/>
            <w:gridSpan w:val="2"/>
          </w:tcPr>
          <w:p>
            <w:pPr>
              <w:jc w:val="right"/>
              <w:spacing w:after="0" w:line="63" w:lineRule="exact"/>
              <w:rPr>
                <w:sz w:val="20"/>
                <w:szCs w:val="20"/>
                <w:color w:val="auto"/>
              </w:rPr>
            </w:pPr>
            <w:r>
              <w:rPr>
                <w:rFonts w:ascii="Arial" w:cs="Arial" w:eastAsia="Arial" w:hAnsi="Arial"/>
                <w:sz w:val="7"/>
                <w:szCs w:val="7"/>
                <w:color w:val="auto"/>
              </w:rPr>
              <w:t>3,202,290</w:t>
            </w:r>
          </w:p>
        </w:tc>
        <w:tc>
          <w:tcPr>
            <w:tcW w:w="3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Settlement of previously vested stock options</w:t>
            </w:r>
          </w:p>
        </w:tc>
        <w:tc>
          <w:tcPr>
            <w:tcW w:w="2600" w:type="dxa"/>
            <w:vAlign w:val="bottom"/>
            <w:gridSpan w:val="5"/>
          </w:tcPr>
          <w:p>
            <w:pPr>
              <w:jc w:val="right"/>
              <w:spacing w:after="0" w:line="221"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4"/>
                <w:szCs w:val="14"/>
                <w:color w:val="auto"/>
              </w:rPr>
              <w:t xml:space="preserve"> 1,141,290</w:t>
            </w:r>
            <w:r>
              <w:rPr>
                <w:rFonts w:ascii="Arial" w:cs="Arial" w:eastAsia="Arial" w:hAnsi="Arial"/>
                <w:sz w:val="25"/>
                <w:szCs w:val="25"/>
                <w:color w:val="auto"/>
                <w:vertAlign w:val="superscript"/>
              </w:rPr>
              <w:t>​ ​</w:t>
            </w:r>
            <w:r>
              <w:rPr>
                <w:rFonts w:ascii="Arial" w:cs="Arial" w:eastAsia="Arial" w:hAnsi="Arial"/>
                <w:sz w:val="14"/>
                <w:szCs w:val="14"/>
                <w:color w:val="auto"/>
              </w:rPr>
              <w:t xml:space="preserve"> 1,141,290</w:t>
            </w:r>
            <w:r>
              <w:rPr>
                <w:rFonts w:ascii="Arial" w:cs="Arial" w:eastAsia="Arial" w:hAnsi="Arial"/>
                <w:sz w:val="25"/>
                <w:szCs w:val="25"/>
                <w:color w:val="auto"/>
                <w:vertAlign w:val="superscript"/>
              </w:rPr>
              <w:t>​ ​</w:t>
            </w:r>
          </w:p>
        </w:tc>
        <w:tc>
          <w:tcPr>
            <w:tcW w:w="100" w:type="dxa"/>
            <w:vAlign w:val="bottom"/>
          </w:tcPr>
          <w:p>
            <w:pPr>
              <w:spacing w:after="0"/>
              <w:rPr>
                <w:sz w:val="19"/>
                <w:szCs w:val="19"/>
                <w:color w:val="auto"/>
              </w:rPr>
            </w:pPr>
          </w:p>
        </w:tc>
        <w:tc>
          <w:tcPr>
            <w:tcW w:w="2940" w:type="dxa"/>
            <w:vAlign w:val="bottom"/>
            <w:gridSpan w:val="6"/>
          </w:tcPr>
          <w:p>
            <w:pPr>
              <w:jc w:val="right"/>
              <w:spacing w:after="0" w:line="221" w:lineRule="exact"/>
              <w:rPr>
                <w:sz w:val="20"/>
                <w:szCs w:val="20"/>
                <w:color w:val="auto"/>
              </w:rPr>
            </w:pPr>
            <w:r>
              <w:rPr>
                <w:rFonts w:ascii="Arial" w:cs="Arial" w:eastAsia="Arial" w:hAnsi="Arial"/>
                <w:sz w:val="14"/>
                <w:szCs w:val="14"/>
                <w:color w:val="auto"/>
              </w:rPr>
              <w:t>1,141,290</w:t>
            </w:r>
            <w:r>
              <w:rPr>
                <w:rFonts w:ascii="Arial" w:cs="Arial" w:eastAsia="Arial" w:hAnsi="Arial"/>
                <w:sz w:val="25"/>
                <w:szCs w:val="25"/>
                <w:color w:val="auto"/>
                <w:vertAlign w:val="superscript"/>
              </w:rPr>
              <w:t>​ ​</w:t>
            </w:r>
            <w:r>
              <w:rPr>
                <w:rFonts w:ascii="Arial" w:cs="Arial" w:eastAsia="Arial" w:hAnsi="Arial"/>
                <w:sz w:val="14"/>
                <w:szCs w:val="14"/>
                <w:color w:val="auto"/>
              </w:rPr>
              <w:t xml:space="preserve"> 1,141,290</w:t>
            </w:r>
            <w:r>
              <w:rPr>
                <w:rFonts w:ascii="Arial" w:cs="Arial" w:eastAsia="Arial" w:hAnsi="Arial"/>
                <w:sz w:val="25"/>
                <w:szCs w:val="25"/>
                <w:color w:val="auto"/>
                <w:vertAlign w:val="superscript"/>
              </w:rPr>
              <w:t>​ ​</w:t>
            </w:r>
            <w:r>
              <w:rPr>
                <w:rFonts w:ascii="Arial" w:cs="Arial" w:eastAsia="Arial" w:hAnsi="Arial"/>
                <w:sz w:val="14"/>
                <w:szCs w:val="14"/>
                <w:color w:val="auto"/>
              </w:rPr>
              <w:t xml:space="preserve"> 1,141,290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16"/>
        </w:trPr>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Settlement of unvested stock options</w:t>
            </w:r>
          </w:p>
        </w:tc>
        <w:tc>
          <w:tcPr>
            <w:tcW w:w="700" w:type="dxa"/>
            <w:vAlign w:val="bottom"/>
          </w:tcPr>
          <w:p>
            <w:pPr>
              <w:ind w:left="50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104,490</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176"/>
        </w:trPr>
        <w:tc>
          <w:tcPr>
            <w:tcW w:w="16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3980" w:type="dxa"/>
            <w:vAlign w:val="bottom"/>
          </w:tcPr>
          <w:p>
            <w:pPr>
              <w:ind w:left="1620"/>
              <w:spacing w:after="0"/>
              <w:rPr>
                <w:sz w:val="20"/>
                <w:szCs w:val="20"/>
                <w:color w:val="auto"/>
              </w:rPr>
            </w:pPr>
            <w:r>
              <w:rPr>
                <w:rFonts w:ascii="Arial" w:cs="Arial" w:eastAsia="Arial" w:hAnsi="Arial"/>
                <w:sz w:val="12"/>
                <w:szCs w:val="12"/>
                <w:color w:val="auto"/>
              </w:rPr>
              <w:t>(2)</w:t>
            </w:r>
          </w:p>
        </w:tc>
        <w:tc>
          <w:tcPr>
            <w:tcW w:w="700" w:type="dxa"/>
            <w:vAlign w:val="bottom"/>
          </w:tcPr>
          <w:p>
            <w:pPr>
              <w:ind w:left="500"/>
              <w:spacing w:after="0" w:line="176" w:lineRule="exact"/>
              <w:rPr>
                <w:sz w:val="20"/>
                <w:szCs w:val="20"/>
                <w:color w:val="auto"/>
              </w:rPr>
            </w:pPr>
            <w:r>
              <w:rPr>
                <w:rFonts w:ascii="Arial" w:cs="Arial" w:eastAsia="Arial" w:hAnsi="Arial"/>
                <w:sz w:val="18"/>
                <w:szCs w:val="18"/>
                <w:color w:val="auto"/>
              </w:rPr>
              <w:t>​ ​</w:t>
            </w:r>
          </w:p>
        </w:tc>
        <w:tc>
          <w:tcPr>
            <w:tcW w:w="700" w:type="dxa"/>
            <w:vAlign w:val="bottom"/>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Arial" w:cs="Arial" w:eastAsia="Arial" w:hAnsi="Arial"/>
                <w:sz w:val="18"/>
                <w:szCs w:val="18"/>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line="176" w:lineRule="exact"/>
              <w:rPr>
                <w:sz w:val="20"/>
                <w:szCs w:val="20"/>
                <w:color w:val="auto"/>
              </w:rPr>
            </w:pPr>
            <w:r>
              <w:rPr>
                <w:rFonts w:ascii="Arial" w:cs="Arial" w:eastAsia="Arial" w:hAnsi="Arial"/>
                <w:sz w:val="18"/>
                <w:szCs w:val="18"/>
                <w:color w:val="auto"/>
              </w:rPr>
              <w:t>​ ​</w:t>
            </w:r>
          </w:p>
        </w:tc>
        <w:tc>
          <w:tcPr>
            <w:tcW w:w="68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8"/>
                <w:szCs w:val="18"/>
                <w:color w:val="auto"/>
              </w:rPr>
              <w:t>​ ​</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160" w:type="dxa"/>
            <w:vAlign w:val="bottom"/>
          </w:tcPr>
          <w:p>
            <w:pPr>
              <w:spacing w:after="0"/>
              <w:rPr>
                <w:sz w:val="5"/>
                <w:szCs w:val="5"/>
                <w:color w:val="auto"/>
              </w:rPr>
            </w:pPr>
          </w:p>
        </w:tc>
        <w:tc>
          <w:tcPr>
            <w:tcW w:w="3980" w:type="dxa"/>
            <w:vAlign w:val="bottom"/>
          </w:tcPr>
          <w:p>
            <w:pPr>
              <w:ind w:left="60"/>
              <w:spacing w:after="0" w:line="63" w:lineRule="exact"/>
              <w:rPr>
                <w:sz w:val="20"/>
                <w:szCs w:val="20"/>
                <w:color w:val="auto"/>
              </w:rPr>
            </w:pPr>
            <w:r>
              <w:rPr>
                <w:rFonts w:ascii="Arial" w:cs="Arial" w:eastAsia="Arial" w:hAnsi="Arial"/>
                <w:sz w:val="7"/>
                <w:szCs w:val="7"/>
                <w:color w:val="auto"/>
              </w:rPr>
              <w:t>Settlement of RSUs</w:t>
            </w:r>
          </w:p>
        </w:tc>
        <w:tc>
          <w:tcPr>
            <w:tcW w:w="1400" w:type="dxa"/>
            <w:vAlign w:val="bottom"/>
            <w:gridSpan w:val="2"/>
          </w:tcPr>
          <w:p>
            <w:pPr>
              <w:jc w:val="right"/>
              <w:spacing w:after="0" w:line="63" w:lineRule="exact"/>
              <w:rPr>
                <w:sz w:val="20"/>
                <w:szCs w:val="20"/>
                <w:color w:val="auto"/>
              </w:rPr>
            </w:pPr>
            <w:r>
              <w:rPr>
                <w:rFonts w:ascii="Arial" w:cs="Arial" w:eastAsia="Arial" w:hAnsi="Arial"/>
                <w:sz w:val="7"/>
                <w:szCs w:val="7"/>
                <w:color w:val="auto"/>
              </w:rPr>
              <w:t>1,029,293</w:t>
            </w: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20" w:type="dxa"/>
            <w:vAlign w:val="bottom"/>
            <w:gridSpan w:val="2"/>
          </w:tcPr>
          <w:p>
            <w:pPr>
              <w:jc w:val="right"/>
              <w:spacing w:after="0" w:line="63" w:lineRule="exact"/>
              <w:rPr>
                <w:sz w:val="20"/>
                <w:szCs w:val="20"/>
                <w:color w:val="auto"/>
              </w:rPr>
            </w:pPr>
            <w:r>
              <w:rPr>
                <w:rFonts w:ascii="Arial" w:cs="Arial" w:eastAsia="Arial" w:hAnsi="Arial"/>
                <w:sz w:val="7"/>
                <w:szCs w:val="7"/>
                <w:color w:val="auto"/>
              </w:rPr>
              <w:t>1,029,293</w:t>
            </w:r>
          </w:p>
        </w:tc>
        <w:tc>
          <w:tcPr>
            <w:tcW w:w="3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6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3980" w:type="dxa"/>
            <w:vAlign w:val="bottom"/>
          </w:tcPr>
          <w:p>
            <w:pPr>
              <w:ind w:left="1600"/>
              <w:spacing w:after="0"/>
              <w:rPr>
                <w:sz w:val="20"/>
                <w:szCs w:val="20"/>
                <w:color w:val="auto"/>
              </w:rPr>
            </w:pPr>
            <w:r>
              <w:rPr>
                <w:rFonts w:ascii="Arial" w:cs="Arial" w:eastAsia="Arial" w:hAnsi="Arial"/>
                <w:sz w:val="12"/>
                <w:szCs w:val="12"/>
                <w:color w:val="auto"/>
              </w:rPr>
              <w:t>(3)</w:t>
            </w:r>
          </w:p>
        </w:tc>
        <w:tc>
          <w:tcPr>
            <w:tcW w:w="700" w:type="dxa"/>
            <w:vAlign w:val="bottom"/>
          </w:tcPr>
          <w:p>
            <w:pPr>
              <w:ind w:left="500"/>
              <w:spacing w:after="0" w:line="181" w:lineRule="exact"/>
              <w:rPr>
                <w:sz w:val="20"/>
                <w:szCs w:val="20"/>
                <w:color w:val="auto"/>
              </w:rPr>
            </w:pPr>
            <w:r>
              <w:rPr>
                <w:rFonts w:ascii="Arial" w:cs="Arial" w:eastAsia="Arial" w:hAnsi="Arial"/>
                <w:sz w:val="18"/>
                <w:szCs w:val="18"/>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485,525</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485,525</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80" w:type="dxa"/>
            <w:vAlign w:val="bottom"/>
          </w:tcPr>
          <w:p>
            <w:pPr>
              <w:spacing w:after="0"/>
              <w:rPr>
                <w:sz w:val="15"/>
                <w:szCs w:val="15"/>
                <w:color w:val="auto"/>
              </w:rPr>
            </w:pPr>
          </w:p>
        </w:tc>
        <w:tc>
          <w:tcPr>
            <w:tcW w:w="3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160" w:type="dxa"/>
            <w:vAlign w:val="bottom"/>
          </w:tcPr>
          <w:p>
            <w:pPr>
              <w:spacing w:after="0"/>
              <w:rPr>
                <w:sz w:val="5"/>
                <w:szCs w:val="5"/>
                <w:color w:val="auto"/>
              </w:rPr>
            </w:pPr>
          </w:p>
        </w:tc>
        <w:tc>
          <w:tcPr>
            <w:tcW w:w="3980" w:type="dxa"/>
            <w:vAlign w:val="bottom"/>
          </w:tcPr>
          <w:p>
            <w:pPr>
              <w:ind w:left="60"/>
              <w:spacing w:after="0" w:line="63" w:lineRule="exact"/>
              <w:rPr>
                <w:sz w:val="20"/>
                <w:szCs w:val="20"/>
                <w:color w:val="auto"/>
              </w:rPr>
            </w:pPr>
            <w:r>
              <w:rPr>
                <w:rFonts w:ascii="Arial" w:cs="Arial" w:eastAsia="Arial" w:hAnsi="Arial"/>
                <w:sz w:val="7"/>
                <w:szCs w:val="7"/>
                <w:color w:val="auto"/>
              </w:rPr>
              <w:t>Settlement of PSUs</w:t>
            </w: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20" w:type="dxa"/>
            <w:vAlign w:val="bottom"/>
            <w:gridSpan w:val="2"/>
          </w:tcPr>
          <w:p>
            <w:pPr>
              <w:jc w:val="right"/>
              <w:spacing w:after="0" w:line="63" w:lineRule="exact"/>
              <w:rPr>
                <w:sz w:val="20"/>
                <w:szCs w:val="20"/>
                <w:color w:val="auto"/>
              </w:rPr>
            </w:pPr>
            <w:r>
              <w:rPr>
                <w:rFonts w:ascii="Arial" w:cs="Arial" w:eastAsia="Arial" w:hAnsi="Arial"/>
                <w:sz w:val="7"/>
                <w:szCs w:val="7"/>
                <w:color w:val="auto"/>
              </w:rPr>
              <w:t>1,184,850</w:t>
            </w:r>
          </w:p>
        </w:tc>
        <w:tc>
          <w:tcPr>
            <w:tcW w:w="3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Welfare benefits</w:t>
            </w:r>
          </w:p>
        </w:tc>
        <w:tc>
          <w:tcPr>
            <w:tcW w:w="700" w:type="dxa"/>
            <w:vAlign w:val="bottom"/>
          </w:tcPr>
          <w:p>
            <w:pPr>
              <w:ind w:left="50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103,701</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21"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216"/>
        </w:trPr>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Life insurance benefit</w:t>
            </w:r>
          </w:p>
        </w:tc>
        <w:tc>
          <w:tcPr>
            <w:tcW w:w="700" w:type="dxa"/>
            <w:vAlign w:val="bottom"/>
          </w:tcPr>
          <w:p>
            <w:pPr>
              <w:ind w:left="50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16"/>
        </w:trPr>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Pension</w:t>
            </w:r>
          </w:p>
        </w:tc>
        <w:tc>
          <w:tcPr>
            <w:tcW w:w="700" w:type="dxa"/>
            <w:vAlign w:val="bottom"/>
          </w:tcPr>
          <w:p>
            <w:pPr>
              <w:ind w:left="50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242,593</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242,593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242,593</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242,593</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242,593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1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3980" w:type="dxa"/>
            <w:vAlign w:val="bottom"/>
            <w:tcBorders>
              <w:bottom w:val="single" w:sz="8" w:color="53C072"/>
            </w:tcBorders>
          </w:tcPr>
          <w:p>
            <w:pPr>
              <w:ind w:left="60"/>
              <w:spacing w:after="0"/>
              <w:rPr>
                <w:sz w:val="20"/>
                <w:szCs w:val="20"/>
                <w:color w:val="auto"/>
              </w:rPr>
            </w:pPr>
            <w:r>
              <w:rPr>
                <w:rFonts w:ascii="Arial" w:cs="Arial" w:eastAsia="Arial" w:hAnsi="Arial"/>
                <w:sz w:val="18"/>
                <w:szCs w:val="18"/>
                <w:color w:val="auto"/>
              </w:rPr>
              <w:t>Restoration Plan</w:t>
            </w:r>
          </w:p>
        </w:tc>
        <w:tc>
          <w:tcPr>
            <w:tcW w:w="700" w:type="dxa"/>
            <w:vAlign w:val="bottom"/>
            <w:tcBorders>
              <w:bottom w:val="single" w:sz="8" w:color="53C072"/>
            </w:tcBorders>
          </w:tcPr>
          <w:p>
            <w:pPr>
              <w:ind w:left="50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169,039</w:t>
            </w:r>
          </w:p>
        </w:tc>
        <w:tc>
          <w:tcPr>
            <w:tcW w:w="30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169,039</w:t>
            </w:r>
          </w:p>
        </w:tc>
        <w:tc>
          <w:tcPr>
            <w:tcW w:w="20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169,039</w:t>
            </w:r>
          </w:p>
        </w:tc>
        <w:tc>
          <w:tcPr>
            <w:tcW w:w="34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 ​</w:t>
            </w:r>
          </w:p>
        </w:tc>
        <w:tc>
          <w:tcPr>
            <w:tcW w:w="68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169,039</w:t>
            </w:r>
          </w:p>
        </w:tc>
        <w:tc>
          <w:tcPr>
            <w:tcW w:w="32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169,039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780" w:hanging="718"/>
        <w:spacing w:after="0"/>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Severance payments assume target annual incentive for fiscal 2025.</w:t>
      </w:r>
    </w:p>
    <w:p>
      <w:pPr>
        <w:spacing w:after="0" w:line="157" w:lineRule="exact"/>
        <w:rPr>
          <w:rFonts w:ascii="Arial" w:cs="Arial" w:eastAsia="Arial" w:hAnsi="Arial"/>
          <w:sz w:val="18"/>
          <w:szCs w:val="18"/>
          <w:color w:val="auto"/>
        </w:rPr>
      </w:pPr>
    </w:p>
    <w:p>
      <w:pPr>
        <w:ind w:left="1780" w:right="560" w:hanging="718"/>
        <w:spacing w:after="0" w:line="287" w:lineRule="auto"/>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value of RSUs reflected in the table above under death and change of control equals the value of all RSUs allocated to the NEOs but not yet vested on June 28, 2025.</w:t>
      </w:r>
    </w:p>
    <w:p>
      <w:pPr>
        <w:spacing w:after="0" w:line="85" w:lineRule="exact"/>
        <w:rPr>
          <w:rFonts w:ascii="Arial" w:cs="Arial" w:eastAsia="Arial" w:hAnsi="Arial"/>
          <w:sz w:val="18"/>
          <w:szCs w:val="18"/>
          <w:color w:val="auto"/>
        </w:rPr>
      </w:pPr>
    </w:p>
    <w:p>
      <w:pPr>
        <w:ind w:left="1780" w:right="580" w:hanging="718"/>
        <w:spacing w:after="0" w:line="257" w:lineRule="auto"/>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value of PSUs in the table above include three grants for the performance periods covering FY 2023 to FY 2025, FY 2024 to FY 2026 and FY 2025 to FY 2027. Included are the PSUs earned for the tranches relating to the performance applicable to fiscal 2023, fiscal 2024 and fiscal 2025, with the latter fiscal year having a performance of zero, as performance thresholds were not achieved. For the remaining tranches applicable to fiscal 2026 and fiscal 2027, we have assumed performance at target.</w:t>
      </w:r>
    </w:p>
    <w:p>
      <w:pPr>
        <w:spacing w:after="0" w:line="101" w:lineRule="exact"/>
        <w:rPr>
          <w:rFonts w:ascii="Arial" w:cs="Arial" w:eastAsia="Arial" w:hAnsi="Arial"/>
          <w:sz w:val="18"/>
          <w:szCs w:val="18"/>
          <w:color w:val="auto"/>
        </w:rPr>
      </w:pPr>
    </w:p>
    <w:p>
      <w:pPr>
        <w:ind w:left="1780" w:right="580" w:hanging="718"/>
        <w:spacing w:after="0" w:line="259" w:lineRule="auto"/>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Because Mr. Gallagher and Mr. Arnold are retirement eligible under the applicable equity compensation plans, the amount of potential payouts regarding RSUs and Stock Options in the event of a disability or termination by the Company without cause is the same as that under Retirement because the amount received upon retirement is greater than would be received upon a disability or termination without cause.</w:t>
      </w:r>
    </w:p>
    <w:p>
      <w:pPr>
        <w:spacing w:after="0" w:line="111" w:lineRule="exact"/>
        <w:rPr>
          <w:rFonts w:ascii="Arial" w:cs="Arial" w:eastAsia="Arial" w:hAnsi="Arial"/>
          <w:sz w:val="18"/>
          <w:szCs w:val="18"/>
          <w:color w:val="auto"/>
        </w:rPr>
      </w:pPr>
    </w:p>
    <w:p>
      <w:pPr>
        <w:ind w:left="1780" w:right="600" w:hanging="718"/>
        <w:spacing w:after="0" w:line="268" w:lineRule="auto"/>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Mr. Gallagher has received all his supplemental retirement benefits under the SERP effective in fiscal year 2023. The amount included above is for the death benefit provided under the SERP as discussed above relating to Pension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66     </w:t>
      </w:r>
      <w:r>
        <w:rPr>
          <w:sz w:val="1"/>
          <w:szCs w:val="1"/>
          <w:color w:val="auto"/>
        </w:rPr>
        <w:drawing>
          <wp:inline distT="0" distB="0" distL="0" distR="0">
            <wp:extent cx="1242695" cy="24003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80"/>
        <w:spacing w:after="0"/>
        <w:rPr>
          <w:sz w:val="20"/>
          <w:szCs w:val="20"/>
          <w:color w:val="auto"/>
        </w:rPr>
      </w:pPr>
      <w:r>
        <w:rPr>
          <w:rFonts w:ascii="Arial" w:cs="Arial" w:eastAsia="Arial" w:hAnsi="Arial"/>
          <w:sz w:val="40"/>
          <w:szCs w:val="40"/>
          <w:b w:val="1"/>
          <w:bCs w:val="1"/>
          <w:color w:val="FEFEFE"/>
        </w:rPr>
        <w:t>CEO PAY RATIO</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ind w:left="1000" w:right="219"/>
        <w:spacing w:after="0" w:line="257" w:lineRule="auto"/>
        <w:rPr>
          <w:sz w:val="20"/>
          <w:szCs w:val="20"/>
          <w:color w:val="auto"/>
        </w:rPr>
      </w:pPr>
      <w:r>
        <w:rPr>
          <w:rFonts w:ascii="Arial" w:cs="Arial" w:eastAsia="Arial" w:hAnsi="Arial"/>
          <w:sz w:val="18"/>
          <w:szCs w:val="18"/>
          <w:color w:val="auto"/>
        </w:rPr>
        <w:t>The following is information about the relationship of the annual total compensation paid to the individual identified as its median paid employee and the annual total compensation of the CEO, Mr. Gallagher. The company determined a new median employee for fiscal year 2024 and since there were no significant changes in fiscal 2025, the company is using the same median employee identified in fiscal 2024. The fiscal 2025 total compensation of the median paid employee, other than the Company’s CEO, was $44,676. The CEO’s fiscal 2025 total compensation was $9,894,132.</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The ratio of CEO to median employee pay was 221 to 1.</w:t>
      </w:r>
    </w:p>
    <w:p>
      <w:pPr>
        <w:spacing w:after="0" w:line="148" w:lineRule="exact"/>
        <w:rPr>
          <w:sz w:val="20"/>
          <w:szCs w:val="20"/>
          <w:color w:val="auto"/>
        </w:rPr>
      </w:pPr>
    </w:p>
    <w:p>
      <w:pPr>
        <w:ind w:left="1000" w:right="359"/>
        <w:spacing w:after="0" w:line="287" w:lineRule="auto"/>
        <w:rPr>
          <w:sz w:val="20"/>
          <w:szCs w:val="20"/>
          <w:color w:val="auto"/>
        </w:rPr>
      </w:pPr>
      <w:r>
        <w:rPr>
          <w:rFonts w:ascii="Arial" w:cs="Arial" w:eastAsia="Arial" w:hAnsi="Arial"/>
          <w:sz w:val="18"/>
          <w:szCs w:val="18"/>
          <w:color w:val="auto"/>
        </w:rPr>
        <w:t>The following summarizes the methodology, material assumptions, adjustments, and estimates the Company used in calculating the CEO pay ratio for fiscal 2025:</w:t>
      </w:r>
    </w:p>
    <w:p>
      <w:pPr>
        <w:spacing w:after="0" w:line="85" w:lineRule="exact"/>
        <w:rPr>
          <w:sz w:val="20"/>
          <w:szCs w:val="20"/>
          <w:color w:val="auto"/>
        </w:rPr>
      </w:pPr>
    </w:p>
    <w:p>
      <w:pPr>
        <w:ind w:left="1720" w:right="159" w:hanging="370"/>
        <w:spacing w:after="0" w:line="287" w:lineRule="auto"/>
        <w:tabs>
          <w:tab w:leader="none" w:pos="1720" w:val="left"/>
        </w:tabs>
        <w:numPr>
          <w:ilvl w:val="0"/>
          <w:numId w:val="61"/>
        </w:numPr>
        <w:rPr>
          <w:rFonts w:ascii="Arial" w:cs="Arial" w:eastAsia="Arial" w:hAnsi="Arial"/>
          <w:sz w:val="18"/>
          <w:szCs w:val="18"/>
          <w:color w:val="53C072"/>
        </w:rPr>
      </w:pPr>
      <w:r>
        <w:rPr>
          <w:rFonts w:ascii="Arial" w:cs="Arial" w:eastAsia="Arial" w:hAnsi="Arial"/>
          <w:sz w:val="18"/>
          <w:szCs w:val="18"/>
          <w:b w:val="1"/>
          <w:bCs w:val="1"/>
          <w:color w:val="53C072"/>
        </w:rPr>
        <w:t xml:space="preserve">Compensation Time Period: </w:t>
      </w:r>
      <w:r>
        <w:rPr>
          <w:rFonts w:ascii="Arial" w:cs="Arial" w:eastAsia="Arial" w:hAnsi="Arial"/>
          <w:sz w:val="18"/>
          <w:szCs w:val="18"/>
          <w:color w:val="000000"/>
        </w:rPr>
        <w:t>The Company measured compensation for the median paid employee</w:t>
      </w:r>
      <w:r>
        <w:rPr>
          <w:rFonts w:ascii="Arial" w:cs="Arial" w:eastAsia="Arial" w:hAnsi="Arial"/>
          <w:sz w:val="18"/>
          <w:szCs w:val="18"/>
          <w:b w:val="1"/>
          <w:bCs w:val="1"/>
          <w:color w:val="53C072"/>
        </w:rPr>
        <w:t xml:space="preserve"> </w:t>
      </w:r>
      <w:r>
        <w:rPr>
          <w:rFonts w:ascii="Arial" w:cs="Arial" w:eastAsia="Arial" w:hAnsi="Arial"/>
          <w:sz w:val="18"/>
          <w:szCs w:val="18"/>
          <w:color w:val="000000"/>
        </w:rPr>
        <w:t>using the 12-month fiscal period of June 30, 2024 through June 28, 2025.</w:t>
      </w:r>
    </w:p>
    <w:p>
      <w:pPr>
        <w:spacing w:after="0" w:line="85" w:lineRule="exact"/>
        <w:rPr>
          <w:rFonts w:ascii="Arial" w:cs="Arial" w:eastAsia="Arial" w:hAnsi="Arial"/>
          <w:sz w:val="18"/>
          <w:szCs w:val="18"/>
          <w:color w:val="53C072"/>
        </w:rPr>
      </w:pPr>
    </w:p>
    <w:p>
      <w:pPr>
        <w:ind w:left="1720" w:right="339" w:hanging="370"/>
        <w:spacing w:after="0" w:line="268" w:lineRule="auto"/>
        <w:tabs>
          <w:tab w:leader="none" w:pos="1720" w:val="left"/>
        </w:tabs>
        <w:numPr>
          <w:ilvl w:val="0"/>
          <w:numId w:val="61"/>
        </w:numPr>
        <w:rPr>
          <w:rFonts w:ascii="Arial" w:cs="Arial" w:eastAsia="Arial" w:hAnsi="Arial"/>
          <w:sz w:val="18"/>
          <w:szCs w:val="18"/>
          <w:color w:val="53C072"/>
        </w:rPr>
      </w:pPr>
      <w:r>
        <w:rPr>
          <w:rFonts w:ascii="Arial" w:cs="Arial" w:eastAsia="Arial" w:hAnsi="Arial"/>
          <w:sz w:val="18"/>
          <w:szCs w:val="18"/>
          <w:b w:val="1"/>
          <w:bCs w:val="1"/>
          <w:color w:val="53C072"/>
        </w:rPr>
        <w:t xml:space="preserve">Determining Median Paid Employee’s Pay for CEO Ratio: </w:t>
      </w:r>
      <w:r>
        <w:rPr>
          <w:rFonts w:ascii="Arial" w:cs="Arial" w:eastAsia="Arial" w:hAnsi="Arial"/>
          <w:sz w:val="18"/>
          <w:szCs w:val="18"/>
          <w:color w:val="000000"/>
        </w:rPr>
        <w:t>The median paid employee received</w:t>
      </w:r>
      <w:r>
        <w:rPr>
          <w:rFonts w:ascii="Arial" w:cs="Arial" w:eastAsia="Arial" w:hAnsi="Arial"/>
          <w:sz w:val="18"/>
          <w:szCs w:val="18"/>
          <w:b w:val="1"/>
          <w:bCs w:val="1"/>
          <w:color w:val="53C072"/>
        </w:rPr>
        <w:t xml:space="preserve"> </w:t>
      </w:r>
      <w:r>
        <w:rPr>
          <w:rFonts w:ascii="Arial" w:cs="Arial" w:eastAsia="Arial" w:hAnsi="Arial"/>
          <w:sz w:val="18"/>
          <w:szCs w:val="18"/>
          <w:color w:val="000000"/>
        </w:rPr>
        <w:t>actual earnings in the amount of $44,676 for fiscal 2025, calculated in accordance with the requirements of Item 402(c)(2)(x) of Regulation S-K.</w:t>
      </w:r>
    </w:p>
    <w:p>
      <w:pPr>
        <w:spacing w:after="0" w:line="89" w:lineRule="exact"/>
        <w:rPr>
          <w:rFonts w:ascii="Arial" w:cs="Arial" w:eastAsia="Arial" w:hAnsi="Arial"/>
          <w:sz w:val="18"/>
          <w:szCs w:val="18"/>
          <w:color w:val="53C072"/>
        </w:rPr>
      </w:pPr>
    </w:p>
    <w:p>
      <w:pPr>
        <w:ind w:left="1720" w:right="179" w:hanging="370"/>
        <w:spacing w:after="0" w:line="268" w:lineRule="auto"/>
        <w:tabs>
          <w:tab w:leader="none" w:pos="1720" w:val="left"/>
        </w:tabs>
        <w:numPr>
          <w:ilvl w:val="0"/>
          <w:numId w:val="61"/>
        </w:numPr>
        <w:rPr>
          <w:rFonts w:ascii="Arial" w:cs="Arial" w:eastAsia="Arial" w:hAnsi="Arial"/>
          <w:sz w:val="18"/>
          <w:szCs w:val="18"/>
          <w:color w:val="53C072"/>
        </w:rPr>
      </w:pPr>
      <w:r>
        <w:rPr>
          <w:rFonts w:ascii="Arial" w:cs="Arial" w:eastAsia="Arial" w:hAnsi="Arial"/>
          <w:sz w:val="18"/>
          <w:szCs w:val="18"/>
          <w:b w:val="1"/>
          <w:bCs w:val="1"/>
          <w:color w:val="53C072"/>
        </w:rPr>
        <w:t xml:space="preserve">Determining CEO’s Pay for CEO Ratio: </w:t>
      </w:r>
      <w:r>
        <w:rPr>
          <w:rFonts w:ascii="Arial" w:cs="Arial" w:eastAsia="Arial" w:hAnsi="Arial"/>
          <w:sz w:val="18"/>
          <w:szCs w:val="18"/>
          <w:color w:val="000000"/>
        </w:rPr>
        <w:t>With respect to the annual total compensation of the CEO,</w:t>
      </w:r>
      <w:r>
        <w:rPr>
          <w:rFonts w:ascii="Arial" w:cs="Arial" w:eastAsia="Arial" w:hAnsi="Arial"/>
          <w:sz w:val="18"/>
          <w:szCs w:val="18"/>
          <w:b w:val="1"/>
          <w:bCs w:val="1"/>
          <w:color w:val="53C072"/>
        </w:rPr>
        <w:t xml:space="preserve"> </w:t>
      </w:r>
      <w:r>
        <w:rPr>
          <w:rFonts w:ascii="Arial" w:cs="Arial" w:eastAsia="Arial" w:hAnsi="Arial"/>
          <w:sz w:val="18"/>
          <w:szCs w:val="18"/>
          <w:color w:val="000000"/>
        </w:rPr>
        <w:t>the Company used the amount reported in the “Total” column of the 2025 Summary Compensation Table included in this Proxy Statement.</w:t>
      </w:r>
    </w:p>
    <w:p>
      <w:pPr>
        <w:spacing w:after="0" w:line="103" w:lineRule="exact"/>
        <w:rPr>
          <w:sz w:val="20"/>
          <w:szCs w:val="20"/>
          <w:color w:val="auto"/>
        </w:rPr>
      </w:pPr>
    </w:p>
    <w:p>
      <w:pPr>
        <w:ind w:left="1000" w:right="399"/>
        <w:spacing w:after="0" w:line="262" w:lineRule="auto"/>
        <w:rPr>
          <w:sz w:val="20"/>
          <w:szCs w:val="20"/>
          <w:color w:val="auto"/>
        </w:rPr>
      </w:pPr>
      <w:r>
        <w:rPr>
          <w:rFonts w:ascii="Arial" w:cs="Arial" w:eastAsia="Arial" w:hAnsi="Arial"/>
          <w:sz w:val="18"/>
          <w:szCs w:val="18"/>
          <w:color w:val="auto"/>
        </w:rPr>
        <w:t>The SEC rules for identifying the median employee and calculating the pay ratio permit companies to use various methodologies and assumptions, to apply certain exclusions, and to make reasonable estimates that reflect their employee population and compensation practices. As a result, the pay ratio reported by other companies may not be comparable to the pay ratio that the Company has reported.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560"/>
        <w:spacing w:after="0"/>
        <w:rPr>
          <w:sz w:val="20"/>
          <w:szCs w:val="20"/>
          <w:color w:val="auto"/>
        </w:rPr>
      </w:pPr>
      <w:r>
        <w:rPr>
          <w:rFonts w:ascii="Arial" w:cs="Arial" w:eastAsia="Arial" w:hAnsi="Arial"/>
          <w:sz w:val="40"/>
          <w:szCs w:val="40"/>
          <w:b w:val="1"/>
          <w:bCs w:val="1"/>
          <w:color w:val="FEFEFE"/>
        </w:rPr>
        <w:t>PAY VERSUS PERFORMANCE</w:t>
      </w:r>
    </w:p>
    <w:p>
      <w:pPr>
        <w:spacing w:after="0" w:line="338" w:lineRule="exact"/>
        <w:rPr>
          <w:sz w:val="20"/>
          <w:szCs w:val="20"/>
          <w:color w:val="auto"/>
        </w:rPr>
      </w:pPr>
    </w:p>
    <w:p>
      <w:pPr>
        <w:ind w:left="1000" w:right="459"/>
        <w:spacing w:after="0" w:line="287" w:lineRule="auto"/>
        <w:rPr>
          <w:sz w:val="20"/>
          <w:szCs w:val="20"/>
          <w:color w:val="auto"/>
        </w:rPr>
      </w:pPr>
      <w:r>
        <w:rPr>
          <w:rFonts w:ascii="Arial" w:cs="Arial" w:eastAsia="Arial" w:hAnsi="Arial"/>
          <w:sz w:val="18"/>
          <w:szCs w:val="18"/>
          <w:color w:val="auto"/>
        </w:rPr>
        <w:t>Compensation Actually Paid (“CAP”) and certain Company financial performance measures for the past five fiscal years are set forth below.</w:t>
      </w:r>
    </w:p>
    <w:p>
      <w:pPr>
        <w:spacing w:after="0" w:line="85" w:lineRule="exact"/>
        <w:rPr>
          <w:sz w:val="20"/>
          <w:szCs w:val="20"/>
          <w:color w:val="auto"/>
        </w:rPr>
      </w:pPr>
    </w:p>
    <w:p>
      <w:pPr>
        <w:ind w:left="1000" w:right="179"/>
        <w:spacing w:after="0" w:line="259" w:lineRule="auto"/>
        <w:rPr>
          <w:sz w:val="20"/>
          <w:szCs w:val="20"/>
          <w:color w:val="auto"/>
        </w:rPr>
      </w:pPr>
      <w:r>
        <w:rPr>
          <w:rFonts w:ascii="Arial" w:cs="Arial" w:eastAsia="Arial" w:hAnsi="Arial"/>
          <w:sz w:val="18"/>
          <w:szCs w:val="18"/>
          <w:color w:val="auto"/>
        </w:rPr>
        <w:t>CAP is calculated as required under applicable SEC rules and presented on an individual basis for each principal executive officer of the Company (“PEO”) and as an average for other NEOs serving during the presented years. CAP does not reflect the actual amount of compensation earned or realized by NEOs during a covered year. Please see the footnotes to the Pay Versus Performance Table below for more detailed information on the calculation of CAP.</w:t>
      </w:r>
    </w:p>
    <w:p>
      <w:pPr>
        <w:spacing w:after="0" w:line="98" w:lineRule="exact"/>
        <w:rPr>
          <w:sz w:val="20"/>
          <w:szCs w:val="20"/>
          <w:color w:val="auto"/>
        </w:rPr>
      </w:pPr>
    </w:p>
    <w:p>
      <w:pPr>
        <w:ind w:left="1000" w:right="239"/>
        <w:spacing w:after="0" w:line="262" w:lineRule="auto"/>
        <w:rPr>
          <w:sz w:val="20"/>
          <w:szCs w:val="20"/>
          <w:color w:val="auto"/>
        </w:rPr>
      </w:pPr>
      <w:r>
        <w:rPr>
          <w:rFonts w:ascii="Arial" w:cs="Arial" w:eastAsia="Arial" w:hAnsi="Arial"/>
          <w:sz w:val="18"/>
          <w:szCs w:val="18"/>
          <w:color w:val="auto"/>
        </w:rPr>
        <w:t>Neither the Compensation and Leadership Development Committee nor the Board used CAP or net income as the basis for making compensation decisions. For more information concerning the Company’s pay-for-performance philosophy and how it aligns executive compensation with the Company’s performance, please see “Compensation Discussion and Analysis.”</w:t>
      </w:r>
    </w:p>
    <w:p>
      <w:pPr>
        <w:spacing w:after="0" w:line="109" w:lineRule="exact"/>
        <w:rPr>
          <w:sz w:val="20"/>
          <w:szCs w:val="20"/>
          <w:color w:val="auto"/>
        </w:rPr>
      </w:pPr>
    </w:p>
    <w:p>
      <w:pPr>
        <w:ind w:left="1000" w:right="359"/>
        <w:spacing w:after="0" w:line="268" w:lineRule="auto"/>
        <w:rPr>
          <w:sz w:val="20"/>
          <w:szCs w:val="20"/>
          <w:color w:val="auto"/>
        </w:rPr>
      </w:pPr>
      <w:r>
        <w:rPr>
          <w:rFonts w:ascii="Arial" w:cs="Arial" w:eastAsia="Arial" w:hAnsi="Arial"/>
          <w:sz w:val="18"/>
          <w:szCs w:val="18"/>
          <w:color w:val="auto"/>
        </w:rPr>
        <w:t>Prior to fiscal 2024 the calculation of the CAP for both the PEO and the non-PEO NEOs did not take into consideration the accelerated vesting attributable to retirement eligibility. This was corrected effective with the calculation of CAP for fiscal 2024. Prior years’ CAP has not been restated.</w:t>
      </w:r>
    </w:p>
    <w:p>
      <w:pPr>
        <w:spacing w:after="0" w:line="103" w:lineRule="exact"/>
        <w:rPr>
          <w:sz w:val="20"/>
          <w:szCs w:val="20"/>
          <w:color w:val="auto"/>
        </w:rPr>
      </w:pPr>
    </w:p>
    <w:p>
      <w:pPr>
        <w:ind w:left="1000" w:right="1019"/>
        <w:spacing w:after="0" w:line="287" w:lineRule="auto"/>
        <w:rPr>
          <w:sz w:val="20"/>
          <w:szCs w:val="20"/>
          <w:color w:val="auto"/>
        </w:rPr>
      </w:pPr>
      <w:r>
        <w:rPr>
          <w:rFonts w:ascii="Arial" w:cs="Arial" w:eastAsia="Arial" w:hAnsi="Arial"/>
          <w:sz w:val="18"/>
          <w:szCs w:val="18"/>
          <w:color w:val="auto"/>
        </w:rPr>
        <w:t>The value of the vested and unvested PSU’s in the calculation of CAP include adjustments to current performance estimates.</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PAY VERSUS PERFORMANCE TABLE</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148"/>
        </w:trPr>
        <w:tc>
          <w:tcPr>
            <w:tcW w:w="500" w:type="dxa"/>
            <w:vAlign w:val="bottom"/>
            <w:shd w:val="clear" w:color="auto" w:fill="53C072"/>
          </w:tcPr>
          <w:p>
            <w:pPr>
              <w:spacing w:after="0"/>
              <w:rPr>
                <w:sz w:val="12"/>
                <w:szCs w:val="12"/>
                <w:color w:val="auto"/>
              </w:rPr>
            </w:pPr>
          </w:p>
        </w:tc>
        <w:tc>
          <w:tcPr>
            <w:tcW w:w="1020" w:type="dxa"/>
            <w:vAlign w:val="bottom"/>
            <w:vMerge w:val="restart"/>
            <w:shd w:val="clear" w:color="auto" w:fill="53C072"/>
          </w:tcPr>
          <w:p>
            <w:pPr>
              <w:jc w:val="center"/>
              <w:spacing w:after="0"/>
              <w:rPr>
                <w:sz w:val="20"/>
                <w:szCs w:val="20"/>
                <w:color w:val="auto"/>
              </w:rPr>
            </w:pPr>
            <w:r>
              <w:rPr>
                <w:rFonts w:ascii="Arial" w:cs="Arial" w:eastAsia="Arial" w:hAnsi="Arial"/>
                <w:sz w:val="12"/>
                <w:szCs w:val="12"/>
                <w:b w:val="1"/>
                <w:bCs w:val="1"/>
                <w:color w:val="FEFEFE"/>
                <w:w w:val="95"/>
              </w:rPr>
              <w:t>Summary</w:t>
            </w:r>
          </w:p>
        </w:tc>
        <w:tc>
          <w:tcPr>
            <w:tcW w:w="640" w:type="dxa"/>
            <w:vAlign w:val="bottom"/>
            <w:shd w:val="clear" w:color="auto" w:fill="53C072"/>
          </w:tcPr>
          <w:p>
            <w:pPr>
              <w:spacing w:after="0"/>
              <w:rPr>
                <w:sz w:val="12"/>
                <w:szCs w:val="12"/>
                <w:color w:val="auto"/>
              </w:rPr>
            </w:pPr>
          </w:p>
        </w:tc>
        <w:tc>
          <w:tcPr>
            <w:tcW w:w="200" w:type="dxa"/>
            <w:vAlign w:val="bottom"/>
            <w:shd w:val="clear" w:color="auto" w:fill="53C072"/>
          </w:tcPr>
          <w:p>
            <w:pPr>
              <w:spacing w:after="0"/>
              <w:rPr>
                <w:sz w:val="12"/>
                <w:szCs w:val="12"/>
                <w:color w:val="auto"/>
              </w:rPr>
            </w:pPr>
          </w:p>
        </w:tc>
        <w:tc>
          <w:tcPr>
            <w:tcW w:w="780" w:type="dxa"/>
            <w:vAlign w:val="bottom"/>
            <w:shd w:val="clear" w:color="auto" w:fill="53C072"/>
          </w:tcPr>
          <w:p>
            <w:pPr>
              <w:jc w:val="right"/>
              <w:ind w:right="139"/>
              <w:spacing w:after="0"/>
              <w:rPr>
                <w:sz w:val="20"/>
                <w:szCs w:val="20"/>
                <w:color w:val="auto"/>
              </w:rPr>
            </w:pPr>
            <w:r>
              <w:rPr>
                <w:rFonts w:ascii="Arial" w:cs="Arial" w:eastAsia="Arial" w:hAnsi="Arial"/>
                <w:sz w:val="12"/>
                <w:szCs w:val="12"/>
                <w:b w:val="1"/>
                <w:bCs w:val="1"/>
                <w:color w:val="FEFEFE"/>
              </w:rPr>
              <w:t>Summary</w:t>
            </w:r>
          </w:p>
        </w:tc>
        <w:tc>
          <w:tcPr>
            <w:tcW w:w="1420" w:type="dxa"/>
            <w:vAlign w:val="bottom"/>
            <w:gridSpan w:val="2"/>
            <w:shd w:val="clear" w:color="auto" w:fill="53C072"/>
          </w:tcPr>
          <w:p>
            <w:pPr>
              <w:jc w:val="right"/>
              <w:spacing w:after="0"/>
              <w:rPr>
                <w:sz w:val="20"/>
                <w:szCs w:val="20"/>
                <w:color w:val="auto"/>
              </w:rPr>
            </w:pPr>
            <w:r>
              <w:rPr>
                <w:rFonts w:ascii="Arial" w:cs="Arial" w:eastAsia="Arial" w:hAnsi="Arial"/>
                <w:sz w:val="12"/>
                <w:szCs w:val="12"/>
                <w:b w:val="1"/>
                <w:bCs w:val="1"/>
                <w:color w:val="FEFEFE"/>
              </w:rPr>
              <w:t>Avg. Summary</w:t>
            </w:r>
          </w:p>
        </w:tc>
        <w:tc>
          <w:tcPr>
            <w:tcW w:w="870" w:type="dxa"/>
            <w:vAlign w:val="bottom"/>
            <w:shd w:val="clear" w:color="auto" w:fill="53C072"/>
          </w:tcPr>
          <w:p>
            <w:pPr>
              <w:spacing w:after="0"/>
              <w:rPr>
                <w:sz w:val="12"/>
                <w:szCs w:val="12"/>
                <w:color w:val="auto"/>
              </w:rPr>
            </w:pPr>
          </w:p>
        </w:tc>
        <w:tc>
          <w:tcPr>
            <w:tcW w:w="1550" w:type="dxa"/>
            <w:vAlign w:val="bottom"/>
            <w:gridSpan w:val="3"/>
            <w:shd w:val="clear" w:color="auto" w:fill="53C072"/>
          </w:tcPr>
          <w:p>
            <w:pPr>
              <w:ind w:left="90"/>
              <w:spacing w:after="0"/>
              <w:rPr>
                <w:sz w:val="20"/>
                <w:szCs w:val="20"/>
                <w:color w:val="auto"/>
              </w:rPr>
            </w:pPr>
            <w:r>
              <w:rPr>
                <w:rFonts w:ascii="Arial" w:cs="Arial" w:eastAsia="Arial" w:hAnsi="Arial"/>
                <w:sz w:val="12"/>
                <w:szCs w:val="12"/>
                <w:b w:val="1"/>
                <w:bCs w:val="1"/>
                <w:color w:val="FEFEFE"/>
                <w:w w:val="98"/>
              </w:rPr>
              <w:t>Value of Initial Fixed $100</w:t>
            </w:r>
          </w:p>
        </w:tc>
        <w:tc>
          <w:tcPr>
            <w:tcW w:w="40" w:type="dxa"/>
            <w:vAlign w:val="bottom"/>
            <w:shd w:val="clear" w:color="auto" w:fill="53C072"/>
          </w:tcPr>
          <w:p>
            <w:pPr>
              <w:spacing w:after="0"/>
              <w:rPr>
                <w:sz w:val="12"/>
                <w:szCs w:val="12"/>
                <w:color w:val="auto"/>
              </w:rPr>
            </w:pPr>
          </w:p>
        </w:tc>
        <w:tc>
          <w:tcPr>
            <w:tcW w:w="76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300" w:type="dxa"/>
            <w:vAlign w:val="bottom"/>
            <w:shd w:val="clear" w:color="auto" w:fill="53C072"/>
          </w:tcPr>
          <w:p>
            <w:pPr>
              <w:spacing w:after="0"/>
              <w:rPr>
                <w:sz w:val="12"/>
                <w:szCs w:val="12"/>
                <w:color w:val="auto"/>
              </w:rPr>
            </w:pPr>
          </w:p>
        </w:tc>
        <w:tc>
          <w:tcPr>
            <w:tcW w:w="50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00" w:type="dxa"/>
            <w:vAlign w:val="bottom"/>
            <w:shd w:val="clear" w:color="auto" w:fill="53C072"/>
          </w:tcPr>
          <w:p>
            <w:pPr>
              <w:spacing w:after="0"/>
              <w:rPr>
                <w:sz w:val="10"/>
                <w:szCs w:val="10"/>
                <w:color w:val="auto"/>
              </w:rPr>
            </w:pPr>
          </w:p>
        </w:tc>
        <w:tc>
          <w:tcPr>
            <w:tcW w:w="1020" w:type="dxa"/>
            <w:vAlign w:val="bottom"/>
            <w:vMerge w:val="continue"/>
            <w:shd w:val="clear" w:color="auto" w:fill="53C072"/>
          </w:tcPr>
          <w:p>
            <w:pPr>
              <w:spacing w:after="0"/>
              <w:rPr>
                <w:sz w:val="10"/>
                <w:szCs w:val="10"/>
                <w:color w:val="auto"/>
              </w:rPr>
            </w:pPr>
          </w:p>
        </w:tc>
        <w:tc>
          <w:tcPr>
            <w:tcW w:w="640" w:type="dxa"/>
            <w:vAlign w:val="bottom"/>
            <w:shd w:val="clear" w:color="auto" w:fill="53C072"/>
          </w:tcPr>
          <w:p>
            <w:pPr>
              <w:spacing w:after="0"/>
              <w:rPr>
                <w:sz w:val="10"/>
                <w:szCs w:val="10"/>
                <w:color w:val="auto"/>
              </w:rPr>
            </w:pPr>
          </w:p>
        </w:tc>
        <w:tc>
          <w:tcPr>
            <w:tcW w:w="980" w:type="dxa"/>
            <w:vAlign w:val="bottom"/>
            <w:gridSpan w:val="2"/>
            <w:shd w:val="clear" w:color="auto" w:fill="53C072"/>
          </w:tcPr>
          <w:p>
            <w:pPr>
              <w:jc w:val="right"/>
              <w:ind w:right="139"/>
              <w:spacing w:after="0" w:line="125" w:lineRule="exact"/>
              <w:rPr>
                <w:sz w:val="20"/>
                <w:szCs w:val="20"/>
                <w:color w:val="auto"/>
              </w:rPr>
            </w:pPr>
            <w:r>
              <w:rPr>
                <w:rFonts w:ascii="Arial" w:cs="Arial" w:eastAsia="Arial" w:hAnsi="Arial"/>
                <w:sz w:val="12"/>
                <w:szCs w:val="12"/>
                <w:b w:val="1"/>
                <w:bCs w:val="1"/>
                <w:color w:val="FEFEFE"/>
              </w:rPr>
              <w:t>Comp. Table</w:t>
            </w:r>
          </w:p>
        </w:tc>
        <w:tc>
          <w:tcPr>
            <w:tcW w:w="600" w:type="dxa"/>
            <w:vAlign w:val="bottom"/>
            <w:shd w:val="clear" w:color="auto" w:fill="53C072"/>
          </w:tcPr>
          <w:p>
            <w:pPr>
              <w:spacing w:after="0"/>
              <w:rPr>
                <w:sz w:val="10"/>
                <w:szCs w:val="10"/>
                <w:color w:val="auto"/>
              </w:rPr>
            </w:pPr>
          </w:p>
        </w:tc>
        <w:tc>
          <w:tcPr>
            <w:tcW w:w="820" w:type="dxa"/>
            <w:vAlign w:val="bottom"/>
            <w:shd w:val="clear" w:color="auto" w:fill="53C072"/>
          </w:tcPr>
          <w:p>
            <w:pPr>
              <w:jc w:val="right"/>
              <w:spacing w:after="0" w:line="125" w:lineRule="exact"/>
              <w:rPr>
                <w:sz w:val="20"/>
                <w:szCs w:val="20"/>
                <w:color w:val="auto"/>
              </w:rPr>
            </w:pPr>
            <w:r>
              <w:rPr>
                <w:rFonts w:ascii="Arial" w:cs="Arial" w:eastAsia="Arial" w:hAnsi="Arial"/>
                <w:sz w:val="12"/>
                <w:szCs w:val="12"/>
                <w:b w:val="1"/>
                <w:bCs w:val="1"/>
                <w:color w:val="FEFEFE"/>
              </w:rPr>
              <w:t>Comp. Table</w:t>
            </w:r>
          </w:p>
        </w:tc>
        <w:tc>
          <w:tcPr>
            <w:tcW w:w="870" w:type="dxa"/>
            <w:vAlign w:val="bottom"/>
            <w:shd w:val="clear" w:color="auto" w:fill="53C072"/>
          </w:tcPr>
          <w:p>
            <w:pPr>
              <w:spacing w:after="0"/>
              <w:rPr>
                <w:sz w:val="10"/>
                <w:szCs w:val="10"/>
                <w:color w:val="auto"/>
              </w:rPr>
            </w:pPr>
          </w:p>
        </w:tc>
        <w:tc>
          <w:tcPr>
            <w:tcW w:w="1550" w:type="dxa"/>
            <w:vAlign w:val="bottom"/>
            <w:gridSpan w:val="3"/>
            <w:shd w:val="clear" w:color="auto" w:fill="53C072"/>
          </w:tcPr>
          <w:p>
            <w:pPr>
              <w:ind w:left="330"/>
              <w:spacing w:after="0" w:line="125" w:lineRule="exact"/>
              <w:rPr>
                <w:sz w:val="20"/>
                <w:szCs w:val="20"/>
                <w:color w:val="auto"/>
              </w:rPr>
            </w:pPr>
            <w:r>
              <w:rPr>
                <w:rFonts w:ascii="Arial" w:cs="Arial" w:eastAsia="Arial" w:hAnsi="Arial"/>
                <w:sz w:val="12"/>
                <w:szCs w:val="12"/>
                <w:b w:val="1"/>
                <w:bCs w:val="1"/>
                <w:color w:val="FEFEFE"/>
                <w:w w:val="96"/>
              </w:rPr>
              <w:t>Investment Based on:</w:t>
            </w:r>
          </w:p>
        </w:tc>
        <w:tc>
          <w:tcPr>
            <w:tcW w:w="40" w:type="dxa"/>
            <w:vAlign w:val="bottom"/>
            <w:shd w:val="clear" w:color="auto" w:fill="53C072"/>
          </w:tcPr>
          <w:p>
            <w:pPr>
              <w:spacing w:after="0"/>
              <w:rPr>
                <w:sz w:val="10"/>
                <w:szCs w:val="10"/>
                <w:color w:val="auto"/>
              </w:rPr>
            </w:pPr>
          </w:p>
        </w:tc>
        <w:tc>
          <w:tcPr>
            <w:tcW w:w="760" w:type="dxa"/>
            <w:vAlign w:val="bottom"/>
            <w:shd w:val="clear" w:color="auto" w:fill="53C072"/>
          </w:tcPr>
          <w:p>
            <w:pPr>
              <w:spacing w:after="0"/>
              <w:rPr>
                <w:sz w:val="10"/>
                <w:szCs w:val="10"/>
                <w:color w:val="auto"/>
              </w:rPr>
            </w:pPr>
          </w:p>
        </w:tc>
        <w:tc>
          <w:tcPr>
            <w:tcW w:w="80" w:type="dxa"/>
            <w:vAlign w:val="bottom"/>
            <w:shd w:val="clear" w:color="auto" w:fill="53C072"/>
          </w:tcPr>
          <w:p>
            <w:pPr>
              <w:spacing w:after="0"/>
              <w:rPr>
                <w:sz w:val="10"/>
                <w:szCs w:val="10"/>
                <w:color w:val="auto"/>
              </w:rPr>
            </w:pPr>
          </w:p>
        </w:tc>
        <w:tc>
          <w:tcPr>
            <w:tcW w:w="300" w:type="dxa"/>
            <w:vAlign w:val="bottom"/>
            <w:shd w:val="clear" w:color="auto" w:fill="53C072"/>
          </w:tcPr>
          <w:p>
            <w:pPr>
              <w:spacing w:after="0"/>
              <w:rPr>
                <w:sz w:val="10"/>
                <w:szCs w:val="10"/>
                <w:color w:val="auto"/>
              </w:rPr>
            </w:pPr>
          </w:p>
        </w:tc>
        <w:tc>
          <w:tcPr>
            <w:tcW w:w="500" w:type="dxa"/>
            <w:vAlign w:val="bottom"/>
            <w:shd w:val="clear" w:color="auto" w:fill="53C072"/>
          </w:tcPr>
          <w:p>
            <w:pPr>
              <w:spacing w:after="0"/>
              <w:rPr>
                <w:sz w:val="10"/>
                <w:szCs w:val="10"/>
                <w:color w:val="auto"/>
              </w:rPr>
            </w:pPr>
          </w:p>
        </w:tc>
        <w:tc>
          <w:tcPr>
            <w:tcW w:w="100" w:type="dxa"/>
            <w:vAlign w:val="bottom"/>
            <w:shd w:val="clear" w:color="auto" w:fill="53C072"/>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0" w:type="dxa"/>
            <w:vAlign w:val="bottom"/>
            <w:shd w:val="clear" w:color="auto" w:fill="53C072"/>
          </w:tcPr>
          <w:p>
            <w:pPr>
              <w:spacing w:after="0"/>
              <w:rPr>
                <w:sz w:val="10"/>
                <w:szCs w:val="10"/>
                <w:color w:val="auto"/>
              </w:rPr>
            </w:pPr>
          </w:p>
        </w:tc>
        <w:tc>
          <w:tcPr>
            <w:tcW w:w="1020" w:type="dxa"/>
            <w:vAlign w:val="bottom"/>
            <w:shd w:val="clear" w:color="auto" w:fill="53C072"/>
          </w:tcPr>
          <w:p>
            <w:pPr>
              <w:jc w:val="right"/>
              <w:ind w:right="159"/>
              <w:spacing w:after="0" w:line="122" w:lineRule="exact"/>
              <w:rPr>
                <w:sz w:val="20"/>
                <w:szCs w:val="20"/>
                <w:color w:val="auto"/>
              </w:rPr>
            </w:pPr>
            <w:r>
              <w:rPr>
                <w:rFonts w:ascii="Arial" w:cs="Arial" w:eastAsia="Arial" w:hAnsi="Arial"/>
                <w:sz w:val="12"/>
                <w:szCs w:val="12"/>
                <w:b w:val="1"/>
                <w:bCs w:val="1"/>
                <w:color w:val="FEFEFE"/>
              </w:rPr>
              <w:t>Comp. Table</w:t>
            </w:r>
          </w:p>
        </w:tc>
        <w:tc>
          <w:tcPr>
            <w:tcW w:w="640" w:type="dxa"/>
            <w:vAlign w:val="bottom"/>
            <w:shd w:val="clear" w:color="auto" w:fill="53C072"/>
          </w:tcPr>
          <w:p>
            <w:pPr>
              <w:spacing w:after="0"/>
              <w:rPr>
                <w:sz w:val="10"/>
                <w:szCs w:val="10"/>
                <w:color w:val="auto"/>
              </w:rPr>
            </w:pPr>
          </w:p>
        </w:tc>
        <w:tc>
          <w:tcPr>
            <w:tcW w:w="200" w:type="dxa"/>
            <w:vAlign w:val="bottom"/>
            <w:shd w:val="clear" w:color="auto" w:fill="53C072"/>
          </w:tcPr>
          <w:p>
            <w:pPr>
              <w:spacing w:after="0"/>
              <w:rPr>
                <w:sz w:val="10"/>
                <w:szCs w:val="10"/>
                <w:color w:val="auto"/>
              </w:rPr>
            </w:pPr>
          </w:p>
        </w:tc>
        <w:tc>
          <w:tcPr>
            <w:tcW w:w="780" w:type="dxa"/>
            <w:vAlign w:val="bottom"/>
            <w:shd w:val="clear" w:color="auto" w:fill="53C072"/>
          </w:tcPr>
          <w:p>
            <w:pPr>
              <w:jc w:val="right"/>
              <w:ind w:right="139"/>
              <w:spacing w:after="0" w:line="122" w:lineRule="exact"/>
              <w:rPr>
                <w:sz w:val="20"/>
                <w:szCs w:val="20"/>
                <w:color w:val="auto"/>
              </w:rPr>
            </w:pPr>
            <w:r>
              <w:rPr>
                <w:rFonts w:ascii="Arial" w:cs="Arial" w:eastAsia="Arial" w:hAnsi="Arial"/>
                <w:sz w:val="12"/>
                <w:szCs w:val="12"/>
                <w:b w:val="1"/>
                <w:bCs w:val="1"/>
                <w:color w:val="FEFEFE"/>
              </w:rPr>
              <w:t>Total For</w:t>
            </w:r>
          </w:p>
        </w:tc>
        <w:tc>
          <w:tcPr>
            <w:tcW w:w="600" w:type="dxa"/>
            <w:vAlign w:val="bottom"/>
            <w:shd w:val="clear" w:color="auto" w:fill="53C072"/>
          </w:tcPr>
          <w:p>
            <w:pPr>
              <w:jc w:val="right"/>
              <w:ind w:right="99"/>
              <w:spacing w:after="0" w:line="122" w:lineRule="exact"/>
              <w:rPr>
                <w:sz w:val="20"/>
                <w:szCs w:val="20"/>
                <w:color w:val="auto"/>
              </w:rPr>
            </w:pPr>
            <w:r>
              <w:rPr>
                <w:rFonts w:ascii="Arial" w:cs="Arial" w:eastAsia="Arial" w:hAnsi="Arial"/>
                <w:sz w:val="12"/>
                <w:szCs w:val="12"/>
                <w:b w:val="1"/>
                <w:bCs w:val="1"/>
                <w:color w:val="FEFEFE"/>
              </w:rPr>
              <w:t>CAP to</w:t>
            </w:r>
          </w:p>
        </w:tc>
        <w:tc>
          <w:tcPr>
            <w:tcW w:w="820" w:type="dxa"/>
            <w:vAlign w:val="bottom"/>
            <w:shd w:val="clear" w:color="auto" w:fill="53C072"/>
          </w:tcPr>
          <w:p>
            <w:pPr>
              <w:jc w:val="right"/>
              <w:spacing w:after="0" w:line="122" w:lineRule="exact"/>
              <w:rPr>
                <w:sz w:val="20"/>
                <w:szCs w:val="20"/>
                <w:color w:val="auto"/>
              </w:rPr>
            </w:pPr>
            <w:r>
              <w:rPr>
                <w:rFonts w:ascii="Arial" w:cs="Arial" w:eastAsia="Arial" w:hAnsi="Arial"/>
                <w:sz w:val="12"/>
                <w:szCs w:val="12"/>
                <w:b w:val="1"/>
                <w:bCs w:val="1"/>
                <w:color w:val="FEFEFE"/>
              </w:rPr>
              <w:t>Total For</w:t>
            </w:r>
          </w:p>
        </w:tc>
        <w:tc>
          <w:tcPr>
            <w:tcW w:w="870" w:type="dxa"/>
            <w:vAlign w:val="bottom"/>
            <w:shd w:val="clear" w:color="auto" w:fill="53C072"/>
          </w:tcPr>
          <w:p>
            <w:pPr>
              <w:jc w:val="center"/>
              <w:spacing w:after="0" w:line="122" w:lineRule="exact"/>
              <w:rPr>
                <w:sz w:val="20"/>
                <w:szCs w:val="20"/>
                <w:color w:val="auto"/>
              </w:rPr>
            </w:pPr>
            <w:r>
              <w:rPr>
                <w:rFonts w:ascii="Arial" w:cs="Arial" w:eastAsia="Arial" w:hAnsi="Arial"/>
                <w:sz w:val="12"/>
                <w:szCs w:val="12"/>
                <w:b w:val="1"/>
                <w:bCs w:val="1"/>
                <w:color w:val="FEFEFE"/>
                <w:w w:val="98"/>
              </w:rPr>
              <w:t>Avg. CAP to</w:t>
            </w:r>
          </w:p>
        </w:tc>
        <w:tc>
          <w:tcPr>
            <w:tcW w:w="690" w:type="dxa"/>
            <w:vAlign w:val="bottom"/>
            <w:shd w:val="clear" w:color="auto" w:fill="53C072"/>
          </w:tcPr>
          <w:p>
            <w:pPr>
              <w:spacing w:after="0"/>
              <w:rPr>
                <w:sz w:val="10"/>
                <w:szCs w:val="10"/>
                <w:color w:val="auto"/>
              </w:rPr>
            </w:pPr>
          </w:p>
        </w:tc>
        <w:tc>
          <w:tcPr>
            <w:tcW w:w="100" w:type="dxa"/>
            <w:vAlign w:val="bottom"/>
            <w:shd w:val="clear" w:color="auto" w:fill="53C072"/>
          </w:tcPr>
          <w:p>
            <w:pPr>
              <w:spacing w:after="0"/>
              <w:rPr>
                <w:sz w:val="10"/>
                <w:szCs w:val="10"/>
                <w:color w:val="auto"/>
              </w:rPr>
            </w:pPr>
          </w:p>
        </w:tc>
        <w:tc>
          <w:tcPr>
            <w:tcW w:w="760" w:type="dxa"/>
            <w:vAlign w:val="bottom"/>
            <w:shd w:val="clear" w:color="auto" w:fill="53C072"/>
          </w:tcPr>
          <w:p>
            <w:pPr>
              <w:spacing w:after="0"/>
              <w:rPr>
                <w:sz w:val="10"/>
                <w:szCs w:val="10"/>
                <w:color w:val="auto"/>
              </w:rPr>
            </w:pPr>
          </w:p>
        </w:tc>
        <w:tc>
          <w:tcPr>
            <w:tcW w:w="40" w:type="dxa"/>
            <w:vAlign w:val="bottom"/>
            <w:shd w:val="clear" w:color="auto" w:fill="53C072"/>
          </w:tcPr>
          <w:p>
            <w:pPr>
              <w:spacing w:after="0"/>
              <w:rPr>
                <w:sz w:val="10"/>
                <w:szCs w:val="10"/>
                <w:color w:val="auto"/>
              </w:rPr>
            </w:pPr>
          </w:p>
        </w:tc>
        <w:tc>
          <w:tcPr>
            <w:tcW w:w="760" w:type="dxa"/>
            <w:vAlign w:val="bottom"/>
            <w:shd w:val="clear" w:color="auto" w:fill="53C072"/>
          </w:tcPr>
          <w:p>
            <w:pPr>
              <w:jc w:val="right"/>
              <w:spacing w:after="0" w:line="122" w:lineRule="exact"/>
              <w:rPr>
                <w:sz w:val="20"/>
                <w:szCs w:val="20"/>
                <w:color w:val="auto"/>
              </w:rPr>
            </w:pPr>
            <w:r>
              <w:rPr>
                <w:rFonts w:ascii="Arial" w:cs="Arial" w:eastAsia="Arial" w:hAnsi="Arial"/>
                <w:sz w:val="12"/>
                <w:szCs w:val="12"/>
                <w:b w:val="1"/>
                <w:bCs w:val="1"/>
                <w:color w:val="FEFEFE"/>
              </w:rPr>
              <w:t>Net</w:t>
            </w:r>
          </w:p>
        </w:tc>
        <w:tc>
          <w:tcPr>
            <w:tcW w:w="80" w:type="dxa"/>
            <w:vAlign w:val="bottom"/>
            <w:shd w:val="clear" w:color="auto" w:fill="53C072"/>
          </w:tcPr>
          <w:p>
            <w:pPr>
              <w:spacing w:after="0"/>
              <w:rPr>
                <w:sz w:val="10"/>
                <w:szCs w:val="10"/>
                <w:color w:val="auto"/>
              </w:rPr>
            </w:pPr>
          </w:p>
        </w:tc>
        <w:tc>
          <w:tcPr>
            <w:tcW w:w="300" w:type="dxa"/>
            <w:vAlign w:val="bottom"/>
            <w:shd w:val="clear" w:color="auto" w:fill="53C072"/>
          </w:tcPr>
          <w:p>
            <w:pPr>
              <w:spacing w:after="0"/>
              <w:rPr>
                <w:sz w:val="10"/>
                <w:szCs w:val="10"/>
                <w:color w:val="auto"/>
              </w:rPr>
            </w:pPr>
          </w:p>
        </w:tc>
        <w:tc>
          <w:tcPr>
            <w:tcW w:w="500" w:type="dxa"/>
            <w:vAlign w:val="bottom"/>
            <w:shd w:val="clear" w:color="auto" w:fill="53C072"/>
          </w:tcPr>
          <w:p>
            <w:pPr>
              <w:spacing w:after="0"/>
              <w:rPr>
                <w:sz w:val="10"/>
                <w:szCs w:val="10"/>
                <w:color w:val="auto"/>
              </w:rPr>
            </w:pPr>
          </w:p>
        </w:tc>
        <w:tc>
          <w:tcPr>
            <w:tcW w:w="100" w:type="dxa"/>
            <w:vAlign w:val="bottom"/>
            <w:shd w:val="clear" w:color="auto" w:fill="53C072"/>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00" w:type="dxa"/>
            <w:vAlign w:val="bottom"/>
            <w:shd w:val="clear" w:color="auto" w:fill="53C072"/>
          </w:tcPr>
          <w:p>
            <w:pPr>
              <w:ind w:left="120"/>
              <w:spacing w:after="0"/>
              <w:rPr>
                <w:sz w:val="20"/>
                <w:szCs w:val="20"/>
                <w:color w:val="auto"/>
              </w:rPr>
            </w:pPr>
            <w:r>
              <w:rPr>
                <w:rFonts w:ascii="Arial" w:cs="Arial" w:eastAsia="Arial" w:hAnsi="Arial"/>
                <w:sz w:val="12"/>
                <w:szCs w:val="12"/>
                <w:b w:val="1"/>
                <w:bCs w:val="1"/>
                <w:color w:val="FEFEFE"/>
              </w:rPr>
              <w:t>Fiscal</w:t>
            </w:r>
          </w:p>
        </w:tc>
        <w:tc>
          <w:tcPr>
            <w:tcW w:w="1020" w:type="dxa"/>
            <w:vAlign w:val="bottom"/>
            <w:shd w:val="clear" w:color="auto" w:fill="53C072"/>
          </w:tcPr>
          <w:p>
            <w:pPr>
              <w:jc w:val="right"/>
              <w:ind w:right="159"/>
              <w:spacing w:after="0"/>
              <w:rPr>
                <w:sz w:val="20"/>
                <w:szCs w:val="20"/>
                <w:color w:val="auto"/>
              </w:rPr>
            </w:pPr>
            <w:r>
              <w:rPr>
                <w:rFonts w:ascii="Arial" w:cs="Arial" w:eastAsia="Arial" w:hAnsi="Arial"/>
                <w:sz w:val="12"/>
                <w:szCs w:val="12"/>
                <w:b w:val="1"/>
                <w:bCs w:val="1"/>
                <w:color w:val="FEFEFE"/>
              </w:rPr>
              <w:t>Total For</w:t>
            </w:r>
          </w:p>
        </w:tc>
        <w:tc>
          <w:tcPr>
            <w:tcW w:w="640" w:type="dxa"/>
            <w:vAlign w:val="bottom"/>
            <w:shd w:val="clear" w:color="auto" w:fill="53C072"/>
          </w:tcPr>
          <w:p>
            <w:pPr>
              <w:jc w:val="right"/>
              <w:spacing w:after="0"/>
              <w:rPr>
                <w:sz w:val="20"/>
                <w:szCs w:val="20"/>
                <w:color w:val="auto"/>
              </w:rPr>
            </w:pPr>
            <w:r>
              <w:rPr>
                <w:rFonts w:ascii="Arial" w:cs="Arial" w:eastAsia="Arial" w:hAnsi="Arial"/>
                <w:sz w:val="12"/>
                <w:szCs w:val="12"/>
                <w:b w:val="1"/>
                <w:bCs w:val="1"/>
                <w:color w:val="FEFEFE"/>
              </w:rPr>
              <w:t>CAP to</w:t>
            </w:r>
          </w:p>
        </w:tc>
        <w:tc>
          <w:tcPr>
            <w:tcW w:w="200" w:type="dxa"/>
            <w:vAlign w:val="bottom"/>
            <w:shd w:val="clear" w:color="auto" w:fill="53C072"/>
          </w:tcPr>
          <w:p>
            <w:pPr>
              <w:spacing w:after="0"/>
              <w:rPr>
                <w:sz w:val="12"/>
                <w:szCs w:val="12"/>
                <w:color w:val="auto"/>
              </w:rPr>
            </w:pPr>
          </w:p>
        </w:tc>
        <w:tc>
          <w:tcPr>
            <w:tcW w:w="780" w:type="dxa"/>
            <w:vAlign w:val="bottom"/>
            <w:shd w:val="clear" w:color="auto" w:fill="53C072"/>
          </w:tcPr>
          <w:p>
            <w:pPr>
              <w:jc w:val="right"/>
              <w:ind w:right="139"/>
              <w:spacing w:after="0"/>
              <w:rPr>
                <w:sz w:val="20"/>
                <w:szCs w:val="20"/>
                <w:color w:val="auto"/>
              </w:rPr>
            </w:pPr>
            <w:r>
              <w:rPr>
                <w:rFonts w:ascii="Arial" w:cs="Arial" w:eastAsia="Arial" w:hAnsi="Arial"/>
                <w:sz w:val="12"/>
                <w:szCs w:val="12"/>
                <w:b w:val="1"/>
                <w:bCs w:val="1"/>
                <w:color w:val="FEFEFE"/>
              </w:rPr>
              <w:t>Former</w:t>
            </w:r>
          </w:p>
        </w:tc>
        <w:tc>
          <w:tcPr>
            <w:tcW w:w="600" w:type="dxa"/>
            <w:vAlign w:val="bottom"/>
            <w:shd w:val="clear" w:color="auto" w:fill="53C072"/>
          </w:tcPr>
          <w:p>
            <w:pPr>
              <w:jc w:val="right"/>
              <w:ind w:right="99"/>
              <w:spacing w:after="0"/>
              <w:rPr>
                <w:sz w:val="20"/>
                <w:szCs w:val="20"/>
                <w:color w:val="auto"/>
              </w:rPr>
            </w:pPr>
            <w:r>
              <w:rPr>
                <w:rFonts w:ascii="Arial" w:cs="Arial" w:eastAsia="Arial" w:hAnsi="Arial"/>
                <w:sz w:val="12"/>
                <w:szCs w:val="12"/>
                <w:b w:val="1"/>
                <w:bCs w:val="1"/>
                <w:color w:val="FEFEFE"/>
              </w:rPr>
              <w:t>Former</w:t>
            </w:r>
          </w:p>
        </w:tc>
        <w:tc>
          <w:tcPr>
            <w:tcW w:w="820" w:type="dxa"/>
            <w:vAlign w:val="bottom"/>
            <w:shd w:val="clear" w:color="auto" w:fill="53C072"/>
          </w:tcPr>
          <w:p>
            <w:pPr>
              <w:jc w:val="right"/>
              <w:spacing w:after="0"/>
              <w:rPr>
                <w:sz w:val="20"/>
                <w:szCs w:val="20"/>
                <w:color w:val="auto"/>
              </w:rPr>
            </w:pPr>
            <w:r>
              <w:rPr>
                <w:rFonts w:ascii="Arial" w:cs="Arial" w:eastAsia="Arial" w:hAnsi="Arial"/>
                <w:sz w:val="12"/>
                <w:szCs w:val="12"/>
                <w:b w:val="1"/>
                <w:bCs w:val="1"/>
                <w:color w:val="FEFEFE"/>
              </w:rPr>
              <w:t>non-PEO</w:t>
            </w:r>
          </w:p>
        </w:tc>
        <w:tc>
          <w:tcPr>
            <w:tcW w:w="870" w:type="dxa"/>
            <w:vAlign w:val="bottom"/>
            <w:shd w:val="clear" w:color="auto" w:fill="53C072"/>
          </w:tcPr>
          <w:p>
            <w:pPr>
              <w:ind w:left="260"/>
              <w:spacing w:after="0"/>
              <w:rPr>
                <w:sz w:val="20"/>
                <w:szCs w:val="20"/>
                <w:color w:val="auto"/>
              </w:rPr>
            </w:pPr>
            <w:r>
              <w:rPr>
                <w:rFonts w:ascii="Arial" w:cs="Arial" w:eastAsia="Arial" w:hAnsi="Arial"/>
                <w:sz w:val="12"/>
                <w:szCs w:val="12"/>
                <w:b w:val="1"/>
                <w:bCs w:val="1"/>
                <w:color w:val="FEFEFE"/>
              </w:rPr>
              <w:t>non-PEO</w:t>
            </w:r>
          </w:p>
        </w:tc>
        <w:tc>
          <w:tcPr>
            <w:tcW w:w="690" w:type="dxa"/>
            <w:vAlign w:val="bottom"/>
            <w:shd w:val="clear" w:color="auto" w:fill="53C072"/>
          </w:tcPr>
          <w:p>
            <w:pPr>
              <w:ind w:left="130"/>
              <w:spacing w:after="0"/>
              <w:rPr>
                <w:sz w:val="20"/>
                <w:szCs w:val="20"/>
                <w:color w:val="auto"/>
              </w:rPr>
            </w:pPr>
            <w:r>
              <w:rPr>
                <w:rFonts w:ascii="Arial" w:cs="Arial" w:eastAsia="Arial" w:hAnsi="Arial"/>
                <w:sz w:val="12"/>
                <w:szCs w:val="12"/>
                <w:b w:val="1"/>
                <w:bCs w:val="1"/>
                <w:color w:val="FEFEFE"/>
                <w:w w:val="98"/>
              </w:rPr>
              <w:t>Company</w:t>
            </w:r>
          </w:p>
        </w:tc>
        <w:tc>
          <w:tcPr>
            <w:tcW w:w="100" w:type="dxa"/>
            <w:vAlign w:val="bottom"/>
            <w:shd w:val="clear" w:color="auto" w:fill="53C072"/>
          </w:tcPr>
          <w:p>
            <w:pPr>
              <w:spacing w:after="0"/>
              <w:rPr>
                <w:sz w:val="12"/>
                <w:szCs w:val="12"/>
                <w:color w:val="auto"/>
              </w:rPr>
            </w:pPr>
          </w:p>
        </w:tc>
        <w:tc>
          <w:tcPr>
            <w:tcW w:w="760" w:type="dxa"/>
            <w:vAlign w:val="bottom"/>
            <w:shd w:val="clear" w:color="auto" w:fill="53C072"/>
          </w:tcPr>
          <w:p>
            <w:pPr>
              <w:jc w:val="center"/>
              <w:spacing w:after="0"/>
              <w:rPr>
                <w:sz w:val="20"/>
                <w:szCs w:val="20"/>
                <w:color w:val="auto"/>
              </w:rPr>
            </w:pPr>
            <w:r>
              <w:rPr>
                <w:rFonts w:ascii="Arial" w:cs="Arial" w:eastAsia="Arial" w:hAnsi="Arial"/>
                <w:sz w:val="12"/>
                <w:szCs w:val="12"/>
                <w:b w:val="1"/>
                <w:bCs w:val="1"/>
                <w:color w:val="FEFEFE"/>
                <w:w w:val="97"/>
              </w:rPr>
              <w:t>Peer Group</w:t>
            </w:r>
          </w:p>
        </w:tc>
        <w:tc>
          <w:tcPr>
            <w:tcW w:w="40" w:type="dxa"/>
            <w:vAlign w:val="bottom"/>
            <w:shd w:val="clear" w:color="auto" w:fill="53C072"/>
          </w:tcPr>
          <w:p>
            <w:pPr>
              <w:spacing w:after="0"/>
              <w:rPr>
                <w:sz w:val="12"/>
                <w:szCs w:val="12"/>
                <w:color w:val="auto"/>
              </w:rPr>
            </w:pPr>
          </w:p>
        </w:tc>
        <w:tc>
          <w:tcPr>
            <w:tcW w:w="760" w:type="dxa"/>
            <w:vAlign w:val="bottom"/>
            <w:shd w:val="clear" w:color="auto" w:fill="53C072"/>
          </w:tcPr>
          <w:p>
            <w:pPr>
              <w:jc w:val="right"/>
              <w:spacing w:after="0"/>
              <w:rPr>
                <w:sz w:val="20"/>
                <w:szCs w:val="20"/>
                <w:color w:val="auto"/>
              </w:rPr>
            </w:pPr>
            <w:r>
              <w:rPr>
                <w:rFonts w:ascii="Arial" w:cs="Arial" w:eastAsia="Arial" w:hAnsi="Arial"/>
                <w:sz w:val="12"/>
                <w:szCs w:val="12"/>
                <w:b w:val="1"/>
                <w:bCs w:val="1"/>
                <w:color w:val="FEFEFE"/>
              </w:rPr>
              <w:t>Income</w:t>
            </w:r>
          </w:p>
        </w:tc>
        <w:tc>
          <w:tcPr>
            <w:tcW w:w="80" w:type="dxa"/>
            <w:vAlign w:val="bottom"/>
            <w:shd w:val="clear" w:color="auto" w:fill="53C072"/>
          </w:tcPr>
          <w:p>
            <w:pPr>
              <w:spacing w:after="0"/>
              <w:rPr>
                <w:sz w:val="12"/>
                <w:szCs w:val="12"/>
                <w:color w:val="auto"/>
              </w:rPr>
            </w:pPr>
          </w:p>
        </w:tc>
        <w:tc>
          <w:tcPr>
            <w:tcW w:w="800" w:type="dxa"/>
            <w:vAlign w:val="bottom"/>
            <w:gridSpan w:val="2"/>
            <w:shd w:val="clear" w:color="auto" w:fill="53C072"/>
          </w:tcPr>
          <w:p>
            <w:pPr>
              <w:ind w:left="40"/>
              <w:spacing w:after="0"/>
              <w:rPr>
                <w:sz w:val="20"/>
                <w:szCs w:val="20"/>
                <w:color w:val="auto"/>
              </w:rPr>
            </w:pPr>
            <w:r>
              <w:rPr>
                <w:rFonts w:ascii="Arial" w:cs="Arial" w:eastAsia="Arial" w:hAnsi="Arial"/>
                <w:sz w:val="12"/>
                <w:szCs w:val="12"/>
                <w:b w:val="1"/>
                <w:bCs w:val="1"/>
                <w:color w:val="FEFEFE"/>
                <w:w w:val="99"/>
              </w:rPr>
              <w:t>Adjusted OI$</w:t>
            </w:r>
          </w:p>
        </w:tc>
        <w:tc>
          <w:tcPr>
            <w:tcW w:w="100" w:type="dxa"/>
            <w:vAlign w:val="bottom"/>
            <w:shd w:val="clear" w:color="auto" w:fill="53C072"/>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00" w:type="dxa"/>
            <w:vAlign w:val="bottom"/>
            <w:tcBorders>
              <w:bottom w:val="single" w:sz="8" w:color="53C072"/>
            </w:tcBorders>
            <w:shd w:val="clear" w:color="auto" w:fill="53C072"/>
          </w:tcPr>
          <w:p>
            <w:pPr>
              <w:ind w:left="120"/>
              <w:spacing w:after="0"/>
              <w:rPr>
                <w:sz w:val="20"/>
                <w:szCs w:val="20"/>
                <w:color w:val="auto"/>
              </w:rPr>
            </w:pPr>
            <w:r>
              <w:rPr>
                <w:rFonts w:ascii="Arial" w:cs="Arial" w:eastAsia="Arial" w:hAnsi="Arial"/>
                <w:sz w:val="12"/>
                <w:szCs w:val="12"/>
                <w:b w:val="1"/>
                <w:bCs w:val="1"/>
                <w:color w:val="FEFEFE"/>
              </w:rPr>
              <w:t>Year</w:t>
            </w:r>
          </w:p>
        </w:tc>
        <w:tc>
          <w:tcPr>
            <w:tcW w:w="1020" w:type="dxa"/>
            <w:vAlign w:val="bottom"/>
            <w:tcBorders>
              <w:bottom w:val="single" w:sz="8" w:color="53C072"/>
            </w:tcBorders>
            <w:shd w:val="clear" w:color="auto" w:fill="53C072"/>
          </w:tcPr>
          <w:p>
            <w:pPr>
              <w:jc w:val="right"/>
              <w:ind w:right="119"/>
              <w:spacing w:after="0"/>
              <w:rPr>
                <w:sz w:val="20"/>
                <w:szCs w:val="20"/>
                <w:color w:val="auto"/>
              </w:rPr>
            </w:pPr>
            <w:r>
              <w:rPr>
                <w:rFonts w:ascii="Arial" w:cs="Arial" w:eastAsia="Arial" w:hAnsi="Arial"/>
                <w:sz w:val="12"/>
                <w:szCs w:val="12"/>
                <w:b w:val="1"/>
                <w:bCs w:val="1"/>
                <w:color w:val="FEFEFE"/>
              </w:rPr>
              <w:t>PEO</w:t>
            </w:r>
          </w:p>
        </w:tc>
        <w:tc>
          <w:tcPr>
            <w:tcW w:w="64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2"/>
                <w:szCs w:val="12"/>
                <w:b w:val="1"/>
                <w:bCs w:val="1"/>
                <w:color w:val="FEFEFE"/>
              </w:rPr>
              <w:t>PEO</w:t>
            </w:r>
          </w:p>
        </w:tc>
        <w:tc>
          <w:tcPr>
            <w:tcW w:w="200" w:type="dxa"/>
            <w:vAlign w:val="bottom"/>
            <w:tcBorders>
              <w:bottom w:val="single" w:sz="8" w:color="53C072"/>
            </w:tcBorders>
            <w:shd w:val="clear" w:color="auto" w:fill="53C072"/>
          </w:tcPr>
          <w:p>
            <w:pPr>
              <w:spacing w:after="0"/>
              <w:rPr>
                <w:sz w:val="15"/>
                <w:szCs w:val="15"/>
                <w:color w:val="auto"/>
              </w:rPr>
            </w:pPr>
          </w:p>
        </w:tc>
        <w:tc>
          <w:tcPr>
            <w:tcW w:w="780" w:type="dxa"/>
            <w:vAlign w:val="bottom"/>
            <w:tcBorders>
              <w:bottom w:val="single" w:sz="8" w:color="53C072"/>
            </w:tcBorders>
            <w:shd w:val="clear" w:color="auto" w:fill="53C072"/>
          </w:tcPr>
          <w:p>
            <w:pPr>
              <w:jc w:val="right"/>
              <w:ind w:right="99"/>
              <w:spacing w:after="0"/>
              <w:rPr>
                <w:sz w:val="20"/>
                <w:szCs w:val="20"/>
                <w:color w:val="auto"/>
              </w:rPr>
            </w:pPr>
            <w:r>
              <w:rPr>
                <w:rFonts w:ascii="Arial" w:cs="Arial" w:eastAsia="Arial" w:hAnsi="Arial"/>
                <w:sz w:val="12"/>
                <w:szCs w:val="12"/>
                <w:b w:val="1"/>
                <w:bCs w:val="1"/>
                <w:color w:val="FEFEFE"/>
              </w:rPr>
              <w:t>PEO</w:t>
            </w:r>
          </w:p>
        </w:tc>
        <w:tc>
          <w:tcPr>
            <w:tcW w:w="600" w:type="dxa"/>
            <w:vAlign w:val="bottom"/>
            <w:tcBorders>
              <w:bottom w:val="single" w:sz="8" w:color="53C072"/>
            </w:tcBorders>
            <w:shd w:val="clear" w:color="auto" w:fill="53C072"/>
          </w:tcPr>
          <w:p>
            <w:pPr>
              <w:jc w:val="right"/>
              <w:ind w:right="79"/>
              <w:spacing w:after="0"/>
              <w:rPr>
                <w:sz w:val="20"/>
                <w:szCs w:val="20"/>
                <w:color w:val="auto"/>
              </w:rPr>
            </w:pPr>
            <w:r>
              <w:rPr>
                <w:rFonts w:ascii="Arial" w:cs="Arial" w:eastAsia="Arial" w:hAnsi="Arial"/>
                <w:sz w:val="12"/>
                <w:szCs w:val="12"/>
                <w:b w:val="1"/>
                <w:bCs w:val="1"/>
                <w:color w:val="FEFEFE"/>
              </w:rPr>
              <w:t>PEO</w:t>
            </w:r>
          </w:p>
        </w:tc>
        <w:tc>
          <w:tcPr>
            <w:tcW w:w="82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2"/>
                <w:szCs w:val="12"/>
                <w:b w:val="1"/>
                <w:bCs w:val="1"/>
                <w:color w:val="FEFEFE"/>
              </w:rPr>
              <w:t>NEOs</w:t>
            </w:r>
          </w:p>
        </w:tc>
        <w:tc>
          <w:tcPr>
            <w:tcW w:w="870" w:type="dxa"/>
            <w:vAlign w:val="bottom"/>
            <w:tcBorders>
              <w:bottom w:val="single" w:sz="8" w:color="53C072"/>
            </w:tcBorders>
            <w:shd w:val="clear" w:color="auto" w:fill="53C072"/>
          </w:tcPr>
          <w:p>
            <w:pPr>
              <w:ind w:left="480"/>
              <w:spacing w:after="0"/>
              <w:rPr>
                <w:sz w:val="20"/>
                <w:szCs w:val="20"/>
                <w:color w:val="auto"/>
              </w:rPr>
            </w:pPr>
            <w:r>
              <w:rPr>
                <w:rFonts w:ascii="Arial" w:cs="Arial" w:eastAsia="Arial" w:hAnsi="Arial"/>
                <w:sz w:val="12"/>
                <w:szCs w:val="12"/>
                <w:b w:val="1"/>
                <w:bCs w:val="1"/>
                <w:color w:val="FEFEFE"/>
              </w:rPr>
              <w:t>NEOs</w:t>
            </w:r>
          </w:p>
        </w:tc>
        <w:tc>
          <w:tcPr>
            <w:tcW w:w="690" w:type="dxa"/>
            <w:vAlign w:val="bottom"/>
            <w:tcBorders>
              <w:bottom w:val="single" w:sz="8" w:color="53C072"/>
            </w:tcBorders>
            <w:shd w:val="clear" w:color="auto" w:fill="53C072"/>
          </w:tcPr>
          <w:p>
            <w:pPr>
              <w:ind w:left="310"/>
              <w:spacing w:after="0"/>
              <w:rPr>
                <w:sz w:val="20"/>
                <w:szCs w:val="20"/>
                <w:color w:val="auto"/>
              </w:rPr>
            </w:pPr>
            <w:r>
              <w:rPr>
                <w:rFonts w:ascii="Arial" w:cs="Arial" w:eastAsia="Arial" w:hAnsi="Arial"/>
                <w:sz w:val="12"/>
                <w:szCs w:val="12"/>
                <w:b w:val="1"/>
                <w:bCs w:val="1"/>
                <w:color w:val="FEFEFE"/>
                <w:w w:val="92"/>
              </w:rPr>
              <w:t>TSR(1)</w:t>
            </w:r>
          </w:p>
        </w:tc>
        <w:tc>
          <w:tcPr>
            <w:tcW w:w="100" w:type="dxa"/>
            <w:vAlign w:val="bottom"/>
            <w:tcBorders>
              <w:bottom w:val="single" w:sz="8" w:color="53C072"/>
            </w:tcBorders>
            <w:shd w:val="clear" w:color="auto" w:fill="53C072"/>
          </w:tcPr>
          <w:p>
            <w:pPr>
              <w:spacing w:after="0"/>
              <w:rPr>
                <w:sz w:val="15"/>
                <w:szCs w:val="15"/>
                <w:color w:val="auto"/>
              </w:rPr>
            </w:pPr>
          </w:p>
        </w:tc>
        <w:tc>
          <w:tcPr>
            <w:tcW w:w="760" w:type="dxa"/>
            <w:vAlign w:val="bottom"/>
            <w:tcBorders>
              <w:bottom w:val="single" w:sz="8" w:color="53C072"/>
            </w:tcBorders>
            <w:shd w:val="clear" w:color="auto" w:fill="53C072"/>
          </w:tcPr>
          <w:p>
            <w:pPr>
              <w:ind w:left="240"/>
              <w:spacing w:after="0"/>
              <w:rPr>
                <w:sz w:val="20"/>
                <w:szCs w:val="20"/>
                <w:color w:val="auto"/>
              </w:rPr>
            </w:pPr>
            <w:r>
              <w:rPr>
                <w:rFonts w:ascii="Arial" w:cs="Arial" w:eastAsia="Arial" w:hAnsi="Arial"/>
                <w:sz w:val="12"/>
                <w:szCs w:val="12"/>
                <w:b w:val="1"/>
                <w:bCs w:val="1"/>
                <w:color w:val="FEFEFE"/>
                <w:w w:val="93"/>
              </w:rPr>
              <w:t>TSR(1)(2)</w:t>
            </w:r>
          </w:p>
        </w:tc>
        <w:tc>
          <w:tcPr>
            <w:tcW w:w="40" w:type="dxa"/>
            <w:vAlign w:val="bottom"/>
            <w:tcBorders>
              <w:bottom w:val="single" w:sz="8" w:color="53C072"/>
            </w:tcBorders>
            <w:shd w:val="clear" w:color="auto" w:fill="53C072"/>
          </w:tcPr>
          <w:p>
            <w:pPr>
              <w:spacing w:after="0"/>
              <w:rPr>
                <w:sz w:val="15"/>
                <w:szCs w:val="15"/>
                <w:color w:val="auto"/>
              </w:rPr>
            </w:pPr>
          </w:p>
        </w:tc>
        <w:tc>
          <w:tcPr>
            <w:tcW w:w="760" w:type="dxa"/>
            <w:vAlign w:val="bottom"/>
            <w:tcBorders>
              <w:bottom w:val="single" w:sz="8" w:color="53C072"/>
            </w:tcBorders>
            <w:shd w:val="clear" w:color="auto" w:fill="53C072"/>
          </w:tcPr>
          <w:p>
            <w:pPr>
              <w:ind w:left="100"/>
              <w:spacing w:after="0"/>
              <w:rPr>
                <w:sz w:val="20"/>
                <w:szCs w:val="20"/>
                <w:color w:val="auto"/>
              </w:rPr>
            </w:pPr>
            <w:r>
              <w:rPr>
                <w:rFonts w:ascii="Arial" w:cs="Arial" w:eastAsia="Arial" w:hAnsi="Arial"/>
                <w:sz w:val="12"/>
                <w:szCs w:val="12"/>
                <w:b w:val="1"/>
                <w:bCs w:val="1"/>
                <w:color w:val="FEFEFE"/>
                <w:w w:val="94"/>
              </w:rPr>
              <w:t>(Millions)(3)</w:t>
            </w:r>
          </w:p>
        </w:tc>
        <w:tc>
          <w:tcPr>
            <w:tcW w:w="80" w:type="dxa"/>
            <w:vAlign w:val="bottom"/>
            <w:tcBorders>
              <w:bottom w:val="single" w:sz="8" w:color="53C072"/>
            </w:tcBorders>
            <w:shd w:val="clear" w:color="auto" w:fill="53C072"/>
          </w:tcPr>
          <w:p>
            <w:pPr>
              <w:spacing w:after="0"/>
              <w:rPr>
                <w:sz w:val="15"/>
                <w:szCs w:val="15"/>
                <w:color w:val="auto"/>
              </w:rPr>
            </w:pPr>
          </w:p>
        </w:tc>
        <w:tc>
          <w:tcPr>
            <w:tcW w:w="800" w:type="dxa"/>
            <w:vAlign w:val="bottom"/>
            <w:tcBorders>
              <w:bottom w:val="single" w:sz="8" w:color="53C072"/>
            </w:tcBorders>
            <w:gridSpan w:val="2"/>
            <w:shd w:val="clear" w:color="auto" w:fill="53C072"/>
          </w:tcPr>
          <w:p>
            <w:pPr>
              <w:ind w:left="140"/>
              <w:spacing w:after="0"/>
              <w:rPr>
                <w:sz w:val="20"/>
                <w:szCs w:val="20"/>
                <w:color w:val="auto"/>
              </w:rPr>
            </w:pPr>
            <w:r>
              <w:rPr>
                <w:rFonts w:ascii="Arial" w:cs="Arial" w:eastAsia="Arial" w:hAnsi="Arial"/>
                <w:sz w:val="12"/>
                <w:szCs w:val="12"/>
                <w:b w:val="1"/>
                <w:bCs w:val="1"/>
                <w:color w:val="FEFEFE"/>
                <w:w w:val="94"/>
              </w:rPr>
              <w:t>(Millions)(4)</w:t>
            </w:r>
          </w:p>
        </w:tc>
        <w:tc>
          <w:tcPr>
            <w:tcW w:w="100" w:type="dxa"/>
            <w:vAlign w:val="bottom"/>
            <w:tcBorders>
              <w:bottom w:val="single" w:sz="8" w:color="53C072"/>
            </w:tcBorders>
            <w:shd w:val="clear" w:color="auto" w:fill="53C07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Pr>
          <w:p>
            <w:pPr>
              <w:ind w:left="120"/>
              <w:spacing w:after="0"/>
              <w:rPr>
                <w:sz w:val="20"/>
                <w:szCs w:val="20"/>
                <w:color w:val="auto"/>
              </w:rPr>
            </w:pPr>
            <w:r>
              <w:rPr>
                <w:rFonts w:ascii="Arial" w:cs="Arial" w:eastAsia="Arial" w:hAnsi="Arial"/>
                <w:sz w:val="13"/>
                <w:szCs w:val="13"/>
                <w:color w:val="auto"/>
              </w:rPr>
              <w:t>2025</w:t>
            </w:r>
          </w:p>
        </w:tc>
        <w:tc>
          <w:tcPr>
            <w:tcW w:w="1020" w:type="dxa"/>
            <w:vAlign w:val="bottom"/>
          </w:tcPr>
          <w:p>
            <w:pPr>
              <w:jc w:val="center"/>
              <w:spacing w:after="0" w:line="216"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$9,894,132 </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6,640,640</w:t>
            </w:r>
          </w:p>
        </w:tc>
        <w:tc>
          <w:tcPr>
            <w:tcW w:w="200" w:type="dxa"/>
            <w:vAlign w:val="bottom"/>
          </w:tcPr>
          <w:p>
            <w:pPr>
              <w:ind w:left="20"/>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1420" w:type="dxa"/>
            <w:vAlign w:val="bottom"/>
            <w:gridSpan w:val="2"/>
          </w:tcPr>
          <w:p>
            <w:pPr>
              <w:jc w:val="right"/>
              <w:ind w:right="41"/>
              <w:spacing w:after="0" w:line="216"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bscript"/>
              </w:rPr>
              <w:t>​​ ​</w:t>
            </w:r>
            <w:r>
              <w:rPr>
                <w:rFonts w:ascii="Arial" w:cs="Arial" w:eastAsia="Arial" w:hAnsi="Arial"/>
                <w:sz w:val="13"/>
                <w:szCs w:val="13"/>
                <w:color w:val="auto"/>
              </w:rPr>
              <w:t>$ 2,364,773</w:t>
            </w:r>
          </w:p>
        </w:tc>
        <w:tc>
          <w:tcPr>
            <w:tcW w:w="870" w:type="dxa"/>
            <w:vAlign w:val="bottom"/>
          </w:tcPr>
          <w:p>
            <w:pPr>
              <w:jc w:val="center"/>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$1,491,950 </w:t>
            </w:r>
            <w:r>
              <w:rPr>
                <w:rFonts w:ascii="Arial" w:cs="Arial" w:eastAsia="Arial" w:hAnsi="Arial"/>
                <w:sz w:val="25"/>
                <w:szCs w:val="25"/>
                <w:color w:val="auto"/>
                <w:vertAlign w:val="subscript"/>
              </w:rPr>
              <w:t>​</w:t>
            </w:r>
          </w:p>
        </w:tc>
        <w:tc>
          <w:tcPr>
            <w:tcW w:w="690" w:type="dxa"/>
            <w:vAlign w:val="bottom"/>
          </w:tcPr>
          <w:p>
            <w:pPr>
              <w:ind w:left="13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$229.61</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$256.14</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tcPr>
          <w:p>
            <w:pPr>
              <w:ind w:left="20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$240.2</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00" w:type="dxa"/>
            <w:vAlign w:val="bottom"/>
          </w:tcPr>
          <w:p>
            <w:pPr>
              <w:ind w:left="16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624.0</w:t>
            </w:r>
          </w:p>
        </w:tc>
        <w:tc>
          <w:tcPr>
            <w:tcW w:w="100" w:type="dxa"/>
            <w:vAlign w:val="bottom"/>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16"/>
        </w:trPr>
        <w:tc>
          <w:tcPr>
            <w:tcW w:w="500" w:type="dxa"/>
            <w:vAlign w:val="bottom"/>
            <w:shd w:val="clear" w:color="auto" w:fill="CBECD5"/>
          </w:tcPr>
          <w:p>
            <w:pPr>
              <w:ind w:left="120"/>
              <w:spacing w:after="0"/>
              <w:rPr>
                <w:sz w:val="20"/>
                <w:szCs w:val="20"/>
                <w:color w:val="auto"/>
              </w:rPr>
            </w:pPr>
            <w:r>
              <w:rPr>
                <w:rFonts w:ascii="Arial" w:cs="Arial" w:eastAsia="Arial" w:hAnsi="Arial"/>
                <w:sz w:val="13"/>
                <w:szCs w:val="13"/>
                <w:color w:val="auto"/>
              </w:rPr>
              <w:t>2024</w:t>
            </w:r>
          </w:p>
        </w:tc>
        <w:tc>
          <w:tcPr>
            <w:tcW w:w="1020" w:type="dxa"/>
            <w:vAlign w:val="bottom"/>
            <w:shd w:val="clear" w:color="auto" w:fill="CBECD5"/>
          </w:tcPr>
          <w:p>
            <w:pPr>
              <w:jc w:val="center"/>
              <w:spacing w:after="0" w:line="216"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$8,775,978 </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5,540,132</w:t>
            </w:r>
          </w:p>
        </w:tc>
        <w:tc>
          <w:tcPr>
            <w:tcW w:w="200" w:type="dxa"/>
            <w:vAlign w:val="bottom"/>
            <w:shd w:val="clear" w:color="auto" w:fill="CBECD5"/>
          </w:tcPr>
          <w:p>
            <w:pPr>
              <w:ind w:left="20"/>
              <w:spacing w:after="0"/>
              <w:rPr>
                <w:sz w:val="20"/>
                <w:szCs w:val="20"/>
                <w:color w:val="auto"/>
              </w:rPr>
            </w:pPr>
            <w:r>
              <w:rPr>
                <w:rFonts w:ascii="Arial" w:cs="Arial" w:eastAsia="Arial" w:hAnsi="Arial"/>
                <w:sz w:val="13"/>
                <w:szCs w:val="13"/>
                <w:color w:val="auto"/>
              </w:rPr>
              <w:t>​​ ​</w:t>
            </w:r>
          </w:p>
        </w:tc>
        <w:tc>
          <w:tcPr>
            <w:tcW w:w="780" w:type="dxa"/>
            <w:vAlign w:val="bottom"/>
            <w:shd w:val="clear" w:color="auto" w:fill="CBECD5"/>
          </w:tcPr>
          <w:p>
            <w:pPr>
              <w:jc w:val="right"/>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1420" w:type="dxa"/>
            <w:vAlign w:val="bottom"/>
            <w:gridSpan w:val="2"/>
            <w:shd w:val="clear" w:color="auto" w:fill="CBECD5"/>
          </w:tcPr>
          <w:p>
            <w:pPr>
              <w:jc w:val="right"/>
              <w:ind w:right="41"/>
              <w:spacing w:after="0" w:line="216"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bscript"/>
              </w:rPr>
              <w:t>​​ ​</w:t>
            </w:r>
            <w:r>
              <w:rPr>
                <w:rFonts w:ascii="Arial" w:cs="Arial" w:eastAsia="Arial" w:hAnsi="Arial"/>
                <w:sz w:val="13"/>
                <w:szCs w:val="13"/>
                <w:color w:val="auto"/>
              </w:rPr>
              <w:t>$ 2,041,858</w:t>
            </w:r>
          </w:p>
        </w:tc>
        <w:tc>
          <w:tcPr>
            <w:tcW w:w="870" w:type="dxa"/>
            <w:vAlign w:val="bottom"/>
            <w:shd w:val="clear" w:color="auto" w:fill="CBECD5"/>
          </w:tcPr>
          <w:p>
            <w:pPr>
              <w:jc w:val="center"/>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$1,354,722 </w:t>
            </w:r>
            <w:r>
              <w:rPr>
                <w:rFonts w:ascii="Arial" w:cs="Arial" w:eastAsia="Arial" w:hAnsi="Arial"/>
                <w:sz w:val="25"/>
                <w:szCs w:val="25"/>
                <w:color w:val="auto"/>
                <w:vertAlign w:val="subscript"/>
              </w:rPr>
              <w:t>​</w:t>
            </w:r>
          </w:p>
        </w:tc>
        <w:tc>
          <w:tcPr>
            <w:tcW w:w="690" w:type="dxa"/>
            <w:vAlign w:val="bottom"/>
            <w:shd w:val="clear" w:color="auto" w:fill="CBECD5"/>
          </w:tcPr>
          <w:p>
            <w:pPr>
              <w:ind w:left="13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$218.81</w:t>
            </w:r>
          </w:p>
        </w:tc>
        <w:tc>
          <w:tcPr>
            <w:tcW w:w="10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760" w:type="dxa"/>
            <w:vAlign w:val="bottom"/>
            <w:shd w:val="clear" w:color="auto" w:fill="CBECD5"/>
          </w:tcPr>
          <w:p>
            <w:pPr>
              <w:jc w:val="center"/>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$253.53</w:t>
            </w:r>
          </w:p>
        </w:tc>
        <w:tc>
          <w:tcPr>
            <w:tcW w:w="4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760" w:type="dxa"/>
            <w:vAlign w:val="bottom"/>
            <w:shd w:val="clear" w:color="auto" w:fill="CBECD5"/>
          </w:tcPr>
          <w:p>
            <w:pPr>
              <w:ind w:left="20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$498.7</w:t>
            </w: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300" w:type="dxa"/>
            <w:vAlign w:val="bottom"/>
            <w:shd w:val="clear" w:color="auto" w:fill="CBECD5"/>
          </w:tcPr>
          <w:p>
            <w:pPr>
              <w:ind w:left="160"/>
              <w:spacing w:after="0" w:line="216"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500" w:type="dxa"/>
            <w:vAlign w:val="bottom"/>
            <w:shd w:val="clear" w:color="auto" w:fill="CBECD5"/>
          </w:tcPr>
          <w:p>
            <w:pPr>
              <w:jc w:val="right"/>
              <w:ind w:right="77"/>
              <w:spacing w:after="0"/>
              <w:rPr>
                <w:sz w:val="20"/>
                <w:szCs w:val="20"/>
                <w:color w:val="auto"/>
              </w:rPr>
            </w:pPr>
            <w:r>
              <w:rPr>
                <w:rFonts w:ascii="Arial" w:cs="Arial" w:eastAsia="Arial" w:hAnsi="Arial"/>
                <w:sz w:val="13"/>
                <w:szCs w:val="13"/>
                <w:color w:val="auto"/>
              </w:rPr>
              <w:t>900.0</w:t>
            </w:r>
          </w:p>
        </w:tc>
        <w:tc>
          <w:tcPr>
            <w:tcW w:w="100" w:type="dxa"/>
            <w:vAlign w:val="bottom"/>
            <w:shd w:val="clear" w:color="auto" w:fill="CBECD5"/>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16"/>
        </w:trPr>
        <w:tc>
          <w:tcPr>
            <w:tcW w:w="500" w:type="dxa"/>
            <w:vAlign w:val="bottom"/>
          </w:tcPr>
          <w:p>
            <w:pPr>
              <w:ind w:left="120"/>
              <w:spacing w:after="0"/>
              <w:rPr>
                <w:sz w:val="20"/>
                <w:szCs w:val="20"/>
                <w:color w:val="auto"/>
              </w:rPr>
            </w:pPr>
            <w:r>
              <w:rPr>
                <w:rFonts w:ascii="Arial" w:cs="Arial" w:eastAsia="Arial" w:hAnsi="Arial"/>
                <w:sz w:val="13"/>
                <w:szCs w:val="13"/>
                <w:color w:val="auto"/>
              </w:rPr>
              <w:t>2023</w:t>
            </w:r>
          </w:p>
        </w:tc>
        <w:tc>
          <w:tcPr>
            <w:tcW w:w="1020" w:type="dxa"/>
            <w:vAlign w:val="bottom"/>
          </w:tcPr>
          <w:p>
            <w:pPr>
              <w:jc w:val="center"/>
              <w:spacing w:after="0" w:line="216"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$9,716,827 </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13,428,971</w:t>
            </w:r>
          </w:p>
        </w:tc>
        <w:tc>
          <w:tcPr>
            <w:tcW w:w="200" w:type="dxa"/>
            <w:vAlign w:val="bottom"/>
          </w:tcPr>
          <w:p>
            <w:pPr>
              <w:ind w:left="20"/>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1420" w:type="dxa"/>
            <w:vAlign w:val="bottom"/>
            <w:gridSpan w:val="2"/>
          </w:tcPr>
          <w:p>
            <w:pPr>
              <w:jc w:val="right"/>
              <w:ind w:right="41"/>
              <w:spacing w:after="0" w:line="216"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bscript"/>
              </w:rPr>
              <w:t>​​ ​</w:t>
            </w:r>
            <w:r>
              <w:rPr>
                <w:rFonts w:ascii="Arial" w:cs="Arial" w:eastAsia="Arial" w:hAnsi="Arial"/>
                <w:sz w:val="13"/>
                <w:szCs w:val="13"/>
                <w:color w:val="auto"/>
              </w:rPr>
              <w:t>$ 1,928,181</w:t>
            </w:r>
          </w:p>
        </w:tc>
        <w:tc>
          <w:tcPr>
            <w:tcW w:w="870" w:type="dxa"/>
            <w:vAlign w:val="bottom"/>
          </w:tcPr>
          <w:p>
            <w:pPr>
              <w:jc w:val="center"/>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$1,950,485 </w:t>
            </w:r>
            <w:r>
              <w:rPr>
                <w:rFonts w:ascii="Arial" w:cs="Arial" w:eastAsia="Arial" w:hAnsi="Arial"/>
                <w:sz w:val="25"/>
                <w:szCs w:val="25"/>
                <w:color w:val="auto"/>
                <w:vertAlign w:val="subscript"/>
              </w:rPr>
              <w:t>​</w:t>
            </w:r>
          </w:p>
        </w:tc>
        <w:tc>
          <w:tcPr>
            <w:tcW w:w="690" w:type="dxa"/>
            <w:vAlign w:val="bottom"/>
          </w:tcPr>
          <w:p>
            <w:pPr>
              <w:ind w:left="13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$208.95</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$218.46</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tcPr>
          <w:p>
            <w:pPr>
              <w:ind w:left="20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$770.8</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77"/>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$1,220.9</w:t>
            </w:r>
          </w:p>
        </w:tc>
        <w:tc>
          <w:tcPr>
            <w:tcW w:w="100" w:type="dxa"/>
            <w:vAlign w:val="bottom"/>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16"/>
        </w:trPr>
        <w:tc>
          <w:tcPr>
            <w:tcW w:w="500" w:type="dxa"/>
            <w:vAlign w:val="bottom"/>
            <w:shd w:val="clear" w:color="auto" w:fill="CBECD5"/>
          </w:tcPr>
          <w:p>
            <w:pPr>
              <w:ind w:left="120"/>
              <w:spacing w:after="0"/>
              <w:rPr>
                <w:sz w:val="20"/>
                <w:szCs w:val="20"/>
                <w:color w:val="auto"/>
              </w:rPr>
            </w:pPr>
            <w:r>
              <w:rPr>
                <w:rFonts w:ascii="Arial" w:cs="Arial" w:eastAsia="Arial" w:hAnsi="Arial"/>
                <w:sz w:val="13"/>
                <w:szCs w:val="13"/>
                <w:color w:val="auto"/>
              </w:rPr>
              <w:t>2022</w:t>
            </w:r>
          </w:p>
        </w:tc>
        <w:tc>
          <w:tcPr>
            <w:tcW w:w="1020" w:type="dxa"/>
            <w:vAlign w:val="bottom"/>
            <w:shd w:val="clear" w:color="auto" w:fill="CBECD5"/>
          </w:tcPr>
          <w:p>
            <w:pPr>
              <w:jc w:val="center"/>
              <w:spacing w:after="0" w:line="216"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$8,129,900 </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9,883,510</w:t>
            </w:r>
          </w:p>
        </w:tc>
        <w:tc>
          <w:tcPr>
            <w:tcW w:w="200" w:type="dxa"/>
            <w:vAlign w:val="bottom"/>
            <w:shd w:val="clear" w:color="auto" w:fill="CBECD5"/>
          </w:tcPr>
          <w:p>
            <w:pPr>
              <w:ind w:left="20"/>
              <w:spacing w:after="0"/>
              <w:rPr>
                <w:sz w:val="20"/>
                <w:szCs w:val="20"/>
                <w:color w:val="auto"/>
              </w:rPr>
            </w:pPr>
            <w:r>
              <w:rPr>
                <w:rFonts w:ascii="Arial" w:cs="Arial" w:eastAsia="Arial" w:hAnsi="Arial"/>
                <w:sz w:val="13"/>
                <w:szCs w:val="13"/>
                <w:color w:val="auto"/>
              </w:rPr>
              <w:t>​​ ​</w:t>
            </w:r>
          </w:p>
        </w:tc>
        <w:tc>
          <w:tcPr>
            <w:tcW w:w="780" w:type="dxa"/>
            <w:vAlign w:val="bottom"/>
            <w:shd w:val="clear" w:color="auto" w:fill="CBECD5"/>
          </w:tcPr>
          <w:p>
            <w:pPr>
              <w:jc w:val="right"/>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1420" w:type="dxa"/>
            <w:vAlign w:val="bottom"/>
            <w:gridSpan w:val="2"/>
            <w:shd w:val="clear" w:color="auto" w:fill="CBECD5"/>
          </w:tcPr>
          <w:p>
            <w:pPr>
              <w:jc w:val="right"/>
              <w:ind w:right="41"/>
              <w:spacing w:after="0" w:line="216"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bscript"/>
              </w:rPr>
              <w:t>​​ ​</w:t>
            </w:r>
            <w:r>
              <w:rPr>
                <w:rFonts w:ascii="Arial" w:cs="Arial" w:eastAsia="Arial" w:hAnsi="Arial"/>
                <w:sz w:val="13"/>
                <w:szCs w:val="13"/>
                <w:color w:val="auto"/>
              </w:rPr>
              <w:t>$ 2,031,221</w:t>
            </w:r>
          </w:p>
        </w:tc>
        <w:tc>
          <w:tcPr>
            <w:tcW w:w="870" w:type="dxa"/>
            <w:vAlign w:val="bottom"/>
            <w:shd w:val="clear" w:color="auto" w:fill="CBECD5"/>
          </w:tcPr>
          <w:p>
            <w:pPr>
              <w:jc w:val="center"/>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$1,912,506 </w:t>
            </w:r>
            <w:r>
              <w:rPr>
                <w:rFonts w:ascii="Arial" w:cs="Arial" w:eastAsia="Arial" w:hAnsi="Arial"/>
                <w:sz w:val="25"/>
                <w:szCs w:val="25"/>
                <w:color w:val="auto"/>
                <w:vertAlign w:val="subscript"/>
              </w:rPr>
              <w:t>​</w:t>
            </w:r>
          </w:p>
        </w:tc>
        <w:tc>
          <w:tcPr>
            <w:tcW w:w="690" w:type="dxa"/>
            <w:vAlign w:val="bottom"/>
            <w:shd w:val="clear" w:color="auto" w:fill="CBECD5"/>
          </w:tcPr>
          <w:p>
            <w:pPr>
              <w:ind w:left="13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$170.48</w:t>
            </w:r>
          </w:p>
        </w:tc>
        <w:tc>
          <w:tcPr>
            <w:tcW w:w="10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760" w:type="dxa"/>
            <w:vAlign w:val="bottom"/>
            <w:shd w:val="clear" w:color="auto" w:fill="CBECD5"/>
          </w:tcPr>
          <w:p>
            <w:pPr>
              <w:jc w:val="center"/>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$177.30</w:t>
            </w:r>
          </w:p>
        </w:tc>
        <w:tc>
          <w:tcPr>
            <w:tcW w:w="4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760" w:type="dxa"/>
            <w:vAlign w:val="bottom"/>
            <w:shd w:val="clear" w:color="auto" w:fill="CBECD5"/>
          </w:tcPr>
          <w:p>
            <w:pPr>
              <w:ind w:left="20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$692.4</w:t>
            </w: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300" w:type="dxa"/>
            <w:vAlign w:val="bottom"/>
            <w:shd w:val="clear" w:color="auto" w:fill="CBECD5"/>
          </w:tcPr>
          <w:p>
            <w:pPr>
              <w:ind w:left="160"/>
              <w:spacing w:after="0" w:line="216"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500" w:type="dxa"/>
            <w:vAlign w:val="bottom"/>
            <w:shd w:val="clear" w:color="auto" w:fill="CBECD5"/>
          </w:tcPr>
          <w:p>
            <w:pPr>
              <w:jc w:val="right"/>
              <w:ind w:right="77"/>
              <w:spacing w:after="0"/>
              <w:rPr>
                <w:sz w:val="20"/>
                <w:szCs w:val="20"/>
                <w:color w:val="auto"/>
              </w:rPr>
            </w:pPr>
            <w:r>
              <w:rPr>
                <w:rFonts w:ascii="Arial" w:cs="Arial" w:eastAsia="Arial" w:hAnsi="Arial"/>
                <w:sz w:val="13"/>
                <w:szCs w:val="13"/>
                <w:color w:val="auto"/>
              </w:rPr>
              <w:t>985.6</w:t>
            </w:r>
          </w:p>
        </w:tc>
        <w:tc>
          <w:tcPr>
            <w:tcW w:w="100" w:type="dxa"/>
            <w:vAlign w:val="bottom"/>
            <w:shd w:val="clear" w:color="auto" w:fill="CBECD5"/>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50"/>
        </w:trPr>
        <w:tc>
          <w:tcPr>
            <w:tcW w:w="500" w:type="dxa"/>
            <w:vAlign w:val="bottom"/>
            <w:tcBorders>
              <w:bottom w:val="single" w:sz="8" w:color="53C072"/>
            </w:tcBorders>
          </w:tcPr>
          <w:p>
            <w:pPr>
              <w:ind w:left="120"/>
              <w:spacing w:after="0"/>
              <w:rPr>
                <w:sz w:val="20"/>
                <w:szCs w:val="20"/>
                <w:color w:val="auto"/>
              </w:rPr>
            </w:pPr>
            <w:r>
              <w:rPr>
                <w:rFonts w:ascii="Arial" w:cs="Arial" w:eastAsia="Arial" w:hAnsi="Arial"/>
                <w:sz w:val="13"/>
                <w:szCs w:val="13"/>
                <w:color w:val="auto"/>
              </w:rPr>
              <w:t>2021</w:t>
            </w:r>
          </w:p>
        </w:tc>
        <w:tc>
          <w:tcPr>
            <w:tcW w:w="1020" w:type="dxa"/>
            <w:vAlign w:val="bottom"/>
            <w:tcBorders>
              <w:bottom w:val="single" w:sz="8" w:color="53C072"/>
            </w:tcBorders>
          </w:tcPr>
          <w:p>
            <w:pPr>
              <w:jc w:val="center"/>
              <w:spacing w:after="0" w:line="242"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$6,151,987 </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40" w:type="dxa"/>
            <w:vAlign w:val="bottom"/>
            <w:tcBorders>
              <w:bottom w:val="single" w:sz="8" w:color="53C072"/>
            </w:tcBorders>
          </w:tcPr>
          <w:p>
            <w:pPr>
              <w:jc w:val="right"/>
              <w:spacing w:after="0"/>
              <w:rPr>
                <w:sz w:val="20"/>
                <w:szCs w:val="20"/>
                <w:color w:val="auto"/>
              </w:rPr>
            </w:pPr>
            <w:r>
              <w:rPr>
                <w:rFonts w:ascii="Arial" w:cs="Arial" w:eastAsia="Arial" w:hAnsi="Arial"/>
                <w:sz w:val="13"/>
                <w:szCs w:val="13"/>
                <w:color w:val="auto"/>
              </w:rPr>
              <w:t>8,577,743</w:t>
            </w:r>
          </w:p>
        </w:tc>
        <w:tc>
          <w:tcPr>
            <w:tcW w:w="1580" w:type="dxa"/>
            <w:vAlign w:val="bottom"/>
            <w:tcBorders>
              <w:bottom w:val="single" w:sz="8" w:color="53C072"/>
            </w:tcBorders>
            <w:gridSpan w:val="3"/>
          </w:tcPr>
          <w:p>
            <w:pPr>
              <w:ind w:left="20"/>
              <w:spacing w:after="0" w:line="242"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$2,910,076 </w:t>
            </w:r>
            <w:r>
              <w:rPr>
                <w:rFonts w:ascii="Arial" w:cs="Arial" w:eastAsia="Arial" w:hAnsi="Arial"/>
                <w:sz w:val="25"/>
                <w:szCs w:val="25"/>
                <w:color w:val="auto"/>
                <w:vertAlign w:val="subscript"/>
              </w:rPr>
              <w:t>​​​​</w:t>
            </w:r>
            <w:r>
              <w:rPr>
                <w:rFonts w:ascii="Arial" w:cs="Arial" w:eastAsia="Arial" w:hAnsi="Arial"/>
                <w:sz w:val="13"/>
                <w:szCs w:val="13"/>
                <w:color w:val="auto"/>
              </w:rPr>
              <w:t xml:space="preserve">$377,147 </w:t>
            </w:r>
            <w:r>
              <w:rPr>
                <w:rFonts w:ascii="Arial" w:cs="Arial" w:eastAsia="Arial" w:hAnsi="Arial"/>
                <w:sz w:val="25"/>
                <w:szCs w:val="25"/>
                <w:color w:val="auto"/>
                <w:vertAlign w:val="subscript"/>
              </w:rPr>
              <w:t>​​</w:t>
            </w:r>
          </w:p>
        </w:tc>
        <w:tc>
          <w:tcPr>
            <w:tcW w:w="820" w:type="dxa"/>
            <w:vAlign w:val="bottom"/>
            <w:tcBorders>
              <w:bottom w:val="single" w:sz="8" w:color="53C072"/>
            </w:tcBorders>
          </w:tcPr>
          <w:p>
            <w:pPr>
              <w:jc w:val="right"/>
              <w:ind w:right="41"/>
              <w:spacing w:after="0" w:line="242"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$ 1,862,076</w:t>
            </w:r>
          </w:p>
        </w:tc>
        <w:tc>
          <w:tcPr>
            <w:tcW w:w="870" w:type="dxa"/>
            <w:vAlign w:val="bottom"/>
            <w:tcBorders>
              <w:bottom w:val="single" w:sz="8" w:color="53C072"/>
            </w:tcBorders>
          </w:tcPr>
          <w:p>
            <w:pPr>
              <w:jc w:val="center"/>
              <w:spacing w:after="0" w:line="242"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$1,527,825 </w:t>
            </w:r>
            <w:r>
              <w:rPr>
                <w:rFonts w:ascii="Arial" w:cs="Arial" w:eastAsia="Arial" w:hAnsi="Arial"/>
                <w:sz w:val="25"/>
                <w:szCs w:val="25"/>
                <w:color w:val="auto"/>
                <w:vertAlign w:val="subscript"/>
              </w:rPr>
              <w:t>​</w:t>
            </w:r>
          </w:p>
        </w:tc>
        <w:tc>
          <w:tcPr>
            <w:tcW w:w="690" w:type="dxa"/>
            <w:vAlign w:val="bottom"/>
            <w:tcBorders>
              <w:bottom w:val="single" w:sz="8" w:color="53C072"/>
            </w:tcBorders>
          </w:tcPr>
          <w:p>
            <w:pPr>
              <w:ind w:left="130"/>
              <w:spacing w:after="0" w:line="242"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$157.58</w:t>
            </w:r>
          </w:p>
        </w:tc>
        <w:tc>
          <w:tcPr>
            <w:tcW w:w="100" w:type="dxa"/>
            <w:vAlign w:val="bottom"/>
            <w:tcBorders>
              <w:bottom w:val="single" w:sz="8" w:color="53C072"/>
            </w:tcBorders>
          </w:tcPr>
          <w:p>
            <w:pPr>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53C072"/>
            </w:tcBorders>
          </w:tcPr>
          <w:p>
            <w:pPr>
              <w:jc w:val="center"/>
              <w:spacing w:after="0" w:line="242"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$199.58</w:t>
            </w:r>
          </w:p>
        </w:tc>
        <w:tc>
          <w:tcPr>
            <w:tcW w:w="40" w:type="dxa"/>
            <w:vAlign w:val="bottom"/>
            <w:tcBorders>
              <w:bottom w:val="single" w:sz="8" w:color="53C072"/>
            </w:tcBorders>
          </w:tcPr>
          <w:p>
            <w:pPr>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53C072"/>
            </w:tcBorders>
          </w:tcPr>
          <w:p>
            <w:pPr>
              <w:ind w:left="200"/>
              <w:spacing w:after="0" w:line="242"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$193.1</w:t>
            </w:r>
          </w:p>
        </w:tc>
        <w:tc>
          <w:tcPr>
            <w:tcW w:w="80" w:type="dxa"/>
            <w:vAlign w:val="bottom"/>
            <w:tcBorders>
              <w:bottom w:val="single" w:sz="8" w:color="53C072"/>
            </w:tcBorders>
          </w:tcPr>
          <w:p>
            <w:pPr>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53C072"/>
            </w:tcBorders>
          </w:tcPr>
          <w:p>
            <w:pPr>
              <w:ind w:left="160"/>
              <w:spacing w:after="0" w:line="242"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500" w:type="dxa"/>
            <w:vAlign w:val="bottom"/>
            <w:tcBorders>
              <w:bottom w:val="single" w:sz="8" w:color="53C072"/>
            </w:tcBorders>
          </w:tcPr>
          <w:p>
            <w:pPr>
              <w:jc w:val="right"/>
              <w:ind w:right="77"/>
              <w:spacing w:after="0"/>
              <w:rPr>
                <w:sz w:val="20"/>
                <w:szCs w:val="20"/>
                <w:color w:val="auto"/>
              </w:rPr>
            </w:pPr>
            <w:r>
              <w:rPr>
                <w:rFonts w:ascii="Arial" w:cs="Arial" w:eastAsia="Arial" w:hAnsi="Arial"/>
                <w:sz w:val="13"/>
                <w:szCs w:val="13"/>
                <w:color w:val="auto"/>
              </w:rPr>
              <w:t>407.0</w:t>
            </w:r>
          </w:p>
        </w:tc>
        <w:tc>
          <w:tcPr>
            <w:tcW w:w="100" w:type="dxa"/>
            <w:vAlign w:val="bottom"/>
            <w:tcBorders>
              <w:bottom w:val="single" w:sz="8" w:color="53C072"/>
            </w:tcBorders>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780" w:right="159" w:hanging="718"/>
        <w:spacing w:after="0" w:line="287" w:lineRule="auto"/>
        <w:tabs>
          <w:tab w:leader="none" w:pos="1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Reflects the cumulative value of a $100 investment made at the beginning of fiscal year 2021 through the end of fiscal year 2025, including the reinvestment of dividends.</w:t>
      </w:r>
    </w:p>
    <w:p>
      <w:pPr>
        <w:spacing w:after="0" w:line="85" w:lineRule="exact"/>
        <w:rPr>
          <w:rFonts w:ascii="Arial" w:cs="Arial" w:eastAsia="Arial" w:hAnsi="Arial"/>
          <w:sz w:val="18"/>
          <w:szCs w:val="18"/>
          <w:color w:val="auto"/>
        </w:rPr>
      </w:pPr>
    </w:p>
    <w:p>
      <w:pPr>
        <w:ind w:left="1780" w:right="359" w:hanging="718"/>
        <w:spacing w:after="0" w:line="262" w:lineRule="auto"/>
        <w:tabs>
          <w:tab w:leader="none" w:pos="1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Peer Group is the one used in the Annual Reports on Form 10-K pursuant to Item 201(e)(ii) of Regulations S-K for each of the fiscal years noted, which is comprised of the following five companies: Agilysys, Inc.; Arrow Electronics Inc.; Insight Enterprises Inc.; Scansource Inc.; and TD Synnex Corporation.</w:t>
      </w:r>
    </w:p>
    <w:p>
      <w:pPr>
        <w:spacing w:after="0" w:line="95" w:lineRule="exact"/>
        <w:rPr>
          <w:rFonts w:ascii="Arial" w:cs="Arial" w:eastAsia="Arial" w:hAnsi="Arial"/>
          <w:sz w:val="18"/>
          <w:szCs w:val="18"/>
          <w:color w:val="auto"/>
        </w:rPr>
      </w:pPr>
    </w:p>
    <w:p>
      <w:pPr>
        <w:ind w:left="1780" w:right="379" w:hanging="718"/>
        <w:spacing w:after="0" w:line="287" w:lineRule="auto"/>
        <w:tabs>
          <w:tab w:leader="none" w:pos="1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presented in the Company’s Consolidated Statements of Operations for each of the fiscal years ended, calculated in accordance with GAAP.</w:t>
      </w:r>
    </w:p>
    <w:p>
      <w:pPr>
        <w:spacing w:after="0" w:line="85" w:lineRule="exact"/>
        <w:rPr>
          <w:rFonts w:ascii="Arial" w:cs="Arial" w:eastAsia="Arial" w:hAnsi="Arial"/>
          <w:sz w:val="18"/>
          <w:szCs w:val="18"/>
          <w:color w:val="auto"/>
        </w:rPr>
      </w:pPr>
    </w:p>
    <w:p>
      <w:pPr>
        <w:ind w:left="1780" w:right="279" w:hanging="718"/>
        <w:spacing w:after="0" w:line="282" w:lineRule="auto"/>
        <w:tabs>
          <w:tab w:leader="none" w:pos="17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The Company’s selected measure, Adjusted Operating Income Dollars (OI$), is a non-GAAP measure and was one of the financial performance metrics used in the fiscal 2025 annual cash incentive plan design for executive officers. Please see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for information on how this measure was calculated as well as a reconciliation to its most directly comparable GAAP measures.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68     </w:t>
      </w:r>
      <w:r>
        <w:rPr>
          <w:sz w:val="1"/>
          <w:szCs w:val="1"/>
          <w:color w:val="auto"/>
        </w:rPr>
        <w:drawing>
          <wp:inline distT="0" distB="0" distL="0" distR="0">
            <wp:extent cx="1242695" cy="24003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26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480" w:type="dxa"/>
            <w:vAlign w:val="bottom"/>
            <w:vMerge w:val="restart"/>
          </w:tcPr>
          <w:p>
            <w:pPr>
              <w:ind w:left="2920"/>
              <w:spacing w:after="0"/>
              <w:rPr>
                <w:sz w:val="20"/>
                <w:szCs w:val="20"/>
                <w:color w:val="auto"/>
              </w:rPr>
            </w:pPr>
            <w:r>
              <w:rPr>
                <w:rFonts w:ascii="Arial" w:cs="Arial" w:eastAsia="Arial" w:hAnsi="Arial"/>
                <w:sz w:val="14"/>
                <w:szCs w:val="14"/>
                <w:color w:val="auto"/>
                <w:w w:val="98"/>
              </w:rPr>
              <w:t>Pay Versus Performance</w:t>
            </w:r>
          </w:p>
        </w:tc>
        <w:tc>
          <w:tcPr>
            <w:tcW w:w="0" w:type="dxa"/>
            <w:vAlign w:val="bottom"/>
          </w:tcPr>
          <w:p>
            <w:pPr>
              <w:spacing w:after="0"/>
              <w:rPr>
                <w:sz w:val="1"/>
                <w:szCs w:val="1"/>
                <w:color w:val="auto"/>
              </w:rPr>
            </w:pPr>
          </w:p>
        </w:tc>
      </w:tr>
      <w:tr>
        <w:trPr>
          <w:trHeight w:val="89"/>
        </w:trPr>
        <w:tc>
          <w:tcPr>
            <w:tcW w:w="52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260" w:type="dxa"/>
            <w:vAlign w:val="bottom"/>
            <w:vMerge w:val="continue"/>
          </w:tcPr>
          <w:p>
            <w:pPr>
              <w:spacing w:after="0"/>
              <w:rPr>
                <w:sz w:val="11"/>
                <w:szCs w:val="11"/>
                <w:color w:val="auto"/>
              </w:rPr>
            </w:pPr>
          </w:p>
        </w:tc>
        <w:tc>
          <w:tcPr>
            <w:tcW w:w="4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419"/>
        <w:spacing w:after="0" w:line="268" w:lineRule="auto"/>
        <w:rPr>
          <w:sz w:val="20"/>
          <w:szCs w:val="20"/>
          <w:color w:val="auto"/>
        </w:rPr>
      </w:pPr>
      <w:r>
        <w:rPr>
          <w:rFonts w:ascii="Arial" w:cs="Arial" w:eastAsia="Arial" w:hAnsi="Arial"/>
          <w:sz w:val="18"/>
          <w:szCs w:val="18"/>
          <w:color w:val="auto"/>
        </w:rPr>
        <w:t>Phil Gallagher was the PEO for all the presented years. To calculate CAP for Mr. Gallagher, the following amounts were deducted from and added to the Total Compensation reported in the Summary Compensation Table (“SCT”):</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332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Year</w:t>
            </w:r>
          </w:p>
        </w:tc>
        <w:tc>
          <w:tcPr>
            <w:tcW w:w="400" w:type="dxa"/>
            <w:vAlign w:val="bottom"/>
            <w:shd w:val="clear" w:color="auto" w:fill="53C072"/>
          </w:tcPr>
          <w:p>
            <w:pPr>
              <w:spacing w:after="0"/>
              <w:rPr>
                <w:sz w:val="19"/>
                <w:szCs w:val="19"/>
                <w:color w:val="auto"/>
              </w:rPr>
            </w:pPr>
          </w:p>
        </w:tc>
        <w:tc>
          <w:tcPr>
            <w:tcW w:w="6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2021</w:t>
            </w:r>
          </w:p>
        </w:tc>
        <w:tc>
          <w:tcPr>
            <w:tcW w:w="10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2022</w:t>
            </w:r>
          </w:p>
        </w:tc>
        <w:tc>
          <w:tcPr>
            <w:tcW w:w="320" w:type="dxa"/>
            <w:vAlign w:val="bottom"/>
            <w:shd w:val="clear" w:color="auto" w:fill="53C072"/>
          </w:tcPr>
          <w:p>
            <w:pPr>
              <w:spacing w:after="0"/>
              <w:rPr>
                <w:sz w:val="19"/>
                <w:szCs w:val="19"/>
                <w:color w:val="auto"/>
              </w:rPr>
            </w:pPr>
          </w:p>
        </w:tc>
        <w:tc>
          <w:tcPr>
            <w:tcW w:w="8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2023</w:t>
            </w:r>
          </w:p>
        </w:tc>
        <w:tc>
          <w:tcPr>
            <w:tcW w:w="10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2024</w:t>
            </w:r>
          </w:p>
        </w:tc>
        <w:tc>
          <w:tcPr>
            <w:tcW w:w="120" w:type="dxa"/>
            <w:vAlign w:val="bottom"/>
            <w:shd w:val="clear" w:color="auto" w:fill="53C072"/>
          </w:tcPr>
          <w:p>
            <w:pPr>
              <w:spacing w:after="0"/>
              <w:rPr>
                <w:sz w:val="19"/>
                <w:szCs w:val="19"/>
                <w:color w:val="auto"/>
              </w:rPr>
            </w:pPr>
          </w:p>
        </w:tc>
        <w:tc>
          <w:tcPr>
            <w:tcW w:w="240" w:type="dxa"/>
            <w:vAlign w:val="bottom"/>
            <w:shd w:val="clear" w:color="auto" w:fill="53C072"/>
          </w:tcPr>
          <w:p>
            <w:pPr>
              <w:spacing w:after="0"/>
              <w:rPr>
                <w:sz w:val="19"/>
                <w:szCs w:val="19"/>
                <w:color w:val="auto"/>
              </w:rPr>
            </w:pPr>
          </w:p>
        </w:tc>
        <w:tc>
          <w:tcPr>
            <w:tcW w:w="760" w:type="dxa"/>
            <w:vAlign w:val="bottom"/>
            <w:shd w:val="clear" w:color="auto" w:fill="53C072"/>
          </w:tcPr>
          <w:p>
            <w:pPr>
              <w:jc w:val="right"/>
              <w:ind w:right="42"/>
              <w:spacing w:after="0"/>
              <w:rPr>
                <w:sz w:val="20"/>
                <w:szCs w:val="20"/>
                <w:color w:val="auto"/>
              </w:rPr>
            </w:pPr>
            <w:r>
              <w:rPr>
                <w:rFonts w:ascii="Arial" w:cs="Arial" w:eastAsia="Arial" w:hAnsi="Arial"/>
                <w:sz w:val="14"/>
                <w:szCs w:val="14"/>
                <w:b w:val="1"/>
                <w:bCs w:val="1"/>
                <w:color w:val="FEFEFE"/>
              </w:rPr>
              <w:t>2025</w:t>
            </w:r>
          </w:p>
        </w:tc>
      </w:tr>
      <w:tr>
        <w:trPr>
          <w:trHeight w:val="243"/>
        </w:trPr>
        <w:tc>
          <w:tcPr>
            <w:tcW w:w="3320" w:type="dxa"/>
            <w:vAlign w:val="bottom"/>
          </w:tcPr>
          <w:p>
            <w:pPr>
              <w:ind w:left="120"/>
              <w:spacing w:after="0"/>
              <w:rPr>
                <w:sz w:val="20"/>
                <w:szCs w:val="20"/>
                <w:color w:val="auto"/>
              </w:rPr>
            </w:pPr>
            <w:r>
              <w:rPr>
                <w:rFonts w:ascii="Arial" w:cs="Arial" w:eastAsia="Arial" w:hAnsi="Arial"/>
                <w:sz w:val="16"/>
                <w:szCs w:val="16"/>
                <w:color w:val="auto"/>
              </w:rPr>
              <w:t>SCT Total Compensation</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 ​​$6,151,987</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 ​​$8,129,900 ​ ​​$</w:t>
            </w:r>
          </w:p>
        </w:tc>
        <w:tc>
          <w:tcPr>
            <w:tcW w:w="800" w:type="dxa"/>
            <w:vAlign w:val="bottom"/>
          </w:tcPr>
          <w:p>
            <w:pPr>
              <w:jc w:val="right"/>
              <w:spacing w:after="0"/>
              <w:rPr>
                <w:sz w:val="20"/>
                <w:szCs w:val="20"/>
                <w:color w:val="auto"/>
              </w:rPr>
            </w:pPr>
            <w:r>
              <w:rPr>
                <w:rFonts w:ascii="Arial" w:cs="Arial" w:eastAsia="Arial" w:hAnsi="Arial"/>
                <w:sz w:val="16"/>
                <w:szCs w:val="16"/>
                <w:color w:val="auto"/>
              </w:rPr>
              <w:t>9,716,827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 ​​$ 8,775,978 ​</w:t>
            </w:r>
          </w:p>
        </w:tc>
        <w:tc>
          <w:tcPr>
            <w:tcW w:w="1000" w:type="dxa"/>
            <w:vAlign w:val="bottom"/>
            <w:gridSpan w:val="2"/>
          </w:tcPr>
          <w:p>
            <w:pPr>
              <w:jc w:val="right"/>
              <w:ind w:right="22"/>
              <w:spacing w:after="0"/>
              <w:rPr>
                <w:sz w:val="20"/>
                <w:szCs w:val="20"/>
                <w:color w:val="auto"/>
              </w:rPr>
            </w:pPr>
            <w:r>
              <w:rPr>
                <w:rFonts w:ascii="Arial" w:cs="Arial" w:eastAsia="Arial" w:hAnsi="Arial"/>
                <w:sz w:val="16"/>
                <w:szCs w:val="16"/>
                <w:color w:val="auto"/>
              </w:rPr>
              <w:t>​$9,894,132</w:t>
            </w:r>
          </w:p>
        </w:tc>
      </w:tr>
      <w:tr>
        <w:trPr>
          <w:trHeight w:val="215"/>
        </w:trPr>
        <w:tc>
          <w:tcPr>
            <w:tcW w:w="3320" w:type="dxa"/>
            <w:vAlign w:val="bottom"/>
            <w:shd w:val="clear" w:color="auto" w:fill="CBECD5"/>
          </w:tcPr>
          <w:p>
            <w:pPr>
              <w:ind w:left="480"/>
              <w:spacing w:after="0"/>
              <w:rPr>
                <w:sz w:val="20"/>
                <w:szCs w:val="20"/>
                <w:color w:val="auto"/>
              </w:rPr>
            </w:pPr>
            <w:r>
              <w:rPr>
                <w:rFonts w:ascii="Arial" w:cs="Arial" w:eastAsia="Arial" w:hAnsi="Arial"/>
                <w:sz w:val="16"/>
                <w:szCs w:val="16"/>
                <w:color w:val="auto"/>
              </w:rPr>
              <w:t>Minus: Grant-date fair value of awards</w:t>
            </w:r>
          </w:p>
        </w:tc>
        <w:tc>
          <w:tcPr>
            <w:tcW w:w="400" w:type="dxa"/>
            <w:vAlign w:val="bottom"/>
            <w:shd w:val="clear" w:color="auto" w:fill="CBECD5"/>
          </w:tcPr>
          <w:p>
            <w:pPr>
              <w:spacing w:after="0"/>
              <w:rPr>
                <w:sz w:val="18"/>
                <w:szCs w:val="18"/>
                <w:color w:val="auto"/>
              </w:rPr>
            </w:pPr>
          </w:p>
        </w:tc>
        <w:tc>
          <w:tcPr>
            <w:tcW w:w="680" w:type="dxa"/>
            <w:vAlign w:val="bottom"/>
            <w:shd w:val="clear" w:color="auto" w:fill="CBECD5"/>
          </w:tcPr>
          <w:p>
            <w:pPr>
              <w:spacing w:after="0"/>
              <w:rPr>
                <w:sz w:val="18"/>
                <w:szCs w:val="18"/>
                <w:color w:val="auto"/>
              </w:rPr>
            </w:pPr>
          </w:p>
        </w:tc>
        <w:tc>
          <w:tcPr>
            <w:tcW w:w="1040" w:type="dxa"/>
            <w:vAlign w:val="bottom"/>
            <w:shd w:val="clear" w:color="auto" w:fill="CBECD5"/>
          </w:tcPr>
          <w:p>
            <w:pPr>
              <w:spacing w:after="0"/>
              <w:rPr>
                <w:sz w:val="18"/>
                <w:szCs w:val="18"/>
                <w:color w:val="auto"/>
              </w:rPr>
            </w:pPr>
          </w:p>
        </w:tc>
        <w:tc>
          <w:tcPr>
            <w:tcW w:w="320" w:type="dxa"/>
            <w:vAlign w:val="bottom"/>
            <w:shd w:val="clear" w:color="auto" w:fill="CBECD5"/>
          </w:tcPr>
          <w:p>
            <w:pPr>
              <w:spacing w:after="0"/>
              <w:rPr>
                <w:sz w:val="18"/>
                <w:szCs w:val="18"/>
                <w:color w:val="auto"/>
              </w:rPr>
            </w:pPr>
          </w:p>
        </w:tc>
        <w:tc>
          <w:tcPr>
            <w:tcW w:w="800" w:type="dxa"/>
            <w:vAlign w:val="bottom"/>
            <w:shd w:val="clear" w:color="auto" w:fill="CBECD5"/>
          </w:tcPr>
          <w:p>
            <w:pPr>
              <w:spacing w:after="0"/>
              <w:rPr>
                <w:sz w:val="18"/>
                <w:szCs w:val="18"/>
                <w:color w:val="auto"/>
              </w:rPr>
            </w:pPr>
          </w:p>
        </w:tc>
        <w:tc>
          <w:tcPr>
            <w:tcW w:w="1080" w:type="dxa"/>
            <w:vAlign w:val="bottom"/>
            <w:shd w:val="clear" w:color="auto" w:fill="CBECD5"/>
          </w:tcPr>
          <w:p>
            <w:pPr>
              <w:spacing w:after="0"/>
              <w:rPr>
                <w:sz w:val="18"/>
                <w:szCs w:val="18"/>
                <w:color w:val="auto"/>
              </w:rPr>
            </w:pPr>
          </w:p>
        </w:tc>
        <w:tc>
          <w:tcPr>
            <w:tcW w:w="120" w:type="dxa"/>
            <w:vAlign w:val="bottom"/>
            <w:shd w:val="clear" w:color="auto" w:fill="CBECD5"/>
          </w:tcPr>
          <w:p>
            <w:pPr>
              <w:spacing w:after="0"/>
              <w:rPr>
                <w:sz w:val="18"/>
                <w:szCs w:val="18"/>
                <w:color w:val="auto"/>
              </w:rPr>
            </w:pPr>
          </w:p>
        </w:tc>
        <w:tc>
          <w:tcPr>
            <w:tcW w:w="240" w:type="dxa"/>
            <w:vAlign w:val="bottom"/>
            <w:shd w:val="clear" w:color="auto" w:fill="CBECD5"/>
          </w:tcPr>
          <w:p>
            <w:pPr>
              <w:spacing w:after="0"/>
              <w:rPr>
                <w:sz w:val="18"/>
                <w:szCs w:val="18"/>
                <w:color w:val="auto"/>
              </w:rPr>
            </w:pPr>
          </w:p>
        </w:tc>
        <w:tc>
          <w:tcPr>
            <w:tcW w:w="760" w:type="dxa"/>
            <w:vAlign w:val="bottom"/>
            <w:shd w:val="clear" w:color="auto" w:fill="CBECD5"/>
          </w:tcPr>
          <w:p>
            <w:pPr>
              <w:spacing w:after="0"/>
              <w:rPr>
                <w:sz w:val="18"/>
                <w:szCs w:val="18"/>
                <w:color w:val="auto"/>
              </w:rPr>
            </w:pPr>
          </w:p>
        </w:tc>
      </w:tr>
      <w:tr>
        <w:trPr>
          <w:trHeight w:val="230"/>
        </w:trPr>
        <w:tc>
          <w:tcPr>
            <w:tcW w:w="3320" w:type="dxa"/>
            <w:vAlign w:val="bottom"/>
            <w:shd w:val="clear" w:color="auto" w:fill="CBECD5"/>
          </w:tcPr>
          <w:p>
            <w:pPr>
              <w:ind w:left="480"/>
              <w:spacing w:after="0"/>
              <w:rPr>
                <w:sz w:val="20"/>
                <w:szCs w:val="20"/>
                <w:color w:val="auto"/>
              </w:rPr>
            </w:pPr>
            <w:r>
              <w:rPr>
                <w:rFonts w:ascii="Arial" w:cs="Arial" w:eastAsia="Arial" w:hAnsi="Arial"/>
                <w:sz w:val="16"/>
                <w:szCs w:val="16"/>
                <w:color w:val="auto"/>
              </w:rPr>
              <w:t>reported in the SCT</w:t>
            </w:r>
          </w:p>
        </w:tc>
        <w:tc>
          <w:tcPr>
            <w:tcW w:w="1080" w:type="dxa"/>
            <w:vAlign w:val="bottom"/>
            <w:gridSpan w:val="2"/>
            <w:shd w:val="clear" w:color="auto" w:fill="CBECD5"/>
          </w:tcPr>
          <w:p>
            <w:pPr>
              <w:jc w:val="right"/>
              <w:spacing w:after="0"/>
              <w:rPr>
                <w:sz w:val="20"/>
                <w:szCs w:val="20"/>
                <w:color w:val="auto"/>
              </w:rPr>
            </w:pPr>
            <w:r>
              <w:rPr>
                <w:rFonts w:ascii="Arial" w:cs="Arial" w:eastAsia="Arial" w:hAnsi="Arial"/>
                <w:sz w:val="16"/>
                <w:szCs w:val="16"/>
                <w:color w:val="auto"/>
              </w:rPr>
              <w:t>​ ​​$2,858,059</w:t>
            </w:r>
          </w:p>
        </w:tc>
        <w:tc>
          <w:tcPr>
            <w:tcW w:w="1360" w:type="dxa"/>
            <w:vAlign w:val="bottom"/>
            <w:gridSpan w:val="2"/>
            <w:shd w:val="clear" w:color="auto" w:fill="CBECD5"/>
          </w:tcPr>
          <w:p>
            <w:pPr>
              <w:jc w:val="right"/>
              <w:spacing w:after="0"/>
              <w:rPr>
                <w:sz w:val="20"/>
                <w:szCs w:val="20"/>
                <w:color w:val="auto"/>
              </w:rPr>
            </w:pPr>
            <w:r>
              <w:rPr>
                <w:rFonts w:ascii="Arial" w:cs="Arial" w:eastAsia="Arial" w:hAnsi="Arial"/>
                <w:sz w:val="16"/>
                <w:szCs w:val="16"/>
                <w:color w:val="auto"/>
              </w:rPr>
              <w:t>​ ​​$4,216,444 ​ ​​$</w:t>
            </w:r>
          </w:p>
        </w:tc>
        <w:tc>
          <w:tcPr>
            <w:tcW w:w="800" w:type="dxa"/>
            <w:vAlign w:val="bottom"/>
            <w:shd w:val="clear" w:color="auto" w:fill="CBECD5"/>
          </w:tcPr>
          <w:p>
            <w:pPr>
              <w:jc w:val="right"/>
              <w:spacing w:after="0"/>
              <w:rPr>
                <w:sz w:val="20"/>
                <w:szCs w:val="20"/>
                <w:color w:val="auto"/>
              </w:rPr>
            </w:pPr>
            <w:r>
              <w:rPr>
                <w:rFonts w:ascii="Arial" w:cs="Arial" w:eastAsia="Arial" w:hAnsi="Arial"/>
                <w:sz w:val="16"/>
                <w:szCs w:val="16"/>
                <w:color w:val="auto"/>
              </w:rPr>
              <w:t>6,078,268</w:t>
            </w:r>
          </w:p>
        </w:tc>
        <w:tc>
          <w:tcPr>
            <w:tcW w:w="10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 ​​$ 6,572,830</w:t>
            </w:r>
          </w:p>
        </w:tc>
        <w:tc>
          <w:tcPr>
            <w:tcW w:w="120" w:type="dxa"/>
            <w:vAlign w:val="bottom"/>
            <w:shd w:val="clear" w:color="auto" w:fill="CBECD5"/>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BECD5"/>
          </w:tcPr>
          <w:p>
            <w:pPr>
              <w:jc w:val="right"/>
              <w:ind w:right="22"/>
              <w:spacing w:after="0"/>
              <w:rPr>
                <w:sz w:val="20"/>
                <w:szCs w:val="20"/>
                <w:color w:val="auto"/>
              </w:rPr>
            </w:pPr>
            <w:r>
              <w:rPr>
                <w:rFonts w:ascii="Arial" w:cs="Arial" w:eastAsia="Arial" w:hAnsi="Arial"/>
                <w:sz w:val="16"/>
                <w:szCs w:val="16"/>
                <w:color w:val="auto"/>
              </w:rPr>
              <w:t>​$7,309,157</w:t>
            </w:r>
          </w:p>
        </w:tc>
      </w:tr>
      <w:tr>
        <w:trPr>
          <w:trHeight w:val="215"/>
        </w:trPr>
        <w:tc>
          <w:tcPr>
            <w:tcW w:w="3320" w:type="dxa"/>
            <w:vAlign w:val="bottom"/>
          </w:tcPr>
          <w:p>
            <w:pPr>
              <w:ind w:left="480"/>
              <w:spacing w:after="0"/>
              <w:rPr>
                <w:sz w:val="20"/>
                <w:szCs w:val="20"/>
                <w:color w:val="auto"/>
              </w:rPr>
            </w:pPr>
            <w:r>
              <w:rPr>
                <w:rFonts w:ascii="Arial" w:cs="Arial" w:eastAsia="Arial" w:hAnsi="Arial"/>
                <w:sz w:val="16"/>
                <w:szCs w:val="16"/>
                <w:color w:val="auto"/>
              </w:rPr>
              <w:t>Plus: Vesting-date fair value of awards</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3320" w:type="dxa"/>
            <w:vAlign w:val="bottom"/>
          </w:tcPr>
          <w:p>
            <w:pPr>
              <w:ind w:left="480"/>
              <w:spacing w:after="0"/>
              <w:rPr>
                <w:sz w:val="20"/>
                <w:szCs w:val="20"/>
                <w:color w:val="auto"/>
              </w:rPr>
            </w:pPr>
            <w:r>
              <w:rPr>
                <w:rFonts w:ascii="Arial" w:cs="Arial" w:eastAsia="Arial" w:hAnsi="Arial"/>
                <w:sz w:val="16"/>
                <w:szCs w:val="16"/>
                <w:color w:val="auto"/>
              </w:rPr>
              <w:t>granted and vested in the covered year</w:t>
            </w:r>
          </w:p>
        </w:tc>
        <w:tc>
          <w:tcPr>
            <w:tcW w:w="400" w:type="dxa"/>
            <w:vAlign w:val="bottom"/>
          </w:tcPr>
          <w:p>
            <w:pPr>
              <w:ind w:left="8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508,172</w:t>
            </w:r>
          </w:p>
        </w:tc>
        <w:tc>
          <w:tcPr>
            <w:tcW w:w="1040" w:type="dxa"/>
            <w:vAlign w:val="bottom"/>
          </w:tcPr>
          <w:p>
            <w:pPr>
              <w:jc w:val="right"/>
              <w:spacing w:after="0"/>
              <w:rPr>
                <w:sz w:val="20"/>
                <w:szCs w:val="20"/>
                <w:color w:val="auto"/>
              </w:rPr>
            </w:pPr>
            <w:r>
              <w:rPr>
                <w:rFonts w:ascii="Arial" w:cs="Arial" w:eastAsia="Arial" w:hAnsi="Arial"/>
                <w:sz w:val="16"/>
                <w:szCs w:val="16"/>
                <w:color w:val="auto"/>
              </w:rPr>
              <w:t>​ ​​$  624,058</w:t>
            </w:r>
          </w:p>
        </w:tc>
        <w:tc>
          <w:tcPr>
            <w:tcW w:w="320" w:type="dxa"/>
            <w:vAlign w:val="bottom"/>
          </w:tcPr>
          <w:p>
            <w:pPr>
              <w:jc w:val="right"/>
              <w:spacing w:after="0"/>
              <w:rPr>
                <w:sz w:val="20"/>
                <w:szCs w:val="20"/>
                <w:color w:val="auto"/>
              </w:rPr>
            </w:pPr>
            <w:r>
              <w:rPr>
                <w:rFonts w:ascii="Arial" w:cs="Arial" w:eastAsia="Arial" w:hAnsi="Arial"/>
                <w:sz w:val="16"/>
                <w:szCs w:val="16"/>
                <w:color w:val="auto"/>
              </w:rPr>
              <w:t>​ ​​$</w:t>
            </w:r>
          </w:p>
        </w:tc>
        <w:tc>
          <w:tcPr>
            <w:tcW w:w="800" w:type="dxa"/>
            <w:vAlign w:val="bottom"/>
          </w:tcPr>
          <w:p>
            <w:pPr>
              <w:jc w:val="right"/>
              <w:spacing w:after="0"/>
              <w:rPr>
                <w:sz w:val="20"/>
                <w:szCs w:val="20"/>
                <w:color w:val="auto"/>
              </w:rPr>
            </w:pPr>
            <w:r>
              <w:rPr>
                <w:rFonts w:ascii="Arial" w:cs="Arial" w:eastAsia="Arial" w:hAnsi="Arial"/>
                <w:sz w:val="16"/>
                <w:szCs w:val="16"/>
                <w:color w:val="auto"/>
              </w:rPr>
              <w:t>736,281</w:t>
            </w:r>
          </w:p>
        </w:tc>
        <w:tc>
          <w:tcPr>
            <w:tcW w:w="1080" w:type="dxa"/>
            <w:vAlign w:val="bottom"/>
          </w:tcPr>
          <w:p>
            <w:pPr>
              <w:jc w:val="right"/>
              <w:spacing w:after="0"/>
              <w:rPr>
                <w:sz w:val="20"/>
                <w:szCs w:val="20"/>
                <w:color w:val="auto"/>
              </w:rPr>
            </w:pPr>
            <w:r>
              <w:rPr>
                <w:rFonts w:ascii="Arial" w:cs="Arial" w:eastAsia="Arial" w:hAnsi="Arial"/>
                <w:sz w:val="16"/>
                <w:szCs w:val="16"/>
                <w:color w:val="auto"/>
              </w:rPr>
              <w:t>​ ​​$   857,801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914,206</w:t>
            </w:r>
          </w:p>
        </w:tc>
      </w:tr>
      <w:tr>
        <w:trPr>
          <w:trHeight w:val="215"/>
        </w:trPr>
        <w:tc>
          <w:tcPr>
            <w:tcW w:w="3320" w:type="dxa"/>
            <w:vAlign w:val="bottom"/>
            <w:shd w:val="clear" w:color="auto" w:fill="CBECD5"/>
          </w:tcPr>
          <w:p>
            <w:pPr>
              <w:ind w:left="480"/>
              <w:spacing w:after="0"/>
              <w:rPr>
                <w:sz w:val="20"/>
                <w:szCs w:val="20"/>
                <w:color w:val="auto"/>
              </w:rPr>
            </w:pPr>
            <w:r>
              <w:rPr>
                <w:rFonts w:ascii="Arial" w:cs="Arial" w:eastAsia="Arial" w:hAnsi="Arial"/>
                <w:sz w:val="16"/>
                <w:szCs w:val="16"/>
                <w:color w:val="auto"/>
              </w:rPr>
              <w:t>Plus: Year-end fair value of awards</w:t>
            </w:r>
          </w:p>
        </w:tc>
        <w:tc>
          <w:tcPr>
            <w:tcW w:w="400" w:type="dxa"/>
            <w:vAlign w:val="bottom"/>
            <w:shd w:val="clear" w:color="auto" w:fill="CBECD5"/>
          </w:tcPr>
          <w:p>
            <w:pPr>
              <w:spacing w:after="0"/>
              <w:rPr>
                <w:sz w:val="18"/>
                <w:szCs w:val="18"/>
                <w:color w:val="auto"/>
              </w:rPr>
            </w:pPr>
          </w:p>
        </w:tc>
        <w:tc>
          <w:tcPr>
            <w:tcW w:w="680" w:type="dxa"/>
            <w:vAlign w:val="bottom"/>
            <w:shd w:val="clear" w:color="auto" w:fill="CBECD5"/>
          </w:tcPr>
          <w:p>
            <w:pPr>
              <w:spacing w:after="0"/>
              <w:rPr>
                <w:sz w:val="18"/>
                <w:szCs w:val="18"/>
                <w:color w:val="auto"/>
              </w:rPr>
            </w:pPr>
          </w:p>
        </w:tc>
        <w:tc>
          <w:tcPr>
            <w:tcW w:w="1040" w:type="dxa"/>
            <w:vAlign w:val="bottom"/>
            <w:shd w:val="clear" w:color="auto" w:fill="CBECD5"/>
          </w:tcPr>
          <w:p>
            <w:pPr>
              <w:spacing w:after="0"/>
              <w:rPr>
                <w:sz w:val="18"/>
                <w:szCs w:val="18"/>
                <w:color w:val="auto"/>
              </w:rPr>
            </w:pPr>
          </w:p>
        </w:tc>
        <w:tc>
          <w:tcPr>
            <w:tcW w:w="320" w:type="dxa"/>
            <w:vAlign w:val="bottom"/>
            <w:shd w:val="clear" w:color="auto" w:fill="CBECD5"/>
          </w:tcPr>
          <w:p>
            <w:pPr>
              <w:spacing w:after="0"/>
              <w:rPr>
                <w:sz w:val="18"/>
                <w:szCs w:val="18"/>
                <w:color w:val="auto"/>
              </w:rPr>
            </w:pPr>
          </w:p>
        </w:tc>
        <w:tc>
          <w:tcPr>
            <w:tcW w:w="800" w:type="dxa"/>
            <w:vAlign w:val="bottom"/>
            <w:shd w:val="clear" w:color="auto" w:fill="CBECD5"/>
          </w:tcPr>
          <w:p>
            <w:pPr>
              <w:spacing w:after="0"/>
              <w:rPr>
                <w:sz w:val="18"/>
                <w:szCs w:val="18"/>
                <w:color w:val="auto"/>
              </w:rPr>
            </w:pPr>
          </w:p>
        </w:tc>
        <w:tc>
          <w:tcPr>
            <w:tcW w:w="1080" w:type="dxa"/>
            <w:vAlign w:val="bottom"/>
            <w:shd w:val="clear" w:color="auto" w:fill="CBECD5"/>
          </w:tcPr>
          <w:p>
            <w:pPr>
              <w:spacing w:after="0"/>
              <w:rPr>
                <w:sz w:val="18"/>
                <w:szCs w:val="18"/>
                <w:color w:val="auto"/>
              </w:rPr>
            </w:pPr>
          </w:p>
        </w:tc>
        <w:tc>
          <w:tcPr>
            <w:tcW w:w="120" w:type="dxa"/>
            <w:vAlign w:val="bottom"/>
            <w:shd w:val="clear" w:color="auto" w:fill="CBECD5"/>
          </w:tcPr>
          <w:p>
            <w:pPr>
              <w:spacing w:after="0"/>
              <w:rPr>
                <w:sz w:val="18"/>
                <w:szCs w:val="18"/>
                <w:color w:val="auto"/>
              </w:rPr>
            </w:pPr>
          </w:p>
        </w:tc>
        <w:tc>
          <w:tcPr>
            <w:tcW w:w="240" w:type="dxa"/>
            <w:vAlign w:val="bottom"/>
            <w:shd w:val="clear" w:color="auto" w:fill="CBECD5"/>
          </w:tcPr>
          <w:p>
            <w:pPr>
              <w:spacing w:after="0"/>
              <w:rPr>
                <w:sz w:val="18"/>
                <w:szCs w:val="18"/>
                <w:color w:val="auto"/>
              </w:rPr>
            </w:pPr>
          </w:p>
        </w:tc>
        <w:tc>
          <w:tcPr>
            <w:tcW w:w="760" w:type="dxa"/>
            <w:vAlign w:val="bottom"/>
            <w:shd w:val="clear" w:color="auto" w:fill="CBECD5"/>
          </w:tcPr>
          <w:p>
            <w:pPr>
              <w:spacing w:after="0"/>
              <w:rPr>
                <w:sz w:val="18"/>
                <w:szCs w:val="18"/>
                <w:color w:val="auto"/>
              </w:rPr>
            </w:pPr>
          </w:p>
        </w:tc>
      </w:tr>
      <w:tr>
        <w:trPr>
          <w:trHeight w:val="203"/>
        </w:trPr>
        <w:tc>
          <w:tcPr>
            <w:tcW w:w="3320" w:type="dxa"/>
            <w:vAlign w:val="bottom"/>
            <w:shd w:val="clear" w:color="auto" w:fill="CBECD5"/>
          </w:tcPr>
          <w:p>
            <w:pPr>
              <w:ind w:left="480"/>
              <w:spacing w:after="0"/>
              <w:rPr>
                <w:sz w:val="20"/>
                <w:szCs w:val="20"/>
                <w:color w:val="auto"/>
              </w:rPr>
            </w:pPr>
            <w:r>
              <w:rPr>
                <w:rFonts w:ascii="Arial" w:cs="Arial" w:eastAsia="Arial" w:hAnsi="Arial"/>
                <w:sz w:val="16"/>
                <w:szCs w:val="16"/>
                <w:color w:val="auto"/>
              </w:rPr>
              <w:t>granted but remain unvested in the</w:t>
            </w:r>
          </w:p>
        </w:tc>
        <w:tc>
          <w:tcPr>
            <w:tcW w:w="400" w:type="dxa"/>
            <w:vAlign w:val="bottom"/>
            <w:shd w:val="clear" w:color="auto" w:fill="CBECD5"/>
          </w:tcPr>
          <w:p>
            <w:pPr>
              <w:spacing w:after="0"/>
              <w:rPr>
                <w:sz w:val="17"/>
                <w:szCs w:val="17"/>
                <w:color w:val="auto"/>
              </w:rPr>
            </w:pPr>
          </w:p>
        </w:tc>
        <w:tc>
          <w:tcPr>
            <w:tcW w:w="680" w:type="dxa"/>
            <w:vAlign w:val="bottom"/>
            <w:shd w:val="clear" w:color="auto" w:fill="CBECD5"/>
          </w:tcPr>
          <w:p>
            <w:pPr>
              <w:spacing w:after="0"/>
              <w:rPr>
                <w:sz w:val="17"/>
                <w:szCs w:val="17"/>
                <w:color w:val="auto"/>
              </w:rPr>
            </w:pPr>
          </w:p>
        </w:tc>
        <w:tc>
          <w:tcPr>
            <w:tcW w:w="1040" w:type="dxa"/>
            <w:vAlign w:val="bottom"/>
            <w:shd w:val="clear" w:color="auto" w:fill="CBECD5"/>
          </w:tcPr>
          <w:p>
            <w:pPr>
              <w:spacing w:after="0"/>
              <w:rPr>
                <w:sz w:val="17"/>
                <w:szCs w:val="17"/>
                <w:color w:val="auto"/>
              </w:rPr>
            </w:pPr>
          </w:p>
        </w:tc>
        <w:tc>
          <w:tcPr>
            <w:tcW w:w="320" w:type="dxa"/>
            <w:vAlign w:val="bottom"/>
            <w:shd w:val="clear" w:color="auto" w:fill="CBECD5"/>
          </w:tcPr>
          <w:p>
            <w:pPr>
              <w:spacing w:after="0"/>
              <w:rPr>
                <w:sz w:val="17"/>
                <w:szCs w:val="17"/>
                <w:color w:val="auto"/>
              </w:rPr>
            </w:pPr>
          </w:p>
        </w:tc>
        <w:tc>
          <w:tcPr>
            <w:tcW w:w="800" w:type="dxa"/>
            <w:vAlign w:val="bottom"/>
            <w:shd w:val="clear" w:color="auto" w:fill="CBECD5"/>
          </w:tcPr>
          <w:p>
            <w:pPr>
              <w:spacing w:after="0"/>
              <w:rPr>
                <w:sz w:val="17"/>
                <w:szCs w:val="17"/>
                <w:color w:val="auto"/>
              </w:rPr>
            </w:pPr>
          </w:p>
        </w:tc>
        <w:tc>
          <w:tcPr>
            <w:tcW w:w="1080" w:type="dxa"/>
            <w:vAlign w:val="bottom"/>
            <w:shd w:val="clear" w:color="auto" w:fill="CBECD5"/>
          </w:tcPr>
          <w:p>
            <w:pPr>
              <w:spacing w:after="0"/>
              <w:rPr>
                <w:sz w:val="17"/>
                <w:szCs w:val="17"/>
                <w:color w:val="auto"/>
              </w:rPr>
            </w:pPr>
          </w:p>
        </w:tc>
        <w:tc>
          <w:tcPr>
            <w:tcW w:w="120" w:type="dxa"/>
            <w:vAlign w:val="bottom"/>
            <w:shd w:val="clear" w:color="auto" w:fill="CBECD5"/>
          </w:tcPr>
          <w:p>
            <w:pPr>
              <w:spacing w:after="0"/>
              <w:rPr>
                <w:sz w:val="17"/>
                <w:szCs w:val="17"/>
                <w:color w:val="auto"/>
              </w:rPr>
            </w:pPr>
          </w:p>
        </w:tc>
        <w:tc>
          <w:tcPr>
            <w:tcW w:w="240" w:type="dxa"/>
            <w:vAlign w:val="bottom"/>
            <w:shd w:val="clear" w:color="auto" w:fill="CBECD5"/>
          </w:tcPr>
          <w:p>
            <w:pPr>
              <w:spacing w:after="0"/>
              <w:rPr>
                <w:sz w:val="17"/>
                <w:szCs w:val="17"/>
                <w:color w:val="auto"/>
              </w:rPr>
            </w:pPr>
          </w:p>
        </w:tc>
        <w:tc>
          <w:tcPr>
            <w:tcW w:w="760" w:type="dxa"/>
            <w:vAlign w:val="bottom"/>
            <w:shd w:val="clear" w:color="auto" w:fill="CBECD5"/>
          </w:tcPr>
          <w:p>
            <w:pPr>
              <w:spacing w:after="0"/>
              <w:rPr>
                <w:sz w:val="17"/>
                <w:szCs w:val="17"/>
                <w:color w:val="auto"/>
              </w:rPr>
            </w:pPr>
          </w:p>
        </w:tc>
      </w:tr>
      <w:tr>
        <w:trPr>
          <w:trHeight w:val="217"/>
        </w:trPr>
        <w:tc>
          <w:tcPr>
            <w:tcW w:w="3320" w:type="dxa"/>
            <w:vAlign w:val="bottom"/>
            <w:shd w:val="clear" w:color="auto" w:fill="CBECD5"/>
          </w:tcPr>
          <w:p>
            <w:pPr>
              <w:ind w:left="480"/>
              <w:spacing w:after="0"/>
              <w:rPr>
                <w:sz w:val="20"/>
                <w:szCs w:val="20"/>
                <w:color w:val="auto"/>
              </w:rPr>
            </w:pPr>
            <w:r>
              <w:rPr>
                <w:rFonts w:ascii="Arial" w:cs="Arial" w:eastAsia="Arial" w:hAnsi="Arial"/>
                <w:sz w:val="16"/>
                <w:szCs w:val="16"/>
                <w:color w:val="auto"/>
              </w:rPr>
              <w:t>covered year</w:t>
            </w:r>
          </w:p>
        </w:tc>
        <w:tc>
          <w:tcPr>
            <w:tcW w:w="1080" w:type="dxa"/>
            <w:vAlign w:val="bottom"/>
            <w:gridSpan w:val="2"/>
            <w:shd w:val="clear" w:color="auto" w:fill="CBECD5"/>
          </w:tcPr>
          <w:p>
            <w:pPr>
              <w:jc w:val="right"/>
              <w:spacing w:after="0"/>
              <w:rPr>
                <w:sz w:val="20"/>
                <w:szCs w:val="20"/>
                <w:color w:val="auto"/>
              </w:rPr>
            </w:pPr>
            <w:r>
              <w:rPr>
                <w:rFonts w:ascii="Arial" w:cs="Arial" w:eastAsia="Arial" w:hAnsi="Arial"/>
                <w:sz w:val="16"/>
                <w:szCs w:val="16"/>
                <w:color w:val="auto"/>
              </w:rPr>
              <w:t>​ ​​$4,344,273</w:t>
            </w:r>
          </w:p>
        </w:tc>
        <w:tc>
          <w:tcPr>
            <w:tcW w:w="1040" w:type="dxa"/>
            <w:vAlign w:val="bottom"/>
            <w:shd w:val="clear" w:color="auto" w:fill="CBECD5"/>
          </w:tcPr>
          <w:p>
            <w:pPr>
              <w:jc w:val="right"/>
              <w:spacing w:after="0"/>
              <w:rPr>
                <w:sz w:val="20"/>
                <w:szCs w:val="20"/>
                <w:color w:val="auto"/>
              </w:rPr>
            </w:pPr>
            <w:r>
              <w:rPr>
                <w:rFonts w:ascii="Arial" w:cs="Arial" w:eastAsia="Arial" w:hAnsi="Arial"/>
                <w:sz w:val="16"/>
                <w:szCs w:val="16"/>
                <w:color w:val="auto"/>
              </w:rPr>
              <w:t>​ ​​$4,349,379</w:t>
            </w:r>
          </w:p>
        </w:tc>
        <w:tc>
          <w:tcPr>
            <w:tcW w:w="320" w:type="dxa"/>
            <w:vAlign w:val="bottom"/>
            <w:shd w:val="clear" w:color="auto" w:fill="CBECD5"/>
          </w:tcPr>
          <w:p>
            <w:pPr>
              <w:jc w:val="right"/>
              <w:spacing w:after="0"/>
              <w:rPr>
                <w:sz w:val="20"/>
                <w:szCs w:val="20"/>
                <w:color w:val="auto"/>
              </w:rPr>
            </w:pPr>
            <w:r>
              <w:rPr>
                <w:rFonts w:ascii="Arial" w:cs="Arial" w:eastAsia="Arial" w:hAnsi="Arial"/>
                <w:sz w:val="16"/>
                <w:szCs w:val="16"/>
                <w:color w:val="auto"/>
              </w:rPr>
              <w:t>​ ​​$</w:t>
            </w:r>
          </w:p>
        </w:tc>
        <w:tc>
          <w:tcPr>
            <w:tcW w:w="800" w:type="dxa"/>
            <w:vAlign w:val="bottom"/>
            <w:shd w:val="clear" w:color="auto" w:fill="CBECD5"/>
          </w:tcPr>
          <w:p>
            <w:pPr>
              <w:jc w:val="right"/>
              <w:spacing w:after="0"/>
              <w:rPr>
                <w:sz w:val="20"/>
                <w:szCs w:val="20"/>
                <w:color w:val="auto"/>
              </w:rPr>
            </w:pPr>
            <w:r>
              <w:rPr>
                <w:rFonts w:ascii="Arial" w:cs="Arial" w:eastAsia="Arial" w:hAnsi="Arial"/>
                <w:sz w:val="16"/>
                <w:szCs w:val="16"/>
                <w:color w:val="auto"/>
              </w:rPr>
              <w:t>6,808,722</w:t>
            </w:r>
          </w:p>
        </w:tc>
        <w:tc>
          <w:tcPr>
            <w:tcW w:w="10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 ​​$ 4,405,536</w:t>
            </w:r>
          </w:p>
        </w:tc>
        <w:tc>
          <w:tcPr>
            <w:tcW w:w="120" w:type="dxa"/>
            <w:vAlign w:val="bottom"/>
            <w:shd w:val="clear" w:color="auto" w:fill="CBECD5"/>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BECD5"/>
          </w:tcPr>
          <w:p>
            <w:pPr>
              <w:jc w:val="right"/>
              <w:ind w:right="22"/>
              <w:spacing w:after="0"/>
              <w:rPr>
                <w:sz w:val="20"/>
                <w:szCs w:val="20"/>
                <w:color w:val="auto"/>
              </w:rPr>
            </w:pPr>
            <w:r>
              <w:rPr>
                <w:rFonts w:ascii="Arial" w:cs="Arial" w:eastAsia="Arial" w:hAnsi="Arial"/>
                <w:sz w:val="16"/>
                <w:szCs w:val="16"/>
                <w:color w:val="auto"/>
              </w:rPr>
              <w:t>​$ 3,115,524</w:t>
            </w:r>
          </w:p>
        </w:tc>
      </w:tr>
      <w:tr>
        <w:trPr>
          <w:trHeight w:val="215"/>
        </w:trPr>
        <w:tc>
          <w:tcPr>
            <w:tcW w:w="3320" w:type="dxa"/>
            <w:vAlign w:val="bottom"/>
          </w:tcPr>
          <w:p>
            <w:pPr>
              <w:ind w:left="480"/>
              <w:spacing w:after="0"/>
              <w:rPr>
                <w:sz w:val="20"/>
                <w:szCs w:val="20"/>
                <w:color w:val="auto"/>
              </w:rPr>
            </w:pPr>
            <w:r>
              <w:rPr>
                <w:rFonts w:ascii="Arial" w:cs="Arial" w:eastAsia="Arial" w:hAnsi="Arial"/>
                <w:sz w:val="16"/>
                <w:szCs w:val="16"/>
                <w:color w:val="auto"/>
              </w:rPr>
              <w:t>Plus/(Minus): Change in fair value of</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3"/>
        </w:trPr>
        <w:tc>
          <w:tcPr>
            <w:tcW w:w="3320" w:type="dxa"/>
            <w:vAlign w:val="bottom"/>
          </w:tcPr>
          <w:p>
            <w:pPr>
              <w:ind w:left="480"/>
              <w:spacing w:after="0"/>
              <w:rPr>
                <w:sz w:val="20"/>
                <w:szCs w:val="20"/>
                <w:color w:val="auto"/>
              </w:rPr>
            </w:pPr>
            <w:r>
              <w:rPr>
                <w:rFonts w:ascii="Arial" w:cs="Arial" w:eastAsia="Arial" w:hAnsi="Arial"/>
                <w:sz w:val="16"/>
                <w:szCs w:val="16"/>
                <w:color w:val="auto"/>
              </w:rPr>
              <w:t>awards granted in prior year(s) that</w:t>
            </w: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8"/>
        </w:trPr>
        <w:tc>
          <w:tcPr>
            <w:tcW w:w="3320" w:type="dxa"/>
            <w:vAlign w:val="bottom"/>
          </w:tcPr>
          <w:p>
            <w:pPr>
              <w:ind w:left="480"/>
              <w:spacing w:after="0"/>
              <w:rPr>
                <w:sz w:val="20"/>
                <w:szCs w:val="20"/>
                <w:color w:val="auto"/>
              </w:rPr>
            </w:pPr>
            <w:r>
              <w:rPr>
                <w:rFonts w:ascii="Arial" w:cs="Arial" w:eastAsia="Arial" w:hAnsi="Arial"/>
                <w:sz w:val="16"/>
                <w:szCs w:val="16"/>
                <w:color w:val="auto"/>
              </w:rPr>
              <w:t>vested in the covered year</w:t>
            </w:r>
          </w:p>
        </w:tc>
        <w:tc>
          <w:tcPr>
            <w:tcW w:w="400" w:type="dxa"/>
            <w:vAlign w:val="bottom"/>
          </w:tcPr>
          <w:p>
            <w:pPr>
              <w:ind w:left="8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70,402</w:t>
            </w:r>
          </w:p>
        </w:tc>
        <w:tc>
          <w:tcPr>
            <w:tcW w:w="1040" w:type="dxa"/>
            <w:vAlign w:val="bottom"/>
          </w:tcPr>
          <w:p>
            <w:pPr>
              <w:jc w:val="right"/>
              <w:spacing w:after="0"/>
              <w:rPr>
                <w:sz w:val="20"/>
                <w:szCs w:val="20"/>
                <w:color w:val="auto"/>
              </w:rPr>
            </w:pPr>
            <w:r>
              <w:rPr>
                <w:rFonts w:ascii="Arial" w:cs="Arial" w:eastAsia="Arial" w:hAnsi="Arial"/>
                <w:sz w:val="16"/>
                <w:szCs w:val="16"/>
                <w:color w:val="auto"/>
              </w:rPr>
              <w:t>​ ​​$  457,714</w:t>
            </w:r>
          </w:p>
        </w:tc>
        <w:tc>
          <w:tcPr>
            <w:tcW w:w="320" w:type="dxa"/>
            <w:vAlign w:val="bottom"/>
          </w:tcPr>
          <w:p>
            <w:pPr>
              <w:jc w:val="right"/>
              <w:spacing w:after="0"/>
              <w:rPr>
                <w:sz w:val="20"/>
                <w:szCs w:val="20"/>
                <w:color w:val="auto"/>
              </w:rPr>
            </w:pPr>
            <w:r>
              <w:rPr>
                <w:rFonts w:ascii="Arial" w:cs="Arial" w:eastAsia="Arial" w:hAnsi="Arial"/>
                <w:sz w:val="16"/>
                <w:szCs w:val="16"/>
                <w:color w:val="auto"/>
              </w:rPr>
              <w:t>​ ​​$</w:t>
            </w:r>
          </w:p>
        </w:tc>
        <w:tc>
          <w:tcPr>
            <w:tcW w:w="800" w:type="dxa"/>
            <w:vAlign w:val="bottom"/>
          </w:tcPr>
          <w:p>
            <w:pPr>
              <w:jc w:val="right"/>
              <w:spacing w:after="0"/>
              <w:rPr>
                <w:sz w:val="20"/>
                <w:szCs w:val="20"/>
                <w:color w:val="auto"/>
              </w:rPr>
            </w:pPr>
            <w:r>
              <w:rPr>
                <w:rFonts w:ascii="Arial" w:cs="Arial" w:eastAsia="Arial" w:hAnsi="Arial"/>
                <w:sz w:val="16"/>
                <w:szCs w:val="16"/>
                <w:color w:val="auto"/>
              </w:rPr>
              <w:t>164,293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 ​​$(1,912,696)​</w:t>
            </w:r>
          </w:p>
        </w:tc>
        <w:tc>
          <w:tcPr>
            <w:tcW w:w="240" w:type="dxa"/>
            <w:vAlign w:val="bottom"/>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41,321</w:t>
            </w:r>
          </w:p>
        </w:tc>
      </w:tr>
      <w:tr>
        <w:trPr>
          <w:trHeight w:val="217"/>
        </w:trPr>
        <w:tc>
          <w:tcPr>
            <w:tcW w:w="3320" w:type="dxa"/>
            <w:vAlign w:val="bottom"/>
          </w:tcPr>
          <w:p>
            <w:pPr>
              <w:ind w:left="480"/>
              <w:spacing w:after="0"/>
              <w:rPr>
                <w:sz w:val="20"/>
                <w:szCs w:val="20"/>
                <w:color w:val="auto"/>
              </w:rPr>
            </w:pPr>
            <w:r>
              <w:rPr>
                <w:rFonts w:ascii="Arial" w:cs="Arial" w:eastAsia="Arial" w:hAnsi="Arial"/>
                <w:sz w:val="16"/>
                <w:szCs w:val="16"/>
                <w:color w:val="auto"/>
              </w:rPr>
              <w:t>Plus: Change in fair value of awards</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5"/>
        </w:trPr>
        <w:tc>
          <w:tcPr>
            <w:tcW w:w="3320" w:type="dxa"/>
            <w:vAlign w:val="bottom"/>
          </w:tcPr>
          <w:p>
            <w:pPr>
              <w:ind w:left="480"/>
              <w:spacing w:after="0"/>
              <w:rPr>
                <w:sz w:val="20"/>
                <w:szCs w:val="20"/>
                <w:color w:val="auto"/>
              </w:rPr>
            </w:pPr>
            <w:r>
              <w:rPr>
                <w:rFonts w:ascii="Arial" w:cs="Arial" w:eastAsia="Arial" w:hAnsi="Arial"/>
                <w:sz w:val="16"/>
                <w:szCs w:val="16"/>
                <w:color w:val="auto"/>
              </w:rPr>
              <w:t>granted in prior year(s) that remain</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-280670</wp:posOffset>
            </wp:positionV>
            <wp:extent cx="5554980" cy="4114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554980" cy="41148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460"/>
        <w:spacing w:after="0"/>
        <w:rPr>
          <w:sz w:val="20"/>
          <w:szCs w:val="20"/>
          <w:color w:val="auto"/>
        </w:rPr>
      </w:pPr>
      <w:r>
        <w:rPr>
          <w:rFonts w:ascii="Arial" w:cs="Arial" w:eastAsia="Arial" w:hAnsi="Arial"/>
          <w:sz w:val="16"/>
          <w:szCs w:val="16"/>
          <w:color w:val="auto"/>
        </w:rPr>
        <w:t>unvested in covered year</w:t>
      </w:r>
    </w:p>
    <w:p>
      <w:pPr>
        <w:spacing w:after="0" w:line="60" w:lineRule="exact"/>
        <w:rPr>
          <w:sz w:val="20"/>
          <w:szCs w:val="20"/>
          <w:color w:val="auto"/>
        </w:rPr>
      </w:pPr>
    </w:p>
    <w:p>
      <w:pPr>
        <w:ind w:left="1460" w:right="60"/>
        <w:spacing w:after="0" w:line="286" w:lineRule="auto"/>
        <w:rPr>
          <w:sz w:val="20"/>
          <w:szCs w:val="20"/>
          <w:color w:val="auto"/>
        </w:rPr>
      </w:pPr>
      <w:r>
        <w:rPr>
          <w:rFonts w:ascii="Arial" w:cs="Arial" w:eastAsia="Arial" w:hAnsi="Arial"/>
          <w:sz w:val="16"/>
          <w:szCs w:val="16"/>
          <w:color w:val="auto"/>
        </w:rPr>
        <w:t>Minus: Fair value of awards forfeited during the covered year</w:t>
      </w:r>
    </w:p>
    <w:p>
      <w:pPr>
        <w:spacing w:after="0" w:line="21" w:lineRule="exact"/>
        <w:rPr>
          <w:sz w:val="20"/>
          <w:szCs w:val="20"/>
          <w:color w:val="auto"/>
        </w:rPr>
      </w:pPr>
    </w:p>
    <w:p>
      <w:pPr>
        <w:ind w:left="1460"/>
        <w:spacing w:after="0" w:line="280" w:lineRule="auto"/>
        <w:rPr>
          <w:sz w:val="20"/>
          <w:szCs w:val="20"/>
          <w:color w:val="auto"/>
        </w:rPr>
      </w:pPr>
      <w:r>
        <w:rPr>
          <w:rFonts w:ascii="Arial" w:cs="Arial" w:eastAsia="Arial" w:hAnsi="Arial"/>
          <w:sz w:val="15"/>
          <w:szCs w:val="15"/>
          <w:color w:val="auto"/>
        </w:rPr>
        <w:t>Minus: Aggregate change in actuarial present value of accumulated benefit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0" w:type="dxa"/>
            <w:vAlign w:val="bottom"/>
            <w:gridSpan w:val="2"/>
          </w:tcPr>
          <w:p>
            <w:pPr>
              <w:spacing w:after="0"/>
              <w:rPr>
                <w:sz w:val="20"/>
                <w:szCs w:val="20"/>
                <w:color w:val="auto"/>
              </w:rPr>
            </w:pPr>
            <w:r>
              <w:rPr>
                <w:rFonts w:ascii="Arial" w:cs="Arial" w:eastAsia="Arial" w:hAnsi="Arial"/>
                <w:sz w:val="16"/>
                <w:szCs w:val="16"/>
                <w:color w:val="auto"/>
              </w:rPr>
              <w:t>​ ​​$  363,638</w:t>
            </w:r>
          </w:p>
        </w:tc>
        <w:tc>
          <w:tcPr>
            <w:tcW w:w="360" w:type="dxa"/>
            <w:vAlign w:val="bottom"/>
          </w:tcPr>
          <w:p>
            <w:pPr>
              <w:ind w:left="4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535,110</w:t>
            </w:r>
          </w:p>
        </w:tc>
        <w:tc>
          <w:tcPr>
            <w:tcW w:w="320" w:type="dxa"/>
            <w:vAlign w:val="bottom"/>
          </w:tcPr>
          <w:p>
            <w:pPr>
              <w:ind w:left="20"/>
              <w:spacing w:after="0"/>
              <w:rPr>
                <w:sz w:val="20"/>
                <w:szCs w:val="20"/>
                <w:color w:val="auto"/>
              </w:rPr>
            </w:pPr>
            <w:r>
              <w:rPr>
                <w:rFonts w:ascii="Arial" w:cs="Arial" w:eastAsia="Arial" w:hAnsi="Arial"/>
                <w:sz w:val="16"/>
                <w:szCs w:val="16"/>
                <w:color w:val="auto"/>
              </w:rPr>
              <w:t>​ ​​$</w:t>
            </w:r>
          </w:p>
        </w:tc>
        <w:tc>
          <w:tcPr>
            <w:tcW w:w="800" w:type="dxa"/>
            <w:vAlign w:val="bottom"/>
          </w:tcPr>
          <w:p>
            <w:pPr>
              <w:jc w:val="right"/>
              <w:spacing w:after="0"/>
              <w:rPr>
                <w:sz w:val="20"/>
                <w:szCs w:val="20"/>
                <w:color w:val="auto"/>
              </w:rPr>
            </w:pPr>
            <w:r>
              <w:rPr>
                <w:rFonts w:ascii="Arial" w:cs="Arial" w:eastAsia="Arial" w:hAnsi="Arial"/>
                <w:sz w:val="16"/>
                <w:szCs w:val="16"/>
                <w:color w:val="auto"/>
              </w:rPr>
              <w:t>2,089,549</w:t>
            </w:r>
          </w:p>
        </w:tc>
        <w:tc>
          <w:tcPr>
            <w:tcW w:w="580" w:type="dxa"/>
            <w:vAlign w:val="bottom"/>
          </w:tcPr>
          <w:p>
            <w:pPr>
              <w:ind w:left="20"/>
              <w:spacing w:after="0"/>
              <w:rPr>
                <w:sz w:val="20"/>
                <w:szCs w:val="20"/>
                <w:color w:val="auto"/>
              </w:rPr>
            </w:pPr>
            <w:r>
              <w:rPr>
                <w:rFonts w:ascii="Arial" w:cs="Arial" w:eastAsia="Arial" w:hAnsi="Arial"/>
                <w:sz w:val="16"/>
                <w:szCs w:val="16"/>
                <w:color w:val="auto"/>
              </w:rPr>
              <w:t>​ ​​$</w:t>
            </w:r>
          </w:p>
        </w:tc>
        <w:tc>
          <w:tcPr>
            <w:tcW w:w="1060" w:type="dxa"/>
            <w:vAlign w:val="bottom"/>
          </w:tcPr>
          <w:p>
            <w:pPr>
              <w:ind w:left="300"/>
              <w:spacing w:after="0"/>
              <w:rPr>
                <w:sz w:val="20"/>
                <w:szCs w:val="20"/>
                <w:color w:val="auto"/>
              </w:rPr>
            </w:pPr>
            <w:r>
              <w:rPr>
                <w:rFonts w:ascii="Arial" w:cs="Arial" w:eastAsia="Arial" w:hAnsi="Arial"/>
                <w:sz w:val="16"/>
                <w:szCs w:val="16"/>
                <w:color w:val="auto"/>
              </w:rPr>
              <w:t>— ​  ​$</w:t>
            </w:r>
          </w:p>
        </w:tc>
        <w:tc>
          <w:tcPr>
            <w:tcW w:w="460" w:type="dxa"/>
            <w:vAlign w:val="bottom"/>
          </w:tcPr>
          <w:p>
            <w:pPr>
              <w:ind w:left="280"/>
              <w:spacing w:after="0"/>
              <w:rPr>
                <w:sz w:val="20"/>
                <w:szCs w:val="20"/>
                <w:color w:val="auto"/>
              </w:rPr>
            </w:pPr>
            <w:r>
              <w:rPr>
                <w:rFonts w:ascii="Arial" w:cs="Arial" w:eastAsia="Arial" w:hAnsi="Arial"/>
                <w:sz w:val="16"/>
                <w:szCs w:val="16"/>
                <w:color w:val="auto"/>
                <w:w w:val="99"/>
              </w:rPr>
              <w:t>—</w:t>
            </w:r>
          </w:p>
        </w:tc>
      </w:tr>
      <w:tr>
        <w:trPr>
          <w:trHeight w:val="459"/>
        </w:trPr>
        <w:tc>
          <w:tcPr>
            <w:tcW w:w="520" w:type="dxa"/>
            <w:vAlign w:val="bottom"/>
          </w:tcPr>
          <w:p>
            <w:pPr>
              <w:spacing w:after="0"/>
              <w:rPr>
                <w:sz w:val="20"/>
                <w:szCs w:val="20"/>
                <w:color w:val="auto"/>
              </w:rPr>
            </w:pPr>
            <w:r>
              <w:rPr>
                <w:rFonts w:ascii="Arial" w:cs="Arial" w:eastAsia="Arial" w:hAnsi="Arial"/>
                <w:sz w:val="16"/>
                <w:szCs w:val="16"/>
                <w:color w:val="auto"/>
              </w:rPr>
              <w:t>​ ​​</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 ​ ​​</w:t>
            </w:r>
          </w:p>
        </w:tc>
        <w:tc>
          <w:tcPr>
            <w:tcW w:w="1000" w:type="dxa"/>
            <w:vAlign w:val="bottom"/>
            <w:gridSpan w:val="2"/>
          </w:tcPr>
          <w:p>
            <w:pPr>
              <w:ind w:left="480"/>
              <w:spacing w:after="0"/>
              <w:rPr>
                <w:sz w:val="20"/>
                <w:szCs w:val="20"/>
                <w:color w:val="auto"/>
              </w:rPr>
            </w:pPr>
            <w:r>
              <w:rPr>
                <w:rFonts w:ascii="Arial" w:cs="Arial" w:eastAsia="Arial" w:hAnsi="Arial"/>
                <w:sz w:val="16"/>
                <w:szCs w:val="16"/>
                <w:color w:val="auto"/>
              </w:rPr>
              <w:t>— ​ ​​</w:t>
            </w:r>
          </w:p>
        </w:tc>
        <w:tc>
          <w:tcPr>
            <w:tcW w:w="1380" w:type="dxa"/>
            <w:vAlign w:val="bottom"/>
            <w:gridSpan w:val="2"/>
          </w:tcPr>
          <w:p>
            <w:pPr>
              <w:ind w:left="600"/>
              <w:spacing w:after="0"/>
              <w:rPr>
                <w:sz w:val="20"/>
                <w:szCs w:val="20"/>
                <w:color w:val="auto"/>
              </w:rPr>
            </w:pPr>
            <w:r>
              <w:rPr>
                <w:rFonts w:ascii="Arial" w:cs="Arial" w:eastAsia="Arial" w:hAnsi="Arial"/>
                <w:sz w:val="16"/>
                <w:szCs w:val="16"/>
                <w:color w:val="auto"/>
              </w:rPr>
              <w:t>— ​ ​​</w:t>
            </w:r>
          </w:p>
        </w:tc>
        <w:tc>
          <w:tcPr>
            <w:tcW w:w="1060" w:type="dxa"/>
            <w:vAlign w:val="bottom"/>
          </w:tcPr>
          <w:p>
            <w:pPr>
              <w:ind w:left="300"/>
              <w:spacing w:after="0"/>
              <w:rPr>
                <w:sz w:val="20"/>
                <w:szCs w:val="20"/>
                <w:color w:val="auto"/>
              </w:rPr>
            </w:pPr>
            <w:r>
              <w:rPr>
                <w:rFonts w:ascii="Arial" w:cs="Arial" w:eastAsia="Arial" w:hAnsi="Arial"/>
                <w:sz w:val="16"/>
                <w:szCs w:val="16"/>
                <w:color w:val="auto"/>
              </w:rPr>
              <w:t>— ​  ​</w:t>
            </w:r>
          </w:p>
        </w:tc>
        <w:tc>
          <w:tcPr>
            <w:tcW w:w="460" w:type="dxa"/>
            <w:vAlign w:val="bottom"/>
          </w:tcPr>
          <w:p>
            <w:pPr>
              <w:ind w:left="280"/>
              <w:spacing w:after="0"/>
              <w:rPr>
                <w:sz w:val="20"/>
                <w:szCs w:val="20"/>
                <w:color w:val="auto"/>
              </w:rPr>
            </w:pPr>
            <w:r>
              <w:rPr>
                <w:rFonts w:ascii="Arial" w:cs="Arial" w:eastAsia="Arial" w:hAnsi="Arial"/>
                <w:sz w:val="16"/>
                <w:szCs w:val="16"/>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-2152015</wp:posOffset>
            </wp:positionH>
            <wp:positionV relativeFrom="paragraph">
              <wp:posOffset>-6350</wp:posOffset>
            </wp:positionV>
            <wp:extent cx="5554980" cy="4114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554980" cy="411480"/>
                    </a:xfrm>
                    <a:prstGeom prst="rect">
                      <a:avLst/>
                    </a:prstGeom>
                    <a:noFill/>
                  </pic:spPr>
                </pic:pic>
              </a:graphicData>
            </a:graphic>
          </wp:anchor>
        </w:drawing>
      </w:r>
    </w:p>
    <w:p>
      <w:pPr>
        <w:spacing w:after="0" w:line="431" w:lineRule="exact"/>
        <w:rPr>
          <w:sz w:val="20"/>
          <w:szCs w:val="20"/>
          <w:color w:val="auto"/>
        </w:rPr>
      </w:pPr>
    </w:p>
    <w:p>
      <w:pPr>
        <w:sectPr>
          <w:pgSz w:w="11900" w:h="16838" w:orient="portrait"/>
          <w:cols w:equalWidth="0" w:num="2">
            <w:col w:w="4080" w:space="300"/>
            <w:col w:w="5499"/>
          </w:cols>
          <w:pgMar w:left="580" w:top="97" w:right="1440" w:bottom="1440" w:gutter="0" w:footer="0" w:header="0"/>
          <w:type w:val="continuous"/>
        </w:sectPr>
      </w:pPr>
    </w:p>
    <w:p>
      <w:pPr>
        <w:ind w:left="1460"/>
        <w:spacing w:after="0"/>
        <w:rPr>
          <w:sz w:val="20"/>
          <w:szCs w:val="20"/>
          <w:color w:val="auto"/>
        </w:rPr>
      </w:pPr>
      <w:r>
        <w:rPr>
          <w:rFonts w:ascii="Arial" w:cs="Arial" w:eastAsia="Arial" w:hAnsi="Arial"/>
          <w:sz w:val="16"/>
          <w:szCs w:val="16"/>
          <w:color w:val="auto"/>
        </w:rPr>
        <w:t>under pension plans</w:t>
      </w:r>
    </w:p>
    <w:p>
      <w:pPr>
        <w:spacing w:after="0" w:line="60" w:lineRule="exact"/>
        <w:rPr>
          <w:sz w:val="20"/>
          <w:szCs w:val="20"/>
          <w:color w:val="auto"/>
        </w:rPr>
      </w:pPr>
    </w:p>
    <w:p>
      <w:pPr>
        <w:ind w:left="1460"/>
        <w:spacing w:after="0" w:line="286" w:lineRule="auto"/>
        <w:rPr>
          <w:sz w:val="20"/>
          <w:szCs w:val="20"/>
          <w:color w:val="auto"/>
        </w:rPr>
      </w:pPr>
      <w:r>
        <w:rPr>
          <w:rFonts w:ascii="Arial" w:cs="Arial" w:eastAsia="Arial" w:hAnsi="Arial"/>
          <w:sz w:val="16"/>
          <w:szCs w:val="16"/>
          <w:color w:val="auto"/>
        </w:rPr>
        <w:t>Plus: Aggregate service costs and prior service costs for pension plans</w:t>
      </w:r>
    </w:p>
    <w:p>
      <w:pPr>
        <w:spacing w:after="0" w:line="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Compensation Actually Paid (CAP)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620" w:type="dxa"/>
            <w:vAlign w:val="bottom"/>
          </w:tcPr>
          <w:p>
            <w:pPr>
              <w:jc w:val="right"/>
              <w:spacing w:after="0"/>
              <w:rPr>
                <w:sz w:val="20"/>
                <w:szCs w:val="20"/>
                <w:color w:val="auto"/>
              </w:rPr>
            </w:pPr>
            <w:r>
              <w:rPr>
                <w:rFonts w:ascii="Arial" w:cs="Arial" w:eastAsia="Arial" w:hAnsi="Arial"/>
                <w:sz w:val="16"/>
                <w:szCs w:val="16"/>
                <w:color w:val="auto"/>
              </w:rPr>
              <w:t>23,145</w:t>
            </w:r>
          </w:p>
        </w:tc>
        <w:tc>
          <w:tcPr>
            <w:tcW w:w="400" w:type="dxa"/>
            <w:vAlign w:val="bottom"/>
          </w:tcPr>
          <w:p>
            <w:pPr>
              <w:ind w:left="40"/>
              <w:spacing w:after="0"/>
              <w:rPr>
                <w:sz w:val="20"/>
                <w:szCs w:val="20"/>
                <w:color w:val="auto"/>
              </w:rPr>
            </w:pPr>
            <w:r>
              <w:rPr>
                <w:rFonts w:ascii="Arial" w:cs="Arial" w:eastAsia="Arial" w:hAnsi="Arial"/>
                <w:sz w:val="16"/>
                <w:szCs w:val="16"/>
                <w:color w:val="auto"/>
              </w:rPr>
              <w:t>​ ​​$</w:t>
            </w:r>
          </w:p>
        </w:tc>
        <w:tc>
          <w:tcPr>
            <w:tcW w:w="640" w:type="dxa"/>
            <w:vAlign w:val="bottom"/>
          </w:tcPr>
          <w:p>
            <w:pPr>
              <w:jc w:val="right"/>
              <w:spacing w:after="0"/>
              <w:rPr>
                <w:sz w:val="20"/>
                <w:szCs w:val="20"/>
                <w:color w:val="auto"/>
              </w:rPr>
            </w:pPr>
            <w:r>
              <w:rPr>
                <w:rFonts w:ascii="Arial" w:cs="Arial" w:eastAsia="Arial" w:hAnsi="Arial"/>
                <w:sz w:val="16"/>
                <w:szCs w:val="16"/>
                <w:color w:val="auto"/>
              </w:rPr>
              <w:t>17,711</w:t>
            </w:r>
          </w:p>
        </w:tc>
        <w:tc>
          <w:tcPr>
            <w:tcW w:w="440" w:type="dxa"/>
            <w:vAlign w:val="bottom"/>
          </w:tcPr>
          <w:p>
            <w:pPr>
              <w:ind w:left="2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27,780</w:t>
            </w:r>
          </w:p>
        </w:tc>
        <w:tc>
          <w:tcPr>
            <w:tcW w:w="420" w:type="dxa"/>
            <w:vAlign w:val="bottom"/>
          </w:tcPr>
          <w:p>
            <w:pPr>
              <w:ind w:left="20"/>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34,126</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37,429</w:t>
            </w:r>
          </w:p>
        </w:tc>
      </w:tr>
      <w:tr>
        <w:trPr>
          <w:trHeight w:val="459"/>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620" w:type="dxa"/>
            <w:vAlign w:val="bottom"/>
          </w:tcPr>
          <w:p>
            <w:pPr>
              <w:jc w:val="right"/>
              <w:spacing w:after="0"/>
              <w:rPr>
                <w:sz w:val="20"/>
                <w:szCs w:val="20"/>
                <w:color w:val="auto"/>
              </w:rPr>
            </w:pPr>
            <w:r>
              <w:rPr>
                <w:rFonts w:ascii="Arial" w:cs="Arial" w:eastAsia="Arial" w:hAnsi="Arial"/>
                <w:sz w:val="16"/>
                <w:szCs w:val="16"/>
                <w:color w:val="auto"/>
              </w:rPr>
              <w:t>20,475</w:t>
            </w:r>
          </w:p>
        </w:tc>
        <w:tc>
          <w:tcPr>
            <w:tcW w:w="400" w:type="dxa"/>
            <w:vAlign w:val="bottom"/>
          </w:tcPr>
          <w:p>
            <w:pPr>
              <w:ind w:left="40"/>
              <w:spacing w:after="0"/>
              <w:rPr>
                <w:sz w:val="20"/>
                <w:szCs w:val="20"/>
                <w:color w:val="auto"/>
              </w:rPr>
            </w:pPr>
            <w:r>
              <w:rPr>
                <w:rFonts w:ascii="Arial" w:cs="Arial" w:eastAsia="Arial" w:hAnsi="Arial"/>
                <w:sz w:val="16"/>
                <w:szCs w:val="16"/>
                <w:color w:val="auto"/>
              </w:rPr>
              <w:t>​ ​​$</w:t>
            </w:r>
          </w:p>
        </w:tc>
        <w:tc>
          <w:tcPr>
            <w:tcW w:w="640" w:type="dxa"/>
            <w:vAlign w:val="bottom"/>
          </w:tcPr>
          <w:p>
            <w:pPr>
              <w:jc w:val="right"/>
              <w:spacing w:after="0"/>
              <w:rPr>
                <w:sz w:val="20"/>
                <w:szCs w:val="20"/>
                <w:color w:val="auto"/>
              </w:rPr>
            </w:pPr>
            <w:r>
              <w:rPr>
                <w:rFonts w:ascii="Arial" w:cs="Arial" w:eastAsia="Arial" w:hAnsi="Arial"/>
                <w:sz w:val="16"/>
                <w:szCs w:val="16"/>
                <w:color w:val="auto"/>
              </w:rPr>
              <w:t>21,504</w:t>
            </w:r>
          </w:p>
        </w:tc>
        <w:tc>
          <w:tcPr>
            <w:tcW w:w="440" w:type="dxa"/>
            <w:vAlign w:val="bottom"/>
          </w:tcPr>
          <w:p>
            <w:pPr>
              <w:ind w:left="2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19,347</w:t>
            </w:r>
          </w:p>
        </w:tc>
        <w:tc>
          <w:tcPr>
            <w:tcW w:w="420" w:type="dxa"/>
            <w:vAlign w:val="bottom"/>
          </w:tcPr>
          <w:p>
            <w:pPr>
              <w:ind w:left="20"/>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20,469</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22,043</w:t>
            </w:r>
          </w:p>
        </w:tc>
      </w:tr>
      <w:tr>
        <w:trPr>
          <w:trHeight w:val="406"/>
        </w:trPr>
        <w:tc>
          <w:tcPr>
            <w:tcW w:w="1000" w:type="dxa"/>
            <w:vAlign w:val="bottom"/>
            <w:gridSpan w:val="2"/>
          </w:tcPr>
          <w:p>
            <w:pPr>
              <w:jc w:val="right"/>
              <w:spacing w:after="0"/>
              <w:rPr>
                <w:sz w:val="20"/>
                <w:szCs w:val="20"/>
                <w:color w:val="auto"/>
              </w:rPr>
            </w:pPr>
            <w:r>
              <w:rPr>
                <w:rFonts w:ascii="Arial" w:cs="Arial" w:eastAsia="Arial" w:hAnsi="Arial"/>
                <w:sz w:val="32"/>
                <w:szCs w:val="32"/>
                <w:b w:val="1"/>
                <w:bCs w:val="1"/>
                <w:color w:val="auto"/>
                <w:vertAlign w:val="subscript"/>
              </w:rPr>
              <w:t>​ ​​</w:t>
            </w:r>
            <w:r>
              <w:rPr>
                <w:rFonts w:ascii="Arial" w:cs="Arial" w:eastAsia="Arial" w:hAnsi="Arial"/>
                <w:sz w:val="16"/>
                <w:szCs w:val="16"/>
                <w:b w:val="1"/>
                <w:bCs w:val="1"/>
                <w:color w:val="auto"/>
              </w:rPr>
              <w:t>$8,577,743</w:t>
            </w:r>
          </w:p>
        </w:tc>
        <w:tc>
          <w:tcPr>
            <w:tcW w:w="1040" w:type="dxa"/>
            <w:vAlign w:val="bottom"/>
            <w:gridSpan w:val="2"/>
          </w:tcPr>
          <w:p>
            <w:pPr>
              <w:jc w:val="right"/>
              <w:spacing w:after="0"/>
              <w:rPr>
                <w:sz w:val="20"/>
                <w:szCs w:val="20"/>
                <w:color w:val="auto"/>
              </w:rPr>
            </w:pPr>
            <w:r>
              <w:rPr>
                <w:rFonts w:ascii="Arial" w:cs="Arial" w:eastAsia="Arial" w:hAnsi="Arial"/>
                <w:sz w:val="32"/>
                <w:szCs w:val="32"/>
                <w:b w:val="1"/>
                <w:bCs w:val="1"/>
                <w:color w:val="auto"/>
                <w:vertAlign w:val="subscript"/>
              </w:rPr>
              <w:t>​ ​​</w:t>
            </w:r>
            <w:r>
              <w:rPr>
                <w:rFonts w:ascii="Arial" w:cs="Arial" w:eastAsia="Arial" w:hAnsi="Arial"/>
                <w:sz w:val="16"/>
                <w:szCs w:val="16"/>
                <w:b w:val="1"/>
                <w:bCs w:val="1"/>
                <w:color w:val="auto"/>
              </w:rPr>
              <w:t>$9,883,510</w:t>
            </w:r>
          </w:p>
        </w:tc>
        <w:tc>
          <w:tcPr>
            <w:tcW w:w="1120" w:type="dxa"/>
            <w:vAlign w:val="bottom"/>
            <w:gridSpan w:val="2"/>
          </w:tcPr>
          <w:p>
            <w:pPr>
              <w:jc w:val="right"/>
              <w:spacing w:after="0"/>
              <w:rPr>
                <w:sz w:val="20"/>
                <w:szCs w:val="20"/>
                <w:color w:val="auto"/>
              </w:rPr>
            </w:pPr>
            <w:r>
              <w:rPr>
                <w:rFonts w:ascii="Arial" w:cs="Arial" w:eastAsia="Arial" w:hAnsi="Arial"/>
                <w:sz w:val="32"/>
                <w:szCs w:val="32"/>
                <w:b w:val="1"/>
                <w:bCs w:val="1"/>
                <w:color w:val="auto"/>
                <w:vertAlign w:val="subscript"/>
              </w:rPr>
              <w:t>​ ​​</w:t>
            </w:r>
            <w:r>
              <w:rPr>
                <w:rFonts w:ascii="Arial" w:cs="Arial" w:eastAsia="Arial" w:hAnsi="Arial"/>
                <w:sz w:val="16"/>
                <w:szCs w:val="16"/>
                <w:b w:val="1"/>
                <w:bCs w:val="1"/>
                <w:color w:val="auto"/>
              </w:rPr>
              <w:t>$13,428,971</w:t>
            </w:r>
          </w:p>
        </w:tc>
        <w:tc>
          <w:tcPr>
            <w:tcW w:w="1080" w:type="dxa"/>
            <w:vAlign w:val="bottom"/>
            <w:gridSpan w:val="2"/>
          </w:tcPr>
          <w:p>
            <w:pPr>
              <w:jc w:val="right"/>
              <w:spacing w:after="0"/>
              <w:rPr>
                <w:sz w:val="20"/>
                <w:szCs w:val="20"/>
                <w:color w:val="auto"/>
              </w:rPr>
            </w:pPr>
            <w:r>
              <w:rPr>
                <w:rFonts w:ascii="Arial" w:cs="Arial" w:eastAsia="Arial" w:hAnsi="Arial"/>
                <w:sz w:val="32"/>
                <w:szCs w:val="32"/>
                <w:b w:val="1"/>
                <w:bCs w:val="1"/>
                <w:color w:val="auto"/>
                <w:vertAlign w:val="subscript"/>
              </w:rPr>
              <w:t>​ ​​</w:t>
            </w:r>
            <w:r>
              <w:rPr>
                <w:rFonts w:ascii="Arial" w:cs="Arial" w:eastAsia="Arial" w:hAnsi="Arial"/>
                <w:sz w:val="16"/>
                <w:szCs w:val="16"/>
                <w:b w:val="1"/>
                <w:bCs w:val="1"/>
                <w:color w:val="auto"/>
              </w:rPr>
              <w:t>$ 5,540,132</w:t>
            </w: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$6,640,640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-2152015</wp:posOffset>
            </wp:positionH>
            <wp:positionV relativeFrom="paragraph">
              <wp:posOffset>-264795</wp:posOffset>
            </wp:positionV>
            <wp:extent cx="5554980" cy="1974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54980" cy="1974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220" w:space="160"/>
            <w:col w:w="5499"/>
          </w:cols>
          <w:pgMar w:left="580" w:top="97" w:right="1440" w:bottom="1440" w:gutter="0" w:footer="0" w:header="0"/>
          <w:type w:val="continuous"/>
        </w:sectPr>
      </w:pPr>
    </w:p>
    <w:p>
      <w:pPr>
        <w:ind w:left="1000" w:right="239"/>
        <w:spacing w:after="0" w:line="266" w:lineRule="auto"/>
        <w:rPr>
          <w:sz w:val="20"/>
          <w:szCs w:val="20"/>
          <w:color w:val="auto"/>
        </w:rPr>
      </w:pPr>
      <w:r>
        <w:rPr>
          <w:rFonts w:ascii="Arial" w:cs="Arial" w:eastAsia="Arial" w:hAnsi="Arial"/>
          <w:sz w:val="18"/>
          <w:szCs w:val="18"/>
          <w:color w:val="auto"/>
        </w:rPr>
        <w:t>William J. Amelio, who ceased to be the Chief Executive Officer on July 31, 2020, is the Former PEO for Fiscal 2021.</w:t>
      </w:r>
    </w:p>
    <w:p>
      <w:pPr>
        <w:spacing w:after="0" w:line="9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 calculate CAP for Mr. Amelio for Fiscal 2021, the following amounts were deducted from and added to the</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Total Compensation reported in the SCT:</w:t>
      </w:r>
    </w:p>
    <w:p>
      <w:pPr>
        <w:spacing w:after="0" w:line="199"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752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Year</w:t>
            </w:r>
          </w:p>
        </w:tc>
        <w:tc>
          <w:tcPr>
            <w:tcW w:w="480" w:type="dxa"/>
            <w:vAlign w:val="bottom"/>
            <w:shd w:val="clear" w:color="auto" w:fill="53C072"/>
          </w:tcPr>
          <w:p>
            <w:pPr>
              <w:spacing w:after="0"/>
              <w:rPr>
                <w:sz w:val="19"/>
                <w:szCs w:val="19"/>
                <w:color w:val="auto"/>
              </w:rPr>
            </w:pPr>
          </w:p>
        </w:tc>
        <w:tc>
          <w:tcPr>
            <w:tcW w:w="760" w:type="dxa"/>
            <w:vAlign w:val="bottom"/>
            <w:shd w:val="clear" w:color="auto" w:fill="53C072"/>
          </w:tcPr>
          <w:p>
            <w:pPr>
              <w:jc w:val="right"/>
              <w:ind w:right="41"/>
              <w:spacing w:after="0"/>
              <w:rPr>
                <w:sz w:val="20"/>
                <w:szCs w:val="20"/>
                <w:color w:val="auto"/>
              </w:rPr>
            </w:pPr>
            <w:r>
              <w:rPr>
                <w:rFonts w:ascii="Arial" w:cs="Arial" w:eastAsia="Arial" w:hAnsi="Arial"/>
                <w:sz w:val="14"/>
                <w:szCs w:val="14"/>
                <w:b w:val="1"/>
                <w:bCs w:val="1"/>
                <w:color w:val="FEFEFE"/>
              </w:rPr>
              <w:t>2021</w:t>
            </w:r>
          </w:p>
        </w:tc>
      </w:tr>
      <w:tr>
        <w:trPr>
          <w:trHeight w:val="243"/>
        </w:trPr>
        <w:tc>
          <w:tcPr>
            <w:tcW w:w="7520" w:type="dxa"/>
            <w:vAlign w:val="bottom"/>
          </w:tcPr>
          <w:p>
            <w:pPr>
              <w:ind w:left="120"/>
              <w:spacing w:after="0"/>
              <w:rPr>
                <w:sz w:val="20"/>
                <w:szCs w:val="20"/>
                <w:color w:val="auto"/>
              </w:rPr>
            </w:pPr>
            <w:r>
              <w:rPr>
                <w:rFonts w:ascii="Arial" w:cs="Arial" w:eastAsia="Arial" w:hAnsi="Arial"/>
                <w:sz w:val="16"/>
                <w:szCs w:val="16"/>
                <w:color w:val="auto"/>
              </w:rPr>
              <w:t>SCT Total Compensation</w:t>
            </w:r>
          </w:p>
        </w:tc>
        <w:tc>
          <w:tcPr>
            <w:tcW w:w="1240" w:type="dxa"/>
            <w:vAlign w:val="bottom"/>
            <w:gridSpan w:val="2"/>
          </w:tcPr>
          <w:p>
            <w:pPr>
              <w:jc w:val="right"/>
              <w:ind w:right="21"/>
              <w:spacing w:after="0"/>
              <w:rPr>
                <w:sz w:val="20"/>
                <w:szCs w:val="20"/>
                <w:color w:val="auto"/>
              </w:rPr>
            </w:pPr>
            <w:r>
              <w:rPr>
                <w:rFonts w:ascii="Arial" w:cs="Arial" w:eastAsia="Arial" w:hAnsi="Arial"/>
                <w:sz w:val="16"/>
                <w:szCs w:val="16"/>
                <w:color w:val="auto"/>
              </w:rPr>
              <w:t>​$2,910,076</w:t>
            </w:r>
          </w:p>
        </w:tc>
      </w:tr>
      <w:tr>
        <w:trPr>
          <w:trHeight w:val="243"/>
        </w:trPr>
        <w:tc>
          <w:tcPr>
            <w:tcW w:w="7520" w:type="dxa"/>
            <w:vAlign w:val="bottom"/>
            <w:shd w:val="clear" w:color="auto" w:fill="CBECD5"/>
          </w:tcPr>
          <w:p>
            <w:pPr>
              <w:ind w:left="480"/>
              <w:spacing w:after="0"/>
              <w:rPr>
                <w:sz w:val="20"/>
                <w:szCs w:val="20"/>
                <w:color w:val="auto"/>
              </w:rPr>
            </w:pPr>
            <w:r>
              <w:rPr>
                <w:rFonts w:ascii="Arial" w:cs="Arial" w:eastAsia="Arial" w:hAnsi="Arial"/>
                <w:sz w:val="16"/>
                <w:szCs w:val="16"/>
                <w:color w:val="auto"/>
              </w:rPr>
              <w:t>Minus: Fair value of awards forfeited during the covered year</w:t>
            </w:r>
          </w:p>
        </w:tc>
        <w:tc>
          <w:tcPr>
            <w:tcW w:w="1240" w:type="dxa"/>
            <w:vAlign w:val="bottom"/>
            <w:gridSpan w:val="2"/>
            <w:shd w:val="clear" w:color="auto" w:fill="CBECD5"/>
          </w:tcPr>
          <w:p>
            <w:pPr>
              <w:jc w:val="right"/>
              <w:ind w:right="21"/>
              <w:spacing w:after="0"/>
              <w:rPr>
                <w:sz w:val="20"/>
                <w:szCs w:val="20"/>
                <w:color w:val="auto"/>
              </w:rPr>
            </w:pPr>
            <w:r>
              <w:rPr>
                <w:rFonts w:ascii="Arial" w:cs="Arial" w:eastAsia="Arial" w:hAnsi="Arial"/>
                <w:sz w:val="16"/>
                <w:szCs w:val="16"/>
                <w:color w:val="auto"/>
              </w:rPr>
              <w:t>​$2,641,141</w:t>
            </w:r>
          </w:p>
        </w:tc>
      </w:tr>
      <w:tr>
        <w:trPr>
          <w:trHeight w:val="243"/>
        </w:trPr>
        <w:tc>
          <w:tcPr>
            <w:tcW w:w="7520" w:type="dxa"/>
            <w:vAlign w:val="bottom"/>
          </w:tcPr>
          <w:p>
            <w:pPr>
              <w:ind w:left="480"/>
              <w:spacing w:after="0"/>
              <w:rPr>
                <w:sz w:val="20"/>
                <w:szCs w:val="20"/>
                <w:color w:val="auto"/>
              </w:rPr>
            </w:pPr>
            <w:r>
              <w:rPr>
                <w:rFonts w:ascii="Arial" w:cs="Arial" w:eastAsia="Arial" w:hAnsi="Arial"/>
                <w:sz w:val="16"/>
                <w:szCs w:val="16"/>
                <w:color w:val="auto"/>
              </w:rPr>
              <w:t>Minus: Aggregate change in actuarial present value of accumulated benefit under pension plans</w:t>
            </w:r>
          </w:p>
        </w:tc>
        <w:tc>
          <w:tcPr>
            <w:tcW w:w="480" w:type="dxa"/>
            <w:vAlign w:val="bottom"/>
          </w:tcPr>
          <w:p>
            <w:pPr>
              <w:ind w:left="3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88,339</w:t>
            </w:r>
          </w:p>
        </w:tc>
      </w:tr>
      <w:tr>
        <w:trPr>
          <w:trHeight w:val="243"/>
        </w:trPr>
        <w:tc>
          <w:tcPr>
            <w:tcW w:w="7520" w:type="dxa"/>
            <w:vAlign w:val="bottom"/>
            <w:shd w:val="clear" w:color="auto" w:fill="CBECD5"/>
          </w:tcPr>
          <w:p>
            <w:pPr>
              <w:ind w:left="480"/>
              <w:spacing w:after="0"/>
              <w:rPr>
                <w:sz w:val="20"/>
                <w:szCs w:val="20"/>
                <w:color w:val="auto"/>
              </w:rPr>
            </w:pPr>
            <w:r>
              <w:rPr>
                <w:rFonts w:ascii="Arial" w:cs="Arial" w:eastAsia="Arial" w:hAnsi="Arial"/>
                <w:sz w:val="16"/>
                <w:szCs w:val="16"/>
                <w:color w:val="auto"/>
              </w:rPr>
              <w:t>Plus: Aggregate service costs and prior service costs for pension plans</w:t>
            </w:r>
          </w:p>
        </w:tc>
        <w:tc>
          <w:tcPr>
            <w:tcW w:w="480" w:type="dxa"/>
            <w:vAlign w:val="bottom"/>
            <w:shd w:val="clear" w:color="auto" w:fill="CBECD5"/>
          </w:tcPr>
          <w:p>
            <w:pPr>
              <w:ind w:left="3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BECD5"/>
          </w:tcPr>
          <w:p>
            <w:pPr>
              <w:jc w:val="right"/>
              <w:ind w:right="21"/>
              <w:spacing w:after="0"/>
              <w:rPr>
                <w:sz w:val="20"/>
                <w:szCs w:val="20"/>
                <w:color w:val="auto"/>
              </w:rPr>
            </w:pPr>
            <w:r>
              <w:rPr>
                <w:rFonts w:ascii="Arial" w:cs="Arial" w:eastAsia="Arial" w:hAnsi="Arial"/>
                <w:sz w:val="16"/>
                <w:szCs w:val="16"/>
                <w:color w:val="auto"/>
              </w:rPr>
              <w:t>196,551</w:t>
            </w:r>
          </w:p>
        </w:tc>
      </w:tr>
      <w:tr>
        <w:trPr>
          <w:trHeight w:val="277"/>
        </w:trPr>
        <w:tc>
          <w:tcPr>
            <w:tcW w:w="7520" w:type="dxa"/>
            <w:vAlign w:val="bottom"/>
            <w:tcBorders>
              <w:bottom w:val="single" w:sz="8" w:color="53C072"/>
            </w:tcBorders>
          </w:tcPr>
          <w:p>
            <w:pPr>
              <w:ind w:left="120"/>
              <w:spacing w:after="0"/>
              <w:rPr>
                <w:sz w:val="20"/>
                <w:szCs w:val="20"/>
                <w:color w:val="auto"/>
              </w:rPr>
            </w:pPr>
            <w:r>
              <w:rPr>
                <w:rFonts w:ascii="Arial" w:cs="Arial" w:eastAsia="Arial" w:hAnsi="Arial"/>
                <w:sz w:val="16"/>
                <w:szCs w:val="16"/>
                <w:b w:val="1"/>
                <w:bCs w:val="1"/>
                <w:color w:val="auto"/>
              </w:rPr>
              <w:t>Compensation Actually Paid (CAP)</w:t>
            </w:r>
          </w:p>
        </w:tc>
        <w:tc>
          <w:tcPr>
            <w:tcW w:w="480" w:type="dxa"/>
            <w:vAlign w:val="bottom"/>
            <w:tcBorders>
              <w:bottom w:val="single" w:sz="8" w:color="53C072"/>
            </w:tcBorders>
          </w:tcPr>
          <w:p>
            <w:pPr>
              <w:ind w:left="300"/>
              <w:spacing w:after="0" w:line="26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1"/>
                <w:szCs w:val="31"/>
                <w:b w:val="1"/>
                <w:bCs w:val="1"/>
                <w:color w:val="auto"/>
                <w:vertAlign w:val="superscript"/>
              </w:rPr>
              <w:t>$</w:t>
            </w:r>
          </w:p>
        </w:tc>
        <w:tc>
          <w:tcPr>
            <w:tcW w:w="760" w:type="dxa"/>
            <w:vAlign w:val="bottom"/>
            <w:tcBorders>
              <w:bottom w:val="single" w:sz="8" w:color="53C072"/>
            </w:tcBorders>
          </w:tcPr>
          <w:p>
            <w:pPr>
              <w:jc w:val="right"/>
              <w:ind w:right="21"/>
              <w:spacing w:after="0"/>
              <w:rPr>
                <w:sz w:val="20"/>
                <w:szCs w:val="20"/>
                <w:color w:val="auto"/>
              </w:rPr>
            </w:pPr>
            <w:r>
              <w:rPr>
                <w:rFonts w:ascii="Arial" w:cs="Arial" w:eastAsia="Arial" w:hAnsi="Arial"/>
                <w:sz w:val="16"/>
                <w:szCs w:val="16"/>
                <w:b w:val="1"/>
                <w:bCs w:val="1"/>
                <w:color w:val="auto"/>
              </w:rPr>
              <w:t>377,147</w:t>
            </w:r>
          </w:p>
        </w:tc>
      </w:tr>
    </w:tbl>
    <w:p>
      <w:pPr>
        <w:spacing w:after="0" w:line="8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are the non-PEO NEOs included for each year shown in the table:</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Fiscal 2025</w:t>
      </w:r>
      <w:r>
        <w:rPr>
          <w:rFonts w:ascii="Arial" w:cs="Arial" w:eastAsia="Arial" w:hAnsi="Arial"/>
          <w:sz w:val="18"/>
          <w:szCs w:val="18"/>
          <w:color w:val="auto"/>
        </w:rPr>
        <w:t>: Messrs. Jacobson, Arnold, Chan, and McCoy</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Fiscal 2024</w:t>
      </w:r>
      <w:r>
        <w:rPr>
          <w:rFonts w:ascii="Arial" w:cs="Arial" w:eastAsia="Arial" w:hAnsi="Arial"/>
          <w:sz w:val="18"/>
          <w:szCs w:val="18"/>
          <w:color w:val="auto"/>
        </w:rPr>
        <w:t>: Messrs. Jacobson, Arnold, Chan, and McCoy</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Fiscal 2023</w:t>
      </w:r>
      <w:r>
        <w:rPr>
          <w:rFonts w:ascii="Arial" w:cs="Arial" w:eastAsia="Arial" w:hAnsi="Arial"/>
          <w:sz w:val="18"/>
          <w:szCs w:val="18"/>
          <w:color w:val="auto"/>
        </w:rPr>
        <w:t>: Messrs. Liguori (former CFO), Jacobson, Arnold, and McCoy, and Ms. Obregon-Jimenez.</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Fiscal 2022</w:t>
      </w:r>
      <w:r>
        <w:rPr>
          <w:rFonts w:ascii="Arial" w:cs="Arial" w:eastAsia="Arial" w:hAnsi="Arial"/>
          <w:sz w:val="18"/>
          <w:szCs w:val="18"/>
          <w:color w:val="auto"/>
        </w:rPr>
        <w:t>: Messrs. Liguori, Arnold, Chan, and McCoy.</w:t>
      </w:r>
    </w:p>
    <w:p>
      <w:pPr>
        <w:spacing w:after="0" w:line="117" w:lineRule="exact"/>
        <w:rPr>
          <w:sz w:val="20"/>
          <w:szCs w:val="20"/>
          <w:color w:val="auto"/>
        </w:rPr>
      </w:pPr>
    </w:p>
    <w:p>
      <w:pPr>
        <w:jc w:val="both"/>
        <w:ind w:left="1340" w:right="159"/>
        <w:spacing w:after="0" w:line="268" w:lineRule="auto"/>
        <w:rPr>
          <w:sz w:val="20"/>
          <w:szCs w:val="20"/>
          <w:color w:val="auto"/>
        </w:rPr>
      </w:pPr>
      <w:r>
        <w:rPr>
          <w:rFonts w:ascii="Arial" w:cs="Arial" w:eastAsia="Arial" w:hAnsi="Arial"/>
          <w:sz w:val="18"/>
          <w:szCs w:val="18"/>
          <w:u w:val="single" w:color="auto"/>
          <w:color w:val="auto"/>
        </w:rPr>
        <w:t>Fiscal 2021</w:t>
      </w:r>
      <w:r>
        <w:rPr>
          <w:rFonts w:ascii="Arial" w:cs="Arial" w:eastAsia="Arial" w:hAnsi="Arial"/>
          <w:sz w:val="18"/>
          <w:szCs w:val="18"/>
          <w:color w:val="auto"/>
        </w:rPr>
        <w:t>: Messrs. Liguori, Arnold, Chan, and McCoy, as well as Peter G. Bartolotta (who ceased serving as President, Business Transformation on October 1, 2020) and MaryAnn G. Miller (who ceased serving as SVP, Chief Administrative Officer on October 16, 2020).</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26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480" w:type="dxa"/>
            <w:vAlign w:val="bottom"/>
            <w:vMerge w:val="restart"/>
          </w:tcPr>
          <w:p>
            <w:pPr>
              <w:ind w:left="2920"/>
              <w:spacing w:after="0"/>
              <w:rPr>
                <w:sz w:val="20"/>
                <w:szCs w:val="20"/>
                <w:color w:val="auto"/>
              </w:rPr>
            </w:pPr>
            <w:r>
              <w:rPr>
                <w:rFonts w:ascii="Arial" w:cs="Arial" w:eastAsia="Arial" w:hAnsi="Arial"/>
                <w:sz w:val="14"/>
                <w:szCs w:val="14"/>
                <w:color w:val="auto"/>
                <w:w w:val="98"/>
              </w:rPr>
              <w:t>Pay Versus Performance</w:t>
            </w:r>
          </w:p>
        </w:tc>
        <w:tc>
          <w:tcPr>
            <w:tcW w:w="0" w:type="dxa"/>
            <w:vAlign w:val="bottom"/>
          </w:tcPr>
          <w:p>
            <w:pPr>
              <w:spacing w:after="0"/>
              <w:rPr>
                <w:sz w:val="1"/>
                <w:szCs w:val="1"/>
                <w:color w:val="auto"/>
              </w:rPr>
            </w:pPr>
          </w:p>
        </w:tc>
      </w:tr>
      <w:tr>
        <w:trPr>
          <w:trHeight w:val="89"/>
        </w:trPr>
        <w:tc>
          <w:tcPr>
            <w:tcW w:w="52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260" w:type="dxa"/>
            <w:vAlign w:val="bottom"/>
            <w:vMerge w:val="continue"/>
          </w:tcPr>
          <w:p>
            <w:pPr>
              <w:spacing w:after="0"/>
              <w:rPr>
                <w:sz w:val="11"/>
                <w:szCs w:val="11"/>
                <w:color w:val="auto"/>
              </w:rPr>
            </w:pPr>
          </w:p>
        </w:tc>
        <w:tc>
          <w:tcPr>
            <w:tcW w:w="4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179"/>
        <w:spacing w:after="0" w:line="303" w:lineRule="auto"/>
        <w:rPr>
          <w:sz w:val="20"/>
          <w:szCs w:val="20"/>
          <w:color w:val="auto"/>
        </w:rPr>
      </w:pPr>
      <w:r>
        <w:rPr>
          <w:rFonts w:ascii="Arial" w:cs="Arial" w:eastAsia="Arial" w:hAnsi="Arial"/>
          <w:sz w:val="18"/>
          <w:szCs w:val="18"/>
          <w:color w:val="auto"/>
        </w:rPr>
        <w:t>To calculate the Average CAP for the non-PEO NEOs, the following amounts were deducted from and added to the average Total Compensation reported in the SCT:</w:t>
      </w:r>
    </w:p>
    <w:p>
      <w:pPr>
        <w:spacing w:after="0" w:line="131"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232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Year</w:t>
            </w:r>
          </w:p>
        </w:tc>
        <w:tc>
          <w:tcPr>
            <w:tcW w:w="2580" w:type="dxa"/>
            <w:vAlign w:val="bottom"/>
            <w:shd w:val="clear" w:color="auto" w:fill="53C072"/>
          </w:tcPr>
          <w:p>
            <w:pPr>
              <w:jc w:val="right"/>
              <w:ind w:right="268"/>
              <w:spacing w:after="0"/>
              <w:rPr>
                <w:sz w:val="20"/>
                <w:szCs w:val="20"/>
                <w:color w:val="auto"/>
              </w:rPr>
            </w:pPr>
            <w:r>
              <w:rPr>
                <w:rFonts w:ascii="Arial" w:cs="Arial" w:eastAsia="Arial" w:hAnsi="Arial"/>
                <w:sz w:val="14"/>
                <w:szCs w:val="14"/>
                <w:b w:val="1"/>
                <w:bCs w:val="1"/>
                <w:color w:val="FEFEFE"/>
              </w:rPr>
              <w:t>2021</w:t>
            </w:r>
          </w:p>
        </w:tc>
        <w:tc>
          <w:tcPr>
            <w:tcW w:w="1040" w:type="dxa"/>
            <w:vAlign w:val="bottom"/>
            <w:shd w:val="clear" w:color="auto" w:fill="53C072"/>
          </w:tcPr>
          <w:p>
            <w:pPr>
              <w:jc w:val="right"/>
              <w:ind w:right="288"/>
              <w:spacing w:after="0"/>
              <w:rPr>
                <w:sz w:val="20"/>
                <w:szCs w:val="20"/>
                <w:color w:val="auto"/>
              </w:rPr>
            </w:pPr>
            <w:r>
              <w:rPr>
                <w:rFonts w:ascii="Arial" w:cs="Arial" w:eastAsia="Arial" w:hAnsi="Arial"/>
                <w:sz w:val="14"/>
                <w:szCs w:val="14"/>
                <w:b w:val="1"/>
                <w:bCs w:val="1"/>
                <w:color w:val="FEFEFE"/>
              </w:rPr>
              <w:t>2022</w:t>
            </w:r>
          </w:p>
        </w:tc>
        <w:tc>
          <w:tcPr>
            <w:tcW w:w="1020" w:type="dxa"/>
            <w:vAlign w:val="bottom"/>
            <w:shd w:val="clear" w:color="auto" w:fill="53C072"/>
          </w:tcPr>
          <w:p>
            <w:pPr>
              <w:jc w:val="right"/>
              <w:ind w:right="288"/>
              <w:spacing w:after="0"/>
              <w:rPr>
                <w:sz w:val="20"/>
                <w:szCs w:val="20"/>
                <w:color w:val="auto"/>
              </w:rPr>
            </w:pPr>
            <w:r>
              <w:rPr>
                <w:rFonts w:ascii="Arial" w:cs="Arial" w:eastAsia="Arial" w:hAnsi="Arial"/>
                <w:sz w:val="14"/>
                <w:szCs w:val="14"/>
                <w:b w:val="1"/>
                <w:bCs w:val="1"/>
                <w:color w:val="FEFEFE"/>
              </w:rPr>
              <w:t>2023</w:t>
            </w:r>
          </w:p>
        </w:tc>
        <w:tc>
          <w:tcPr>
            <w:tcW w:w="1020" w:type="dxa"/>
            <w:vAlign w:val="bottom"/>
            <w:shd w:val="clear" w:color="auto" w:fill="53C072"/>
          </w:tcPr>
          <w:p>
            <w:pPr>
              <w:jc w:val="right"/>
              <w:ind w:right="268"/>
              <w:spacing w:after="0"/>
              <w:rPr>
                <w:sz w:val="20"/>
                <w:szCs w:val="20"/>
                <w:color w:val="auto"/>
              </w:rPr>
            </w:pPr>
            <w:r>
              <w:rPr>
                <w:rFonts w:ascii="Arial" w:cs="Arial" w:eastAsia="Arial" w:hAnsi="Arial"/>
                <w:sz w:val="14"/>
                <w:szCs w:val="14"/>
                <w:b w:val="1"/>
                <w:bCs w:val="1"/>
                <w:color w:val="FEFEFE"/>
              </w:rPr>
              <w:t>2024</w:t>
            </w:r>
          </w:p>
        </w:tc>
        <w:tc>
          <w:tcPr>
            <w:tcW w:w="780" w:type="dxa"/>
            <w:vAlign w:val="bottom"/>
            <w:shd w:val="clear" w:color="auto" w:fill="53C072"/>
          </w:tcPr>
          <w:p>
            <w:pPr>
              <w:jc w:val="right"/>
              <w:ind w:right="28"/>
              <w:spacing w:after="0"/>
              <w:rPr>
                <w:sz w:val="20"/>
                <w:szCs w:val="20"/>
                <w:color w:val="auto"/>
              </w:rPr>
            </w:pPr>
            <w:r>
              <w:rPr>
                <w:rFonts w:ascii="Arial" w:cs="Arial" w:eastAsia="Arial" w:hAnsi="Arial"/>
                <w:sz w:val="14"/>
                <w:szCs w:val="14"/>
                <w:b w:val="1"/>
                <w:bCs w:val="1"/>
                <w:color w:val="FEFEFE"/>
              </w:rPr>
              <w:t>2025</w:t>
            </w:r>
          </w:p>
        </w:tc>
      </w:tr>
    </w:tbl>
    <w:p>
      <w:pPr>
        <w:spacing w:after="0" w:line="13" w:lineRule="exact"/>
        <w:rPr>
          <w:sz w:val="20"/>
          <w:szCs w:val="20"/>
          <w:color w:val="auto"/>
        </w:rPr>
      </w:pPr>
    </w:p>
    <w:p>
      <w:pPr>
        <w:sectPr>
          <w:pgSz w:w="11900" w:h="16838" w:orient="portrait"/>
          <w:cols w:equalWidth="0" w:num="1">
            <w:col w:w="9879"/>
          </w:cols>
          <w:pgMar w:left="580" w:top="97" w:right="1440" w:bottom="1440" w:gutter="0" w:footer="0" w:header="0"/>
        </w:sectPr>
      </w:pPr>
    </w:p>
    <w:p>
      <w:pPr>
        <w:jc w:val="center"/>
        <w:ind w:left="140"/>
        <w:spacing w:after="0"/>
        <w:rPr>
          <w:sz w:val="20"/>
          <w:szCs w:val="20"/>
          <w:color w:val="auto"/>
        </w:rPr>
      </w:pPr>
      <w:r>
        <w:rPr>
          <w:rFonts w:ascii="Arial" w:cs="Arial" w:eastAsia="Arial" w:hAnsi="Arial"/>
          <w:sz w:val="15"/>
          <w:szCs w:val="15"/>
          <w:color w:val="auto"/>
        </w:rPr>
        <w:t>Average SCT Total Compensation</w:t>
      </w:r>
    </w:p>
    <w:p>
      <w:pPr>
        <w:spacing w:after="0" w:line="84" w:lineRule="exact"/>
        <w:rPr>
          <w:sz w:val="20"/>
          <w:szCs w:val="20"/>
          <w:color w:val="auto"/>
        </w:rPr>
      </w:pPr>
    </w:p>
    <w:p>
      <w:pPr>
        <w:ind w:left="1500" w:right="220"/>
        <w:spacing w:after="0" w:line="286" w:lineRule="auto"/>
        <w:rPr>
          <w:sz w:val="20"/>
          <w:szCs w:val="20"/>
          <w:color w:val="auto"/>
        </w:rPr>
      </w:pPr>
      <w:r>
        <w:rPr>
          <w:rFonts w:ascii="Arial" w:cs="Arial" w:eastAsia="Arial" w:hAnsi="Arial"/>
          <w:sz w:val="16"/>
          <w:szCs w:val="16"/>
          <w:color w:val="auto"/>
        </w:rPr>
        <w:t>Minus: Average grant-date fair value of awards reported in the SCT</w:t>
      </w:r>
    </w:p>
    <w:p>
      <w:pPr>
        <w:spacing w:after="0" w:line="7" w:lineRule="exact"/>
        <w:rPr>
          <w:sz w:val="20"/>
          <w:szCs w:val="20"/>
          <w:color w:val="auto"/>
        </w:rPr>
      </w:pPr>
    </w:p>
    <w:p>
      <w:pPr>
        <w:ind w:left="1500"/>
        <w:spacing w:after="0" w:line="275" w:lineRule="auto"/>
        <w:rPr>
          <w:sz w:val="20"/>
          <w:szCs w:val="20"/>
          <w:color w:val="auto"/>
        </w:rPr>
      </w:pPr>
      <w:r>
        <w:rPr>
          <w:rFonts w:ascii="Arial" w:cs="Arial" w:eastAsia="Arial" w:hAnsi="Arial"/>
          <w:sz w:val="16"/>
          <w:szCs w:val="16"/>
          <w:color w:val="auto"/>
        </w:rPr>
        <w:t>Plus: Average vesting-date fair value of awards granted and vested in the covered year</w:t>
      </w:r>
    </w:p>
    <w:p>
      <w:pPr>
        <w:spacing w:after="0" w:line="2" w:lineRule="exact"/>
        <w:rPr>
          <w:sz w:val="20"/>
          <w:szCs w:val="20"/>
          <w:color w:val="auto"/>
        </w:rPr>
      </w:pPr>
    </w:p>
    <w:p>
      <w:pPr>
        <w:ind w:left="1500" w:right="200"/>
        <w:spacing w:after="0" w:line="280" w:lineRule="auto"/>
        <w:rPr>
          <w:sz w:val="20"/>
          <w:szCs w:val="20"/>
          <w:color w:val="auto"/>
        </w:rPr>
      </w:pPr>
      <w:r>
        <w:rPr>
          <w:rFonts w:ascii="Arial" w:cs="Arial" w:eastAsia="Arial" w:hAnsi="Arial"/>
          <w:sz w:val="15"/>
          <w:szCs w:val="15"/>
          <w:color w:val="auto"/>
        </w:rPr>
        <w:t>Plus: Average year-end fair value of awards granted but remain unvested 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000" w:type="dxa"/>
            <w:vAlign w:val="bottom"/>
            <w:gridSpan w:val="2"/>
          </w:tcPr>
          <w:p>
            <w:pPr>
              <w:jc w:val="right"/>
              <w:spacing w:after="0"/>
              <w:rPr>
                <w:sz w:val="20"/>
                <w:szCs w:val="20"/>
                <w:color w:val="auto"/>
              </w:rPr>
            </w:pPr>
            <w:r>
              <w:rPr>
                <w:rFonts w:ascii="Arial" w:cs="Arial" w:eastAsia="Arial" w:hAnsi="Arial"/>
                <w:sz w:val="16"/>
                <w:szCs w:val="16"/>
                <w:color w:val="auto"/>
              </w:rPr>
              <w:t>​ ​​$1,862,076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​​$2,031,221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​​$1,928,181</w:t>
            </w:r>
          </w:p>
        </w:tc>
        <w:tc>
          <w:tcPr>
            <w:tcW w:w="1020" w:type="dxa"/>
            <w:vAlign w:val="bottom"/>
          </w:tcPr>
          <w:p>
            <w:pPr>
              <w:ind w:left="20"/>
              <w:spacing w:after="0"/>
              <w:rPr>
                <w:sz w:val="20"/>
                <w:szCs w:val="20"/>
                <w:color w:val="auto"/>
              </w:rPr>
            </w:pPr>
            <w:r>
              <w:rPr>
                <w:rFonts w:ascii="Arial" w:cs="Arial" w:eastAsia="Arial" w:hAnsi="Arial"/>
                <w:sz w:val="16"/>
                <w:szCs w:val="16"/>
                <w:color w:val="auto"/>
              </w:rPr>
              <w:t>​ ​​$2,041,858</w:t>
            </w:r>
          </w:p>
        </w:tc>
        <w:tc>
          <w:tcPr>
            <w:tcW w:w="1020" w:type="dxa"/>
            <w:vAlign w:val="bottom"/>
          </w:tcPr>
          <w:p>
            <w:pPr>
              <w:ind w:left="20"/>
              <w:spacing w:after="0"/>
              <w:rPr>
                <w:sz w:val="20"/>
                <w:szCs w:val="20"/>
                <w:color w:val="auto"/>
              </w:rPr>
            </w:pPr>
            <w:r>
              <w:rPr>
                <w:rFonts w:ascii="Arial" w:cs="Arial" w:eastAsia="Arial" w:hAnsi="Arial"/>
                <w:sz w:val="16"/>
                <w:szCs w:val="16"/>
                <w:color w:val="auto"/>
              </w:rPr>
              <w:t>​ ​​$2,364,773</w:t>
            </w:r>
          </w:p>
        </w:tc>
        <w:tc>
          <w:tcPr>
            <w:tcW w:w="8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446"/>
        </w:trPr>
        <w:tc>
          <w:tcPr>
            <w:tcW w:w="320" w:type="dxa"/>
            <w:vAlign w:val="bottom"/>
          </w:tcPr>
          <w:p>
            <w:pPr>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739,776</w:t>
            </w:r>
          </w:p>
        </w:tc>
        <w:tc>
          <w:tcPr>
            <w:tcW w:w="340" w:type="dxa"/>
            <w:vAlign w:val="bottom"/>
          </w:tcPr>
          <w:p>
            <w:pPr>
              <w:ind w:left="2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780,055</w:t>
            </w:r>
          </w:p>
        </w:tc>
        <w:tc>
          <w:tcPr>
            <w:tcW w:w="360" w:type="dxa"/>
            <w:vAlign w:val="bottom"/>
          </w:tcPr>
          <w:p>
            <w:pPr>
              <w:ind w:left="4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890,867</w:t>
            </w:r>
          </w:p>
        </w:tc>
        <w:tc>
          <w:tcPr>
            <w:tcW w:w="1020" w:type="dxa"/>
            <w:vAlign w:val="bottom"/>
          </w:tcPr>
          <w:p>
            <w:pPr>
              <w:ind w:left="20"/>
              <w:spacing w:after="0"/>
              <w:rPr>
                <w:sz w:val="20"/>
                <w:szCs w:val="20"/>
                <w:color w:val="auto"/>
              </w:rPr>
            </w:pPr>
            <w:r>
              <w:rPr>
                <w:rFonts w:ascii="Arial" w:cs="Arial" w:eastAsia="Arial" w:hAnsi="Arial"/>
                <w:sz w:val="16"/>
                <w:szCs w:val="16"/>
                <w:color w:val="auto"/>
              </w:rPr>
              <w:t>​ ​​$ 1,114,994</w:t>
            </w:r>
          </w:p>
        </w:tc>
        <w:tc>
          <w:tcPr>
            <w:tcW w:w="1020" w:type="dxa"/>
            <w:vAlign w:val="bottom"/>
          </w:tcPr>
          <w:p>
            <w:pPr>
              <w:ind w:left="20"/>
              <w:spacing w:after="0"/>
              <w:rPr>
                <w:sz w:val="20"/>
                <w:szCs w:val="20"/>
                <w:color w:val="auto"/>
              </w:rPr>
            </w:pPr>
            <w:r>
              <w:rPr>
                <w:rFonts w:ascii="Arial" w:cs="Arial" w:eastAsia="Arial" w:hAnsi="Arial"/>
                <w:sz w:val="16"/>
                <w:szCs w:val="16"/>
                <w:color w:val="auto"/>
              </w:rPr>
              <w:t>​ ​​$1,312,123</w:t>
            </w:r>
          </w:p>
        </w:tc>
        <w:tc>
          <w:tcPr>
            <w:tcW w:w="8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634"/>
        </w:trPr>
        <w:tc>
          <w:tcPr>
            <w:tcW w:w="320" w:type="dxa"/>
            <w:vAlign w:val="bottom"/>
          </w:tcPr>
          <w:p>
            <w:pPr>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136,771</w:t>
            </w:r>
          </w:p>
        </w:tc>
        <w:tc>
          <w:tcPr>
            <w:tcW w:w="340" w:type="dxa"/>
            <w:vAlign w:val="bottom"/>
          </w:tcPr>
          <w:p>
            <w:pPr>
              <w:ind w:left="2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115,456</w:t>
            </w:r>
          </w:p>
        </w:tc>
        <w:tc>
          <w:tcPr>
            <w:tcW w:w="360" w:type="dxa"/>
            <w:vAlign w:val="bottom"/>
          </w:tcPr>
          <w:p>
            <w:pPr>
              <w:ind w:left="4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124,990</w:t>
            </w:r>
          </w:p>
        </w:tc>
        <w:tc>
          <w:tcPr>
            <w:tcW w:w="1020" w:type="dxa"/>
            <w:vAlign w:val="bottom"/>
          </w:tcPr>
          <w:p>
            <w:pPr>
              <w:ind w:left="20"/>
              <w:spacing w:after="0"/>
              <w:rPr>
                <w:sz w:val="20"/>
                <w:szCs w:val="20"/>
                <w:color w:val="auto"/>
              </w:rPr>
            </w:pPr>
            <w:r>
              <w:rPr>
                <w:rFonts w:ascii="Arial" w:cs="Arial" w:eastAsia="Arial" w:hAnsi="Arial"/>
                <w:sz w:val="16"/>
                <w:szCs w:val="16"/>
                <w:color w:val="auto"/>
              </w:rPr>
              <w:t>​ ​​$  141,777</w:t>
            </w:r>
          </w:p>
        </w:tc>
        <w:tc>
          <w:tcPr>
            <w:tcW w:w="1020" w:type="dxa"/>
            <w:vAlign w:val="bottom"/>
          </w:tcPr>
          <w:p>
            <w:pPr>
              <w:ind w:left="20"/>
              <w:spacing w:after="0"/>
              <w:rPr>
                <w:sz w:val="20"/>
                <w:szCs w:val="20"/>
                <w:color w:val="auto"/>
              </w:rPr>
            </w:pPr>
            <w:r>
              <w:rPr>
                <w:rFonts w:ascii="Arial" w:cs="Arial" w:eastAsia="Arial" w:hAnsi="Arial"/>
                <w:sz w:val="16"/>
                <w:szCs w:val="16"/>
                <w:color w:val="auto"/>
              </w:rPr>
              <w:t>​ ​​$  159,967</w:t>
            </w:r>
          </w:p>
        </w:tc>
        <w:tc>
          <w:tcPr>
            <w:tcW w:w="80" w:type="dxa"/>
            <w:vAlign w:val="bottom"/>
          </w:tcPr>
          <w:p>
            <w:pPr>
              <w:ind w:left="4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-2266315</wp:posOffset>
            </wp:positionH>
            <wp:positionV relativeFrom="paragraph">
              <wp:posOffset>-692150</wp:posOffset>
            </wp:positionV>
            <wp:extent cx="5554980" cy="2825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54980" cy="282575"/>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-6350</wp:posOffset>
            </wp:positionV>
            <wp:extent cx="5554980" cy="402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554980" cy="402590"/>
                    </a:xfrm>
                    <a:prstGeom prst="rect">
                      <a:avLst/>
                    </a:prstGeom>
                    <a:noFill/>
                  </pic:spPr>
                </pic:pic>
              </a:graphicData>
            </a:graphic>
          </wp:anchor>
        </w:drawing>
      </w:r>
    </w:p>
    <w:p>
      <w:pPr>
        <w:spacing w:after="0" w:line="418" w:lineRule="exact"/>
        <w:rPr>
          <w:sz w:val="20"/>
          <w:szCs w:val="20"/>
          <w:color w:val="auto"/>
        </w:rPr>
      </w:pPr>
    </w:p>
    <w:p>
      <w:pPr>
        <w:sectPr>
          <w:pgSz w:w="11900" w:h="16838" w:orient="portrait"/>
          <w:cols w:equalWidth="0" w:num="2">
            <w:col w:w="4460" w:space="100"/>
            <w:col w:w="5319"/>
          </w:cols>
          <w:pgMar w:left="580" w:top="97" w:right="1440" w:bottom="1440" w:gutter="0" w:footer="0" w:header="0"/>
          <w:type w:val="continuous"/>
        </w:sectPr>
      </w:pPr>
    </w:p>
    <w:p>
      <w:pPr>
        <w:ind w:left="1500"/>
        <w:spacing w:after="0"/>
        <w:rPr>
          <w:sz w:val="20"/>
          <w:szCs w:val="20"/>
          <w:color w:val="auto"/>
        </w:rPr>
      </w:pPr>
      <w:r>
        <w:rPr>
          <w:rFonts w:ascii="Arial" w:cs="Arial" w:eastAsia="Arial" w:hAnsi="Arial"/>
          <w:sz w:val="16"/>
          <w:szCs w:val="16"/>
          <w:color w:val="auto"/>
        </w:rPr>
        <w:t>the covered year</w:t>
      </w:r>
    </w:p>
    <w:p>
      <w:pPr>
        <w:spacing w:after="0" w:line="60" w:lineRule="exact"/>
        <w:rPr>
          <w:sz w:val="20"/>
          <w:szCs w:val="20"/>
          <w:color w:val="auto"/>
        </w:rPr>
      </w:pPr>
    </w:p>
    <w:p>
      <w:pPr>
        <w:ind w:left="1500"/>
        <w:spacing w:after="0" w:line="275" w:lineRule="auto"/>
        <w:rPr>
          <w:sz w:val="20"/>
          <w:szCs w:val="20"/>
          <w:color w:val="auto"/>
        </w:rPr>
      </w:pPr>
      <w:r>
        <w:rPr>
          <w:rFonts w:ascii="Arial" w:cs="Arial" w:eastAsia="Arial" w:hAnsi="Arial"/>
          <w:sz w:val="16"/>
          <w:szCs w:val="16"/>
          <w:color w:val="auto"/>
        </w:rPr>
        <w:t>Plus/(Minus): Average change in fair value of awards granted in prior year(s) that vested in the covered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591,136</w:t>
            </w:r>
          </w:p>
        </w:tc>
        <w:tc>
          <w:tcPr>
            <w:tcW w:w="340" w:type="dxa"/>
            <w:vAlign w:val="bottom"/>
          </w:tcPr>
          <w:p>
            <w:pPr>
              <w:ind w:left="2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402,321</w:t>
            </w:r>
          </w:p>
        </w:tc>
        <w:tc>
          <w:tcPr>
            <w:tcW w:w="360" w:type="dxa"/>
            <w:vAlign w:val="bottom"/>
          </w:tcPr>
          <w:p>
            <w:pPr>
              <w:ind w:left="4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555,985</w:t>
            </w:r>
          </w:p>
        </w:tc>
        <w:tc>
          <w:tcPr>
            <w:tcW w:w="340" w:type="dxa"/>
            <w:vAlign w:val="bottom"/>
          </w:tcPr>
          <w:p>
            <w:pPr>
              <w:ind w:left="20"/>
              <w:spacing w:after="0"/>
              <w:rPr>
                <w:sz w:val="20"/>
                <w:szCs w:val="20"/>
                <w:color w:val="auto"/>
              </w:rPr>
            </w:pPr>
            <w:r>
              <w:rPr>
                <w:rFonts w:ascii="Arial" w:cs="Arial" w:eastAsia="Arial" w:hAnsi="Arial"/>
                <w:sz w:val="16"/>
                <w:szCs w:val="16"/>
                <w:color w:val="auto"/>
              </w:rPr>
              <w:t>​ ​​$</w:t>
            </w:r>
          </w:p>
        </w:tc>
        <w:tc>
          <w:tcPr>
            <w:tcW w:w="1020" w:type="dxa"/>
            <w:vAlign w:val="bottom"/>
          </w:tcPr>
          <w:p>
            <w:pPr>
              <w:jc w:val="right"/>
              <w:spacing w:after="0"/>
              <w:rPr>
                <w:sz w:val="20"/>
                <w:szCs w:val="20"/>
                <w:color w:val="auto"/>
              </w:rPr>
            </w:pPr>
            <w:r>
              <w:rPr>
                <w:rFonts w:ascii="Arial" w:cs="Arial" w:eastAsia="Arial" w:hAnsi="Arial"/>
                <w:sz w:val="16"/>
                <w:szCs w:val="16"/>
                <w:color w:val="auto"/>
              </w:rPr>
              <w:t>361,411 ​ ​​$</w:t>
            </w:r>
          </w:p>
        </w:tc>
        <w:tc>
          <w:tcPr>
            <w:tcW w:w="680" w:type="dxa"/>
            <w:vAlign w:val="bottom"/>
          </w:tcPr>
          <w:p>
            <w:pPr>
              <w:jc w:val="right"/>
              <w:spacing w:after="0"/>
              <w:rPr>
                <w:sz w:val="20"/>
                <w:szCs w:val="20"/>
                <w:color w:val="auto"/>
              </w:rPr>
            </w:pPr>
            <w:r>
              <w:rPr>
                <w:rFonts w:ascii="Arial" w:cs="Arial" w:eastAsia="Arial" w:hAnsi="Arial"/>
                <w:sz w:val="16"/>
                <w:szCs w:val="16"/>
                <w:color w:val="auto"/>
              </w:rPr>
              <w:t>273,488</w:t>
            </w:r>
          </w:p>
        </w:tc>
        <w:tc>
          <w:tcPr>
            <w:tcW w:w="8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648"/>
        </w:trPr>
        <w:tc>
          <w:tcPr>
            <w:tcW w:w="320" w:type="dxa"/>
            <w:vAlign w:val="bottom"/>
          </w:tcPr>
          <w:p>
            <w:pPr>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51,740</w:t>
            </w:r>
          </w:p>
        </w:tc>
        <w:tc>
          <w:tcPr>
            <w:tcW w:w="340" w:type="dxa"/>
            <w:vAlign w:val="bottom"/>
          </w:tcPr>
          <w:p>
            <w:pPr>
              <w:ind w:left="2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78,917</w:t>
            </w:r>
          </w:p>
        </w:tc>
        <w:tc>
          <w:tcPr>
            <w:tcW w:w="360" w:type="dxa"/>
            <w:vAlign w:val="bottom"/>
          </w:tcPr>
          <w:p>
            <w:pPr>
              <w:ind w:left="4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17,562</w:t>
            </w:r>
          </w:p>
        </w:tc>
        <w:tc>
          <w:tcPr>
            <w:tcW w:w="340" w:type="dxa"/>
            <w:vAlign w:val="bottom"/>
          </w:tcPr>
          <w:p>
            <w:pPr>
              <w:ind w:left="20"/>
              <w:spacing w:after="0"/>
              <w:rPr>
                <w:sz w:val="20"/>
                <w:szCs w:val="20"/>
                <w:color w:val="auto"/>
              </w:rPr>
            </w:pPr>
            <w:r>
              <w:rPr>
                <w:rFonts w:ascii="Arial" w:cs="Arial" w:eastAsia="Arial" w:hAnsi="Arial"/>
                <w:sz w:val="16"/>
                <w:szCs w:val="16"/>
                <w:color w:val="auto"/>
              </w:rPr>
              <w:t>​ ​​$</w:t>
            </w:r>
          </w:p>
        </w:tc>
        <w:tc>
          <w:tcPr>
            <w:tcW w:w="1020" w:type="dxa"/>
            <w:vAlign w:val="bottom"/>
          </w:tcPr>
          <w:p>
            <w:pPr>
              <w:jc w:val="right"/>
              <w:spacing w:after="0"/>
              <w:rPr>
                <w:sz w:val="20"/>
                <w:szCs w:val="20"/>
                <w:color w:val="auto"/>
              </w:rPr>
            </w:pPr>
            <w:r>
              <w:rPr>
                <w:rFonts w:ascii="Arial" w:cs="Arial" w:eastAsia="Arial" w:hAnsi="Arial"/>
                <w:sz w:val="16"/>
                <w:szCs w:val="16"/>
                <w:color w:val="auto"/>
              </w:rPr>
              <w:t>(53,139)​ ​​$</w:t>
            </w:r>
          </w:p>
        </w:tc>
        <w:tc>
          <w:tcPr>
            <w:tcW w:w="680" w:type="dxa"/>
            <w:vAlign w:val="bottom"/>
          </w:tcPr>
          <w:p>
            <w:pPr>
              <w:jc w:val="right"/>
              <w:spacing w:after="0"/>
              <w:rPr>
                <w:sz w:val="20"/>
                <w:szCs w:val="20"/>
                <w:color w:val="auto"/>
              </w:rPr>
            </w:pPr>
            <w:r>
              <w:rPr>
                <w:rFonts w:ascii="Arial" w:cs="Arial" w:eastAsia="Arial" w:hAnsi="Arial"/>
                <w:sz w:val="16"/>
                <w:szCs w:val="16"/>
                <w:color w:val="auto"/>
              </w:rPr>
              <w:t>13,079</w:t>
            </w:r>
          </w:p>
        </w:tc>
        <w:tc>
          <w:tcPr>
            <w:tcW w:w="80" w:type="dxa"/>
            <w:vAlign w:val="bottom"/>
          </w:tcPr>
          <w:p>
            <w:pPr>
              <w:ind w:left="4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-2266315</wp:posOffset>
            </wp:positionH>
            <wp:positionV relativeFrom="paragraph">
              <wp:posOffset>-6350</wp:posOffset>
            </wp:positionV>
            <wp:extent cx="5554980" cy="4114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554980" cy="411480"/>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4480" w:space="80"/>
            <w:col w:w="5319"/>
          </w:cols>
          <w:pgMar w:left="580" w:top="97" w:right="1440" w:bottom="1440" w:gutter="0" w:footer="0" w:header="0"/>
          <w:type w:val="continuous"/>
        </w:sectPr>
      </w:pPr>
    </w:p>
    <w:p>
      <w:pPr>
        <w:ind w:left="1500"/>
        <w:spacing w:after="0" w:line="275" w:lineRule="auto"/>
        <w:rPr>
          <w:sz w:val="20"/>
          <w:szCs w:val="20"/>
          <w:color w:val="auto"/>
        </w:rPr>
      </w:pPr>
      <w:r>
        <w:rPr>
          <w:rFonts w:ascii="Arial" w:cs="Arial" w:eastAsia="Arial" w:hAnsi="Arial"/>
          <w:sz w:val="16"/>
          <w:szCs w:val="16"/>
          <w:color w:val="auto"/>
        </w:rPr>
        <w:t>Plus/(Minus): Average change in fair value of awards granted in prior year(s) that remain unvested</w:t>
      </w:r>
    </w:p>
    <w:p>
      <w:pPr>
        <w:spacing w:after="0" w:line="16" w:lineRule="exact"/>
        <w:rPr>
          <w:sz w:val="20"/>
          <w:szCs w:val="20"/>
          <w:color w:val="auto"/>
        </w:rPr>
      </w:pPr>
    </w:p>
    <w:p>
      <w:pPr>
        <w:ind w:left="1500" w:right="460"/>
        <w:spacing w:after="0" w:line="319" w:lineRule="auto"/>
        <w:rPr>
          <w:sz w:val="20"/>
          <w:szCs w:val="20"/>
          <w:color w:val="auto"/>
        </w:rPr>
      </w:pPr>
      <w:r>
        <w:rPr>
          <w:rFonts w:ascii="Arial" w:cs="Arial" w:eastAsia="Arial" w:hAnsi="Arial"/>
          <w:sz w:val="15"/>
          <w:szCs w:val="15"/>
          <w:color w:val="auto"/>
        </w:rPr>
        <w:t>Minus: Average fair value of awards forfeited during the covered year</w:t>
      </w:r>
    </w:p>
    <w:p>
      <w:pPr>
        <w:ind w:left="1500" w:right="260"/>
        <w:spacing w:after="0" w:line="280" w:lineRule="auto"/>
        <w:rPr>
          <w:sz w:val="20"/>
          <w:szCs w:val="20"/>
          <w:color w:val="auto"/>
        </w:rPr>
      </w:pPr>
      <w:r>
        <w:rPr>
          <w:rFonts w:ascii="Arial" w:cs="Arial" w:eastAsia="Arial" w:hAnsi="Arial"/>
          <w:sz w:val="15"/>
          <w:szCs w:val="15"/>
          <w:color w:val="auto"/>
        </w:rPr>
        <w:t>Minus: Average aggregate change in actuarial present value of accumulated</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155,548</w:t>
            </w:r>
          </w:p>
        </w:tc>
        <w:tc>
          <w:tcPr>
            <w:tcW w:w="400" w:type="dxa"/>
            <w:vAlign w:val="bottom"/>
          </w:tcPr>
          <w:p>
            <w:pPr>
              <w:ind w:left="20"/>
              <w:spacing w:after="0"/>
              <w:rPr>
                <w:sz w:val="20"/>
                <w:szCs w:val="20"/>
                <w:color w:val="auto"/>
              </w:rPr>
            </w:pPr>
            <w:r>
              <w:rPr>
                <w:rFonts w:ascii="Arial" w:cs="Arial" w:eastAsia="Arial" w:hAnsi="Arial"/>
                <w:sz w:val="16"/>
                <w:szCs w:val="16"/>
                <w:color w:val="auto"/>
              </w:rPr>
              <w:t>​ ​​$</w:t>
            </w:r>
          </w:p>
        </w:tc>
        <w:tc>
          <w:tcPr>
            <w:tcW w:w="620" w:type="dxa"/>
            <w:vAlign w:val="bottom"/>
          </w:tcPr>
          <w:p>
            <w:pPr>
              <w:jc w:val="right"/>
              <w:spacing w:after="0"/>
              <w:rPr>
                <w:sz w:val="20"/>
                <w:szCs w:val="20"/>
                <w:color w:val="auto"/>
              </w:rPr>
            </w:pPr>
            <w:r>
              <w:rPr>
                <w:rFonts w:ascii="Arial" w:cs="Arial" w:eastAsia="Arial" w:hAnsi="Arial"/>
                <w:sz w:val="16"/>
                <w:szCs w:val="16"/>
                <w:color w:val="auto"/>
              </w:rPr>
              <w:t>69,871</w:t>
            </w:r>
          </w:p>
        </w:tc>
        <w:tc>
          <w:tcPr>
            <w:tcW w:w="360" w:type="dxa"/>
            <w:vAlign w:val="bottom"/>
          </w:tcPr>
          <w:p>
            <w:pPr>
              <w:ind w:left="4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224,960</w:t>
            </w:r>
          </w:p>
        </w:tc>
        <w:tc>
          <w:tcPr>
            <w:tcW w:w="420" w:type="dxa"/>
            <w:vAlign w:val="bottom"/>
          </w:tcPr>
          <w:p>
            <w:pPr>
              <w:ind w:left="20"/>
              <w:spacing w:after="0"/>
              <w:rPr>
                <w:sz w:val="20"/>
                <w:szCs w:val="20"/>
                <w:color w:val="auto"/>
              </w:rPr>
            </w:pPr>
            <w:r>
              <w:rPr>
                <w:rFonts w:ascii="Arial" w:cs="Arial" w:eastAsia="Arial" w:hAnsi="Arial"/>
                <w:sz w:val="16"/>
                <w:szCs w:val="16"/>
                <w:color w:val="auto"/>
              </w:rPr>
              <w:t>​ ​​$</w:t>
            </w:r>
          </w:p>
        </w:tc>
        <w:tc>
          <w:tcPr>
            <w:tcW w:w="1040" w:type="dxa"/>
            <w:vAlign w:val="bottom"/>
          </w:tcPr>
          <w:p>
            <w:pPr>
              <w:ind w:left="140"/>
              <w:spacing w:after="0"/>
              <w:rPr>
                <w:sz w:val="20"/>
                <w:szCs w:val="20"/>
                <w:color w:val="auto"/>
              </w:rPr>
            </w:pPr>
            <w:r>
              <w:rPr>
                <w:rFonts w:ascii="Arial" w:cs="Arial" w:eastAsia="Arial" w:hAnsi="Arial"/>
                <w:sz w:val="16"/>
                <w:szCs w:val="16"/>
                <w:color w:val="auto"/>
              </w:rPr>
              <w:t>(2,111)​ ​​$</w:t>
            </w:r>
          </w:p>
        </w:tc>
        <w:tc>
          <w:tcPr>
            <w:tcW w:w="580" w:type="dxa"/>
            <w:vAlign w:val="bottom"/>
          </w:tcPr>
          <w:p>
            <w:pPr>
              <w:jc w:val="right"/>
              <w:spacing w:after="0"/>
              <w:rPr>
                <w:sz w:val="20"/>
                <w:szCs w:val="20"/>
                <w:color w:val="auto"/>
              </w:rPr>
            </w:pPr>
            <w:r>
              <w:rPr>
                <w:rFonts w:ascii="Arial" w:cs="Arial" w:eastAsia="Arial" w:hAnsi="Arial"/>
                <w:sz w:val="16"/>
                <w:szCs w:val="16"/>
                <w:color w:val="auto"/>
              </w:rPr>
              <w:t>5,796</w:t>
            </w:r>
          </w:p>
        </w:tc>
        <w:tc>
          <w:tcPr>
            <w:tcW w:w="8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459"/>
        </w:trPr>
        <w:tc>
          <w:tcPr>
            <w:tcW w:w="320" w:type="dxa"/>
            <w:vAlign w:val="bottom"/>
          </w:tcPr>
          <w:p>
            <w:pPr>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433,248</w:t>
            </w:r>
          </w:p>
        </w:tc>
        <w:tc>
          <w:tcPr>
            <w:tcW w:w="400" w:type="dxa"/>
            <w:vAlign w:val="bottom"/>
          </w:tcPr>
          <w:p>
            <w:pPr>
              <w:ind w:left="20"/>
              <w:spacing w:after="0"/>
              <w:rPr>
                <w:sz w:val="20"/>
                <w:szCs w:val="20"/>
                <w:color w:val="auto"/>
              </w:rPr>
            </w:pPr>
            <w:r>
              <w:rPr>
                <w:rFonts w:ascii="Arial" w:cs="Arial" w:eastAsia="Arial" w:hAnsi="Arial"/>
                <w:sz w:val="16"/>
                <w:szCs w:val="16"/>
                <w:color w:val="auto"/>
              </w:rPr>
              <w:t>​ ​​</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ind w:left="4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ind w:left="20"/>
              <w:spacing w:after="0"/>
              <w:rPr>
                <w:sz w:val="20"/>
                <w:szCs w:val="20"/>
                <w:color w:val="auto"/>
              </w:rPr>
            </w:pPr>
            <w:r>
              <w:rPr>
                <w:rFonts w:ascii="Arial" w:cs="Arial" w:eastAsia="Arial" w:hAnsi="Arial"/>
                <w:sz w:val="16"/>
                <w:szCs w:val="16"/>
                <w:color w:val="auto"/>
              </w:rPr>
              <w:t>​ ​​</w:t>
            </w:r>
          </w:p>
        </w:tc>
        <w:tc>
          <w:tcPr>
            <w:tcW w:w="1040" w:type="dxa"/>
            <w:vAlign w:val="bottom"/>
          </w:tcPr>
          <w:p>
            <w:pPr>
              <w:ind w:left="620"/>
              <w:spacing w:after="0"/>
              <w:rPr>
                <w:sz w:val="20"/>
                <w:szCs w:val="20"/>
                <w:color w:val="auto"/>
              </w:rPr>
            </w:pPr>
            <w:r>
              <w:rPr>
                <w:rFonts w:ascii="Arial" w:cs="Arial" w:eastAsia="Arial" w:hAnsi="Arial"/>
                <w:sz w:val="16"/>
                <w:szCs w:val="16"/>
                <w:color w:val="auto"/>
              </w:rPr>
              <w:t>​ ​​</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ind w:left="4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-2266315</wp:posOffset>
            </wp:positionH>
            <wp:positionV relativeFrom="paragraph">
              <wp:posOffset>-6350</wp:posOffset>
            </wp:positionV>
            <wp:extent cx="5554980" cy="4114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554980" cy="411480"/>
                    </a:xfrm>
                    <a:prstGeom prst="rect">
                      <a:avLst/>
                    </a:prstGeom>
                    <a:noFill/>
                  </pic:spPr>
                </pic:pic>
              </a:graphicData>
            </a:graphic>
          </wp:anchor>
        </w:drawing>
      </w:r>
    </w:p>
    <w:p>
      <w:pPr>
        <w:spacing w:after="0" w:line="431" w:lineRule="exact"/>
        <w:rPr>
          <w:sz w:val="20"/>
          <w:szCs w:val="20"/>
          <w:color w:val="auto"/>
        </w:rPr>
      </w:pPr>
    </w:p>
    <w:p>
      <w:pPr>
        <w:sectPr>
          <w:pgSz w:w="11900" w:h="16838" w:orient="portrait"/>
          <w:cols w:equalWidth="0" w:num="2">
            <w:col w:w="4480" w:space="80"/>
            <w:col w:w="5319"/>
          </w:cols>
          <w:pgMar w:left="580" w:top="97" w:right="1440" w:bottom="1440" w:gutter="0" w:footer="0" w:header="0"/>
          <w:type w:val="continuous"/>
        </w:sectPr>
      </w:pPr>
    </w:p>
    <w:tbl>
      <w:tblPr>
        <w:tblLayout w:type="fixed"/>
        <w:tblInd w:w="980" w:type="dxa"/>
        <w:tblCellMar>
          <w:top w:w="0" w:type="dxa"/>
          <w:left w:w="0" w:type="dxa"/>
          <w:bottom w:w="0" w:type="dxa"/>
          <w:right w:w="0" w:type="dxa"/>
        </w:tblCellMar>
      </w:tblPr>
      <w:tr>
        <w:trPr>
          <w:trHeight w:val="216"/>
        </w:trPr>
        <w:tc>
          <w:tcPr>
            <w:tcW w:w="3480" w:type="dxa"/>
            <w:vAlign w:val="bottom"/>
          </w:tcPr>
          <w:p>
            <w:pPr>
              <w:ind w:left="520"/>
              <w:spacing w:after="0"/>
              <w:rPr>
                <w:sz w:val="20"/>
                <w:szCs w:val="20"/>
                <w:color w:val="auto"/>
              </w:rPr>
            </w:pPr>
            <w:r>
              <w:rPr>
                <w:rFonts w:ascii="Arial" w:cs="Arial" w:eastAsia="Arial" w:hAnsi="Arial"/>
                <w:sz w:val="16"/>
                <w:szCs w:val="16"/>
                <w:color w:val="auto"/>
              </w:rPr>
              <w:t>benefit under pension plans</w:t>
            </w:r>
          </w:p>
        </w:tc>
        <w:tc>
          <w:tcPr>
            <w:tcW w:w="420" w:type="dxa"/>
            <w:vAlign w:val="bottom"/>
          </w:tcPr>
          <w:p>
            <w:pPr>
              <w:ind w:left="10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136,997</w:t>
            </w:r>
          </w:p>
        </w:tc>
        <w:tc>
          <w:tcPr>
            <w:tcW w:w="400" w:type="dxa"/>
            <w:vAlign w:val="bottom"/>
          </w:tcPr>
          <w:p>
            <w:pPr>
              <w:ind w:left="20"/>
              <w:spacing w:after="0"/>
              <w:rPr>
                <w:sz w:val="20"/>
                <w:szCs w:val="20"/>
                <w:color w:val="auto"/>
              </w:rPr>
            </w:pPr>
            <w:r>
              <w:rPr>
                <w:rFonts w:ascii="Arial" w:cs="Arial" w:eastAsia="Arial" w:hAnsi="Arial"/>
                <w:sz w:val="16"/>
                <w:szCs w:val="16"/>
                <w:color w:val="auto"/>
              </w:rPr>
              <w:t>​ ​​$</w:t>
            </w:r>
          </w:p>
        </w:tc>
        <w:tc>
          <w:tcPr>
            <w:tcW w:w="620" w:type="dxa"/>
            <w:vAlign w:val="bottom"/>
          </w:tcPr>
          <w:p>
            <w:pPr>
              <w:jc w:val="right"/>
              <w:spacing w:after="0"/>
              <w:rPr>
                <w:sz w:val="20"/>
                <w:szCs w:val="20"/>
                <w:color w:val="auto"/>
              </w:rPr>
            </w:pPr>
            <w:r>
              <w:rPr>
                <w:rFonts w:ascii="Arial" w:cs="Arial" w:eastAsia="Arial" w:hAnsi="Arial"/>
                <w:sz w:val="16"/>
                <w:szCs w:val="16"/>
                <w:color w:val="auto"/>
              </w:rPr>
              <w:t>43,134</w:t>
            </w:r>
          </w:p>
        </w:tc>
        <w:tc>
          <w:tcPr>
            <w:tcW w:w="400" w:type="dxa"/>
            <w:vAlign w:val="bottom"/>
          </w:tcPr>
          <w:p>
            <w:pPr>
              <w:ind w:left="40"/>
              <w:spacing w:after="0"/>
              <w:rPr>
                <w:sz w:val="20"/>
                <w:szCs w:val="20"/>
                <w:color w:val="auto"/>
              </w:rPr>
            </w:pPr>
            <w:r>
              <w:rPr>
                <w:rFonts w:ascii="Arial" w:cs="Arial" w:eastAsia="Arial" w:hAnsi="Arial"/>
                <w:sz w:val="16"/>
                <w:szCs w:val="16"/>
                <w:color w:val="auto"/>
              </w:rPr>
              <w:t>​ ​​$</w:t>
            </w:r>
          </w:p>
        </w:tc>
        <w:tc>
          <w:tcPr>
            <w:tcW w:w="640" w:type="dxa"/>
            <w:vAlign w:val="bottom"/>
          </w:tcPr>
          <w:p>
            <w:pPr>
              <w:jc w:val="right"/>
              <w:spacing w:after="0"/>
              <w:rPr>
                <w:sz w:val="20"/>
                <w:szCs w:val="20"/>
                <w:color w:val="auto"/>
              </w:rPr>
            </w:pPr>
            <w:r>
              <w:rPr>
                <w:rFonts w:ascii="Arial" w:cs="Arial" w:eastAsia="Arial" w:hAnsi="Arial"/>
                <w:sz w:val="16"/>
                <w:szCs w:val="16"/>
                <w:color w:val="auto"/>
              </w:rPr>
              <w:t>63,768</w:t>
            </w:r>
          </w:p>
        </w:tc>
        <w:tc>
          <w:tcPr>
            <w:tcW w:w="380" w:type="dxa"/>
            <w:vAlign w:val="bottom"/>
          </w:tcPr>
          <w:p>
            <w:pPr>
              <w:ind w:left="20"/>
              <w:spacing w:after="0"/>
              <w:rPr>
                <w:sz w:val="20"/>
                <w:szCs w:val="20"/>
                <w:color w:val="auto"/>
              </w:rPr>
            </w:pPr>
            <w:r>
              <w:rPr>
                <w:rFonts w:ascii="Arial" w:cs="Arial" w:eastAsia="Arial" w:hAnsi="Arial"/>
                <w:sz w:val="16"/>
                <w:szCs w:val="16"/>
                <w:color w:val="auto"/>
              </w:rPr>
              <w:t>​ ​​$</w:t>
            </w:r>
          </w:p>
        </w:tc>
        <w:tc>
          <w:tcPr>
            <w:tcW w:w="640" w:type="dxa"/>
            <w:vAlign w:val="bottom"/>
          </w:tcPr>
          <w:p>
            <w:pPr>
              <w:jc w:val="right"/>
              <w:spacing w:after="0"/>
              <w:rPr>
                <w:sz w:val="20"/>
                <w:szCs w:val="20"/>
                <w:color w:val="auto"/>
              </w:rPr>
            </w:pPr>
            <w:r>
              <w:rPr>
                <w:rFonts w:ascii="Arial" w:cs="Arial" w:eastAsia="Arial" w:hAnsi="Arial"/>
                <w:sz w:val="16"/>
                <w:szCs w:val="16"/>
                <w:color w:val="auto"/>
              </w:rPr>
              <w:t>58,509</w:t>
            </w:r>
          </w:p>
        </w:tc>
        <w:tc>
          <w:tcPr>
            <w:tcW w:w="400" w:type="dxa"/>
            <w:vAlign w:val="bottom"/>
          </w:tcPr>
          <w:p>
            <w:pPr>
              <w:ind w:left="20"/>
              <w:spacing w:after="0"/>
              <w:rPr>
                <w:sz w:val="20"/>
                <w:szCs w:val="20"/>
                <w:color w:val="auto"/>
              </w:rPr>
            </w:pPr>
            <w:r>
              <w:rPr>
                <w:rFonts w:ascii="Arial" w:cs="Arial" w:eastAsia="Arial" w:hAnsi="Arial"/>
                <w:sz w:val="16"/>
                <w:szCs w:val="16"/>
                <w:color w:val="auto"/>
              </w:rPr>
              <w:t>​ ​​$</w:t>
            </w:r>
          </w:p>
        </w:tc>
        <w:tc>
          <w:tcPr>
            <w:tcW w:w="620" w:type="dxa"/>
            <w:vAlign w:val="bottom"/>
          </w:tcPr>
          <w:p>
            <w:pPr>
              <w:jc w:val="right"/>
              <w:spacing w:after="0"/>
              <w:rPr>
                <w:sz w:val="20"/>
                <w:szCs w:val="20"/>
                <w:color w:val="auto"/>
              </w:rPr>
            </w:pPr>
            <w:r>
              <w:rPr>
                <w:rFonts w:ascii="Arial" w:cs="Arial" w:eastAsia="Arial" w:hAnsi="Arial"/>
                <w:sz w:val="16"/>
                <w:szCs w:val="16"/>
                <w:color w:val="auto"/>
              </w:rPr>
              <w:t>57,370</w:t>
            </w:r>
          </w:p>
        </w:tc>
        <w:tc>
          <w:tcPr>
            <w:tcW w:w="8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17"/>
        </w:trPr>
        <w:tc>
          <w:tcPr>
            <w:tcW w:w="3480" w:type="dxa"/>
            <w:vAlign w:val="bottom"/>
          </w:tcPr>
          <w:p>
            <w:pPr>
              <w:ind w:left="520"/>
              <w:spacing w:after="0"/>
              <w:rPr>
                <w:sz w:val="20"/>
                <w:szCs w:val="20"/>
                <w:color w:val="auto"/>
              </w:rPr>
            </w:pPr>
            <w:r>
              <w:rPr>
                <w:rFonts w:ascii="Arial" w:cs="Arial" w:eastAsia="Arial" w:hAnsi="Arial"/>
                <w:sz w:val="16"/>
                <w:szCs w:val="16"/>
                <w:color w:val="auto"/>
              </w:rPr>
              <w:t>Plus: Average aggregate service costs</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80" w:type="dxa"/>
            <w:vAlign w:val="bottom"/>
          </w:tcPr>
          <w:p>
            <w:pPr>
              <w:ind w:left="520"/>
              <w:spacing w:after="0"/>
              <w:rPr>
                <w:sz w:val="20"/>
                <w:szCs w:val="20"/>
                <w:color w:val="auto"/>
              </w:rPr>
            </w:pPr>
            <w:r>
              <w:rPr>
                <w:rFonts w:ascii="Arial" w:cs="Arial" w:eastAsia="Arial" w:hAnsi="Arial"/>
                <w:sz w:val="16"/>
                <w:szCs w:val="16"/>
                <w:color w:val="auto"/>
              </w:rPr>
              <w:t>and prior service costs for pension plans</w:t>
            </w:r>
          </w:p>
        </w:tc>
        <w:tc>
          <w:tcPr>
            <w:tcW w:w="420" w:type="dxa"/>
            <w:vAlign w:val="bottom"/>
          </w:tcPr>
          <w:p>
            <w:pPr>
              <w:ind w:left="10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40,575</w:t>
            </w:r>
          </w:p>
        </w:tc>
        <w:tc>
          <w:tcPr>
            <w:tcW w:w="400" w:type="dxa"/>
            <w:vAlign w:val="bottom"/>
          </w:tcPr>
          <w:p>
            <w:pPr>
              <w:ind w:left="20"/>
              <w:spacing w:after="0"/>
              <w:rPr>
                <w:sz w:val="20"/>
                <w:szCs w:val="20"/>
                <w:color w:val="auto"/>
              </w:rPr>
            </w:pPr>
            <w:r>
              <w:rPr>
                <w:rFonts w:ascii="Arial" w:cs="Arial" w:eastAsia="Arial" w:hAnsi="Arial"/>
                <w:sz w:val="16"/>
                <w:szCs w:val="16"/>
                <w:color w:val="auto"/>
              </w:rPr>
              <w:t>​ ​​$</w:t>
            </w:r>
          </w:p>
        </w:tc>
        <w:tc>
          <w:tcPr>
            <w:tcW w:w="620" w:type="dxa"/>
            <w:vAlign w:val="bottom"/>
          </w:tcPr>
          <w:p>
            <w:pPr>
              <w:jc w:val="right"/>
              <w:spacing w:after="0"/>
              <w:rPr>
                <w:sz w:val="20"/>
                <w:szCs w:val="20"/>
                <w:color w:val="auto"/>
              </w:rPr>
            </w:pPr>
            <w:r>
              <w:rPr>
                <w:rFonts w:ascii="Arial" w:cs="Arial" w:eastAsia="Arial" w:hAnsi="Arial"/>
                <w:sz w:val="16"/>
                <w:szCs w:val="16"/>
                <w:color w:val="auto"/>
              </w:rPr>
              <w:t>37,909</w:t>
            </w:r>
          </w:p>
        </w:tc>
        <w:tc>
          <w:tcPr>
            <w:tcW w:w="400" w:type="dxa"/>
            <w:vAlign w:val="bottom"/>
          </w:tcPr>
          <w:p>
            <w:pPr>
              <w:ind w:left="40"/>
              <w:spacing w:after="0"/>
              <w:rPr>
                <w:sz w:val="20"/>
                <w:szCs w:val="20"/>
                <w:color w:val="auto"/>
              </w:rPr>
            </w:pPr>
            <w:r>
              <w:rPr>
                <w:rFonts w:ascii="Arial" w:cs="Arial" w:eastAsia="Arial" w:hAnsi="Arial"/>
                <w:sz w:val="16"/>
                <w:szCs w:val="16"/>
                <w:color w:val="auto"/>
              </w:rPr>
              <w:t>​ ​​$</w:t>
            </w:r>
          </w:p>
        </w:tc>
        <w:tc>
          <w:tcPr>
            <w:tcW w:w="640" w:type="dxa"/>
            <w:vAlign w:val="bottom"/>
          </w:tcPr>
          <w:p>
            <w:pPr>
              <w:jc w:val="right"/>
              <w:spacing w:after="0"/>
              <w:rPr>
                <w:sz w:val="20"/>
                <w:szCs w:val="20"/>
                <w:color w:val="auto"/>
              </w:rPr>
            </w:pPr>
            <w:r>
              <w:rPr>
                <w:rFonts w:ascii="Arial" w:cs="Arial" w:eastAsia="Arial" w:hAnsi="Arial"/>
                <w:sz w:val="16"/>
                <w:szCs w:val="16"/>
                <w:color w:val="auto"/>
              </w:rPr>
              <w:t>53,442</w:t>
            </w:r>
          </w:p>
        </w:tc>
        <w:tc>
          <w:tcPr>
            <w:tcW w:w="380" w:type="dxa"/>
            <w:vAlign w:val="bottom"/>
          </w:tcPr>
          <w:p>
            <w:pPr>
              <w:ind w:left="20"/>
              <w:spacing w:after="0"/>
              <w:rPr>
                <w:sz w:val="20"/>
                <w:szCs w:val="20"/>
                <w:color w:val="auto"/>
              </w:rPr>
            </w:pPr>
            <w:r>
              <w:rPr>
                <w:rFonts w:ascii="Arial" w:cs="Arial" w:eastAsia="Arial" w:hAnsi="Arial"/>
                <w:sz w:val="16"/>
                <w:szCs w:val="16"/>
                <w:color w:val="auto"/>
              </w:rPr>
              <w:t>​ ​​$</w:t>
            </w:r>
          </w:p>
        </w:tc>
        <w:tc>
          <w:tcPr>
            <w:tcW w:w="640" w:type="dxa"/>
            <w:vAlign w:val="bottom"/>
          </w:tcPr>
          <w:p>
            <w:pPr>
              <w:jc w:val="right"/>
              <w:spacing w:after="0"/>
              <w:rPr>
                <w:sz w:val="20"/>
                <w:szCs w:val="20"/>
                <w:color w:val="auto"/>
              </w:rPr>
            </w:pPr>
            <w:r>
              <w:rPr>
                <w:rFonts w:ascii="Arial" w:cs="Arial" w:eastAsia="Arial" w:hAnsi="Arial"/>
                <w:sz w:val="16"/>
                <w:szCs w:val="16"/>
                <w:color w:val="auto"/>
              </w:rPr>
              <w:t>38,429</w:t>
            </w:r>
          </w:p>
        </w:tc>
        <w:tc>
          <w:tcPr>
            <w:tcW w:w="400" w:type="dxa"/>
            <w:vAlign w:val="bottom"/>
          </w:tcPr>
          <w:p>
            <w:pPr>
              <w:ind w:left="20"/>
              <w:spacing w:after="0"/>
              <w:rPr>
                <w:sz w:val="20"/>
                <w:szCs w:val="20"/>
                <w:color w:val="auto"/>
              </w:rPr>
            </w:pPr>
            <w:r>
              <w:rPr>
                <w:rFonts w:ascii="Arial" w:cs="Arial" w:eastAsia="Arial" w:hAnsi="Arial"/>
                <w:sz w:val="16"/>
                <w:szCs w:val="16"/>
                <w:color w:val="auto"/>
              </w:rPr>
              <w:t>​ ​​$</w:t>
            </w:r>
          </w:p>
        </w:tc>
        <w:tc>
          <w:tcPr>
            <w:tcW w:w="620" w:type="dxa"/>
            <w:vAlign w:val="bottom"/>
          </w:tcPr>
          <w:p>
            <w:pPr>
              <w:jc w:val="right"/>
              <w:spacing w:after="0"/>
              <w:rPr>
                <w:sz w:val="20"/>
                <w:szCs w:val="20"/>
                <w:color w:val="auto"/>
              </w:rPr>
            </w:pPr>
            <w:r>
              <w:rPr>
                <w:rFonts w:ascii="Arial" w:cs="Arial" w:eastAsia="Arial" w:hAnsi="Arial"/>
                <w:sz w:val="16"/>
                <w:szCs w:val="16"/>
                <w:color w:val="auto"/>
              </w:rPr>
              <w:t>44,340</w:t>
            </w:r>
          </w:p>
        </w:tc>
        <w:tc>
          <w:tcPr>
            <w:tcW w:w="8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91"/>
        </w:trPr>
        <w:tc>
          <w:tcPr>
            <w:tcW w:w="3480" w:type="dxa"/>
            <w:vAlign w:val="bottom"/>
            <w:tcBorders>
              <w:bottom w:val="single" w:sz="8" w:color="53C072"/>
            </w:tcBorders>
            <w:shd w:val="clear" w:color="auto" w:fill="CBECD5"/>
          </w:tcPr>
          <w:p>
            <w:pPr>
              <w:ind w:left="120"/>
              <w:spacing w:after="0"/>
              <w:rPr>
                <w:sz w:val="20"/>
                <w:szCs w:val="20"/>
                <w:color w:val="auto"/>
              </w:rPr>
            </w:pPr>
            <w:r>
              <w:rPr>
                <w:rFonts w:ascii="Arial" w:cs="Arial" w:eastAsia="Arial" w:hAnsi="Arial"/>
                <w:sz w:val="16"/>
                <w:szCs w:val="16"/>
                <w:b w:val="1"/>
                <w:bCs w:val="1"/>
                <w:color w:val="auto"/>
              </w:rPr>
              <w:t>Average Compensation Actually Paid</w:t>
            </w:r>
          </w:p>
        </w:tc>
        <w:tc>
          <w:tcPr>
            <w:tcW w:w="1100" w:type="dxa"/>
            <w:vAlign w:val="bottom"/>
            <w:tcBorders>
              <w:bottom w:val="single" w:sz="8" w:color="53C072"/>
            </w:tcBorders>
            <w:gridSpan w:val="2"/>
            <w:shd w:val="clear" w:color="auto" w:fill="CBECD5"/>
          </w:tcPr>
          <w:p>
            <w:pPr>
              <w:jc w:val="right"/>
              <w:spacing w:after="0" w:line="283" w:lineRule="exact"/>
              <w:rPr>
                <w:sz w:val="20"/>
                <w:szCs w:val="20"/>
                <w:color w:val="auto"/>
              </w:rPr>
            </w:pPr>
            <w:r>
              <w:rPr>
                <w:rFonts w:ascii="Arial" w:cs="Arial" w:eastAsia="Arial" w:hAnsi="Arial"/>
                <w:sz w:val="32"/>
                <w:szCs w:val="32"/>
                <w:b w:val="1"/>
                <w:bCs w:val="1"/>
                <w:color w:val="auto"/>
                <w:vertAlign w:val="subscript"/>
              </w:rPr>
              <w:t>​ ​​</w:t>
            </w:r>
            <w:r>
              <w:rPr>
                <w:rFonts w:ascii="Arial" w:cs="Arial" w:eastAsia="Arial" w:hAnsi="Arial"/>
                <w:sz w:val="16"/>
                <w:szCs w:val="16"/>
                <w:b w:val="1"/>
                <w:bCs w:val="1"/>
                <w:color w:val="auto"/>
              </w:rPr>
              <w:t>$1,527,825</w:t>
            </w:r>
          </w:p>
        </w:tc>
        <w:tc>
          <w:tcPr>
            <w:tcW w:w="1020" w:type="dxa"/>
            <w:vAlign w:val="bottom"/>
            <w:tcBorders>
              <w:bottom w:val="single" w:sz="8" w:color="53C072"/>
            </w:tcBorders>
            <w:gridSpan w:val="2"/>
            <w:shd w:val="clear" w:color="auto" w:fill="CBECD5"/>
          </w:tcPr>
          <w:p>
            <w:pPr>
              <w:jc w:val="right"/>
              <w:spacing w:after="0" w:line="283" w:lineRule="exact"/>
              <w:rPr>
                <w:sz w:val="20"/>
                <w:szCs w:val="20"/>
                <w:color w:val="auto"/>
              </w:rPr>
            </w:pPr>
            <w:r>
              <w:rPr>
                <w:rFonts w:ascii="Arial" w:cs="Arial" w:eastAsia="Arial" w:hAnsi="Arial"/>
                <w:sz w:val="32"/>
                <w:szCs w:val="32"/>
                <w:b w:val="1"/>
                <w:bCs w:val="1"/>
                <w:color w:val="auto"/>
                <w:vertAlign w:val="subscript"/>
              </w:rPr>
              <w:t>​ ​​</w:t>
            </w:r>
            <w:r>
              <w:rPr>
                <w:rFonts w:ascii="Arial" w:cs="Arial" w:eastAsia="Arial" w:hAnsi="Arial"/>
                <w:sz w:val="16"/>
                <w:szCs w:val="16"/>
                <w:b w:val="1"/>
                <w:bCs w:val="1"/>
                <w:color w:val="auto"/>
              </w:rPr>
              <w:t>$1,912,506</w:t>
            </w:r>
          </w:p>
        </w:tc>
        <w:tc>
          <w:tcPr>
            <w:tcW w:w="1040" w:type="dxa"/>
            <w:vAlign w:val="bottom"/>
            <w:tcBorders>
              <w:bottom w:val="single" w:sz="8" w:color="53C072"/>
            </w:tcBorders>
            <w:gridSpan w:val="2"/>
            <w:shd w:val="clear" w:color="auto" w:fill="CBECD5"/>
          </w:tcPr>
          <w:p>
            <w:pPr>
              <w:jc w:val="right"/>
              <w:spacing w:after="0" w:line="283" w:lineRule="exact"/>
              <w:rPr>
                <w:sz w:val="20"/>
                <w:szCs w:val="20"/>
                <w:color w:val="auto"/>
              </w:rPr>
            </w:pPr>
            <w:r>
              <w:rPr>
                <w:rFonts w:ascii="Arial" w:cs="Arial" w:eastAsia="Arial" w:hAnsi="Arial"/>
                <w:sz w:val="32"/>
                <w:szCs w:val="32"/>
                <w:b w:val="1"/>
                <w:bCs w:val="1"/>
                <w:color w:val="auto"/>
                <w:vertAlign w:val="subscript"/>
              </w:rPr>
              <w:t>​ ​​</w:t>
            </w:r>
            <w:r>
              <w:rPr>
                <w:rFonts w:ascii="Arial" w:cs="Arial" w:eastAsia="Arial" w:hAnsi="Arial"/>
                <w:sz w:val="16"/>
                <w:szCs w:val="16"/>
                <w:b w:val="1"/>
                <w:bCs w:val="1"/>
                <w:color w:val="auto"/>
              </w:rPr>
              <w:t>$1,950,485</w:t>
            </w:r>
          </w:p>
        </w:tc>
        <w:tc>
          <w:tcPr>
            <w:tcW w:w="1020" w:type="dxa"/>
            <w:vAlign w:val="bottom"/>
            <w:tcBorders>
              <w:bottom w:val="single" w:sz="8" w:color="53C072"/>
            </w:tcBorders>
            <w:gridSpan w:val="2"/>
            <w:shd w:val="clear" w:color="auto" w:fill="CBECD5"/>
          </w:tcPr>
          <w:p>
            <w:pPr>
              <w:jc w:val="right"/>
              <w:spacing w:after="0" w:line="283" w:lineRule="exact"/>
              <w:rPr>
                <w:sz w:val="20"/>
                <w:szCs w:val="20"/>
                <w:color w:val="auto"/>
              </w:rPr>
            </w:pPr>
            <w:r>
              <w:rPr>
                <w:rFonts w:ascii="Arial" w:cs="Arial" w:eastAsia="Arial" w:hAnsi="Arial"/>
                <w:sz w:val="32"/>
                <w:szCs w:val="32"/>
                <w:b w:val="1"/>
                <w:bCs w:val="1"/>
                <w:color w:val="auto"/>
                <w:vertAlign w:val="subscript"/>
              </w:rPr>
              <w:t>​ ​​</w:t>
            </w:r>
            <w:r>
              <w:rPr>
                <w:rFonts w:ascii="Arial" w:cs="Arial" w:eastAsia="Arial" w:hAnsi="Arial"/>
                <w:sz w:val="16"/>
                <w:szCs w:val="16"/>
                <w:b w:val="1"/>
                <w:bCs w:val="1"/>
                <w:color w:val="auto"/>
              </w:rPr>
              <w:t>$1,354,722</w:t>
            </w:r>
          </w:p>
        </w:tc>
        <w:tc>
          <w:tcPr>
            <w:tcW w:w="1020" w:type="dxa"/>
            <w:vAlign w:val="bottom"/>
            <w:tcBorders>
              <w:bottom w:val="single" w:sz="8" w:color="53C072"/>
            </w:tcBorders>
            <w:gridSpan w:val="2"/>
            <w:shd w:val="clear" w:color="auto" w:fill="CBECD5"/>
          </w:tcPr>
          <w:p>
            <w:pPr>
              <w:jc w:val="right"/>
              <w:spacing w:after="0" w:line="283" w:lineRule="exact"/>
              <w:rPr>
                <w:sz w:val="20"/>
                <w:szCs w:val="20"/>
                <w:color w:val="auto"/>
              </w:rPr>
            </w:pPr>
            <w:r>
              <w:rPr>
                <w:rFonts w:ascii="Arial" w:cs="Arial" w:eastAsia="Arial" w:hAnsi="Arial"/>
                <w:sz w:val="32"/>
                <w:szCs w:val="32"/>
                <w:b w:val="1"/>
                <w:bCs w:val="1"/>
                <w:color w:val="auto"/>
                <w:vertAlign w:val="subscript"/>
              </w:rPr>
              <w:t>​ ​​</w:t>
            </w:r>
            <w:r>
              <w:rPr>
                <w:rFonts w:ascii="Arial" w:cs="Arial" w:eastAsia="Arial" w:hAnsi="Arial"/>
                <w:sz w:val="16"/>
                <w:szCs w:val="16"/>
                <w:b w:val="1"/>
                <w:bCs w:val="1"/>
                <w:color w:val="auto"/>
              </w:rPr>
              <w:t>$1,491,950</w:t>
            </w:r>
          </w:p>
        </w:tc>
        <w:tc>
          <w:tcPr>
            <w:tcW w:w="8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6"/>
                <w:szCs w:val="16"/>
                <w:b w:val="1"/>
                <w:bCs w:val="1"/>
                <w:color w:val="auto"/>
              </w:rPr>
              <w:t>​</w:t>
            </w:r>
          </w:p>
        </w:tc>
      </w:tr>
    </w:tbl>
    <w:p>
      <w:pPr>
        <w:spacing w:after="0" w:line="188" w:lineRule="exact"/>
        <w:rPr>
          <w:sz w:val="20"/>
          <w:szCs w:val="20"/>
          <w:color w:val="auto"/>
        </w:rPr>
      </w:pPr>
    </w:p>
    <w:p>
      <w:pPr>
        <w:ind w:left="1000" w:right="479"/>
        <w:spacing w:after="0" w:line="285" w:lineRule="auto"/>
        <w:rPr>
          <w:sz w:val="20"/>
          <w:szCs w:val="20"/>
          <w:color w:val="auto"/>
        </w:rPr>
      </w:pPr>
      <w:r>
        <w:rPr>
          <w:rFonts w:ascii="Arial" w:cs="Arial" w:eastAsia="Arial" w:hAnsi="Arial"/>
          <w:sz w:val="22"/>
          <w:szCs w:val="22"/>
          <w:b w:val="1"/>
          <w:bCs w:val="1"/>
          <w:color w:val="53C072"/>
        </w:rPr>
        <w:t>RELATIONSHIP BETWEEN COMPENSATION ACTUALLY PAID AND PERFORMANCE MEASURES</w:t>
      </w:r>
    </w:p>
    <w:p>
      <w:pPr>
        <w:spacing w:after="0" w:line="57" w:lineRule="exact"/>
        <w:rPr>
          <w:sz w:val="20"/>
          <w:szCs w:val="20"/>
          <w:color w:val="auto"/>
        </w:rPr>
      </w:pPr>
    </w:p>
    <w:p>
      <w:pPr>
        <w:ind w:left="1000" w:right="619"/>
        <w:spacing w:after="0" w:line="335" w:lineRule="auto"/>
        <w:rPr>
          <w:sz w:val="20"/>
          <w:szCs w:val="20"/>
          <w:color w:val="auto"/>
        </w:rPr>
      </w:pPr>
      <w:r>
        <w:rPr>
          <w:rFonts w:ascii="Arial" w:cs="Arial" w:eastAsia="Arial" w:hAnsi="Arial"/>
          <w:sz w:val="17"/>
          <w:szCs w:val="17"/>
          <w:color w:val="auto"/>
        </w:rPr>
        <w:t>The following describes the relationship between CAP and the financial performance measures in the Pay Versus Performance Table, as well as the relationship between Company TSR and Peer Group TSR.</w:t>
      </w:r>
    </w:p>
    <w:p>
      <w:pPr>
        <w:spacing w:after="0" w:line="44"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CAP vs. Company TSR</w:t>
      </w:r>
    </w:p>
    <w:p>
      <w:pPr>
        <w:spacing w:after="0" w:line="153" w:lineRule="exact"/>
        <w:rPr>
          <w:sz w:val="20"/>
          <w:szCs w:val="20"/>
          <w:color w:val="auto"/>
        </w:rPr>
      </w:pPr>
    </w:p>
    <w:p>
      <w:pPr>
        <w:ind w:left="1000" w:right="219"/>
        <w:spacing w:after="0" w:line="270" w:lineRule="auto"/>
        <w:rPr>
          <w:sz w:val="20"/>
          <w:szCs w:val="20"/>
          <w:color w:val="auto"/>
        </w:rPr>
      </w:pPr>
      <w:r>
        <w:rPr>
          <w:rFonts w:ascii="Arial" w:cs="Arial" w:eastAsia="Arial" w:hAnsi="Arial"/>
          <w:sz w:val="18"/>
          <w:szCs w:val="18"/>
          <w:color w:val="auto"/>
        </w:rPr>
        <w:t>Changes in CAP values for the PEO and non-PEO NEOs over fiscal years 2021 through 2025 generally align with changes in the Company’s TSR over this same period. CAP values increased modestly in fiscal 2025 over the prior year as did the Company TSR. Equity awards in long-term incentive plans represent a significant portion of the NEOs’ total compensation and generally result in the alignment of the fair value of the NEOs’ equity awards with shareholders’ interest. Fluctuations in stock price over this five-year period similarly impacted the changes in fair value of the NEOs’ equity awards.</w:t>
      </w:r>
    </w:p>
    <w:p>
      <w:pPr>
        <w:spacing w:after="0" w:line="97"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CAP vs. Net Income</w:t>
      </w:r>
    </w:p>
    <w:p>
      <w:pPr>
        <w:spacing w:after="0" w:line="153" w:lineRule="exact"/>
        <w:rPr>
          <w:sz w:val="20"/>
          <w:szCs w:val="20"/>
          <w:color w:val="auto"/>
        </w:rPr>
      </w:pPr>
    </w:p>
    <w:p>
      <w:pPr>
        <w:ind w:left="1000" w:right="239"/>
        <w:spacing w:after="0" w:line="273" w:lineRule="auto"/>
        <w:rPr>
          <w:sz w:val="20"/>
          <w:szCs w:val="20"/>
          <w:color w:val="auto"/>
        </w:rPr>
      </w:pPr>
      <w:r>
        <w:rPr>
          <w:rFonts w:ascii="Arial" w:cs="Arial" w:eastAsia="Arial" w:hAnsi="Arial"/>
          <w:sz w:val="18"/>
          <w:szCs w:val="18"/>
          <w:color w:val="auto"/>
        </w:rPr>
        <w:t>The SEC requires net income to be included as a performance measure in the Pay Versus Performance Table. However, the Company does not use net income in its compensation incentive plan design or to determine compensation levels. Therefore, changes in CAP values over fiscal years 2021 through 2025 somewhat align with changes in the Company’s net income over this same period.</w:t>
      </w:r>
    </w:p>
    <w:p>
      <w:pPr>
        <w:spacing w:after="0" w:line="93"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CAP vs. Adjusted Operating Income Dollars</w:t>
      </w:r>
    </w:p>
    <w:p>
      <w:pPr>
        <w:spacing w:after="0" w:line="153" w:lineRule="exact"/>
        <w:rPr>
          <w:sz w:val="20"/>
          <w:szCs w:val="20"/>
          <w:color w:val="auto"/>
        </w:rPr>
      </w:pPr>
    </w:p>
    <w:p>
      <w:pPr>
        <w:ind w:left="1000" w:right="479"/>
        <w:spacing w:after="0" w:line="335" w:lineRule="auto"/>
        <w:rPr>
          <w:sz w:val="20"/>
          <w:szCs w:val="20"/>
          <w:color w:val="auto"/>
        </w:rPr>
      </w:pPr>
      <w:r>
        <w:rPr>
          <w:rFonts w:ascii="Arial" w:cs="Arial" w:eastAsia="Arial" w:hAnsi="Arial"/>
          <w:sz w:val="17"/>
          <w:szCs w:val="17"/>
          <w:color w:val="auto"/>
        </w:rPr>
        <w:t>Adjusted OI$ (the Company-Selected Measure) is a non-GAAP measure, and the achievement of certain Adjusted OI$ targets was one of the metrics used in calculating the NEOs’ annual cash incentive awards for</w:t>
      </w:r>
    </w:p>
    <w:p>
      <w:pPr>
        <w:spacing w:after="0" w:line="9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70     </w:t>
      </w:r>
      <w:r>
        <w:rPr>
          <w:sz w:val="1"/>
          <w:szCs w:val="1"/>
          <w:color w:val="auto"/>
        </w:rPr>
        <w:drawing>
          <wp:inline distT="0" distB="0" distL="0" distR="0">
            <wp:extent cx="1242695" cy="24003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26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480" w:type="dxa"/>
            <w:vAlign w:val="bottom"/>
            <w:vMerge w:val="restart"/>
          </w:tcPr>
          <w:p>
            <w:pPr>
              <w:ind w:left="2920"/>
              <w:spacing w:after="0"/>
              <w:rPr>
                <w:sz w:val="20"/>
                <w:szCs w:val="20"/>
                <w:color w:val="auto"/>
              </w:rPr>
            </w:pPr>
            <w:r>
              <w:rPr>
                <w:rFonts w:ascii="Arial" w:cs="Arial" w:eastAsia="Arial" w:hAnsi="Arial"/>
                <w:sz w:val="14"/>
                <w:szCs w:val="14"/>
                <w:color w:val="auto"/>
                <w:w w:val="98"/>
              </w:rPr>
              <w:t>Pay Versus Performance</w:t>
            </w:r>
          </w:p>
        </w:tc>
        <w:tc>
          <w:tcPr>
            <w:tcW w:w="0" w:type="dxa"/>
            <w:vAlign w:val="bottom"/>
          </w:tcPr>
          <w:p>
            <w:pPr>
              <w:spacing w:after="0"/>
              <w:rPr>
                <w:sz w:val="1"/>
                <w:szCs w:val="1"/>
                <w:color w:val="auto"/>
              </w:rPr>
            </w:pPr>
          </w:p>
        </w:tc>
      </w:tr>
      <w:tr>
        <w:trPr>
          <w:trHeight w:val="89"/>
        </w:trPr>
        <w:tc>
          <w:tcPr>
            <w:tcW w:w="52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260" w:type="dxa"/>
            <w:vAlign w:val="bottom"/>
            <w:vMerge w:val="continue"/>
          </w:tcPr>
          <w:p>
            <w:pPr>
              <w:spacing w:after="0"/>
              <w:rPr>
                <w:sz w:val="11"/>
                <w:szCs w:val="11"/>
                <w:color w:val="auto"/>
              </w:rPr>
            </w:pPr>
          </w:p>
        </w:tc>
        <w:tc>
          <w:tcPr>
            <w:tcW w:w="4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jc w:val="both"/>
        <w:ind w:left="1000" w:right="519"/>
        <w:spacing w:after="0" w:line="268" w:lineRule="auto"/>
        <w:rPr>
          <w:sz w:val="20"/>
          <w:szCs w:val="20"/>
          <w:color w:val="auto"/>
        </w:rPr>
      </w:pPr>
      <w:r>
        <w:rPr>
          <w:rFonts w:ascii="Arial" w:cs="Arial" w:eastAsia="Arial" w:hAnsi="Arial"/>
          <w:sz w:val="18"/>
          <w:szCs w:val="18"/>
          <w:color w:val="auto"/>
        </w:rPr>
        <w:t>each of the fiscal years 2021 through 2025. Changes in CAP values for the PEO and non-PEO NEOs over fiscal years 2021 through 2025 generally align with changes in the Company’s Adjusted OI$ over this same period.</w:t>
      </w:r>
    </w:p>
    <w:p>
      <w:pPr>
        <w:spacing w:after="0" w:line="98"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Company TSR vs. Peer Group TSR</w:t>
      </w:r>
    </w:p>
    <w:p>
      <w:pPr>
        <w:spacing w:after="0" w:line="153" w:lineRule="exact"/>
        <w:rPr>
          <w:sz w:val="20"/>
          <w:szCs w:val="20"/>
          <w:color w:val="auto"/>
        </w:rPr>
      </w:pPr>
    </w:p>
    <w:p>
      <w:pPr>
        <w:ind w:left="1000" w:right="219"/>
        <w:spacing w:after="0" w:line="256" w:lineRule="auto"/>
        <w:rPr>
          <w:sz w:val="20"/>
          <w:szCs w:val="20"/>
          <w:color w:val="auto"/>
        </w:rPr>
      </w:pPr>
      <w:r>
        <w:rPr>
          <w:rFonts w:ascii="Arial" w:cs="Arial" w:eastAsia="Arial" w:hAnsi="Arial"/>
          <w:sz w:val="18"/>
          <w:szCs w:val="18"/>
          <w:color w:val="auto"/>
        </w:rPr>
        <w:t>Both the Company TSR and Peer Group TSR generally increased over fiscal years 2021 through 2025. The design of PSU awards granted in fiscal years 2019, 2020, 2023, 2024 and 2025 included modifiers based on Company TSR against a peer group TSR to provide a level of alignment between executive compensation and TSR. However, the peer groups used under these modifiers varied between PSU awards and are different than the selected Peer Group reflected in the Pay Versus Performance Table, which consists of fewer companies. Please see the “Compensation Discussion and Analysis” section of this Proxy Statement for more information on the peer groups used under the modifiers.</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MOST IMPORTANT FINANCIAL PERFORMANCE MEASURES FOR FISCAL 2025</w:t>
      </w:r>
    </w:p>
    <w:p>
      <w:pPr>
        <w:spacing w:after="0" w:line="148" w:lineRule="exact"/>
        <w:rPr>
          <w:sz w:val="20"/>
          <w:szCs w:val="20"/>
          <w:color w:val="auto"/>
        </w:rPr>
      </w:pPr>
    </w:p>
    <w:p>
      <w:pPr>
        <w:ind w:left="1000" w:right="299"/>
        <w:spacing w:after="0" w:line="262" w:lineRule="auto"/>
        <w:rPr>
          <w:sz w:val="20"/>
          <w:szCs w:val="20"/>
          <w:color w:val="auto"/>
        </w:rPr>
      </w:pPr>
      <w:r>
        <w:rPr>
          <w:rFonts w:ascii="Arial" w:cs="Arial" w:eastAsia="Arial" w:hAnsi="Arial"/>
          <w:sz w:val="18"/>
          <w:szCs w:val="18"/>
          <w:color w:val="auto"/>
        </w:rPr>
        <w:t>Listed below are the most important financial performance measures used by the Company during fiscal 2025 to link NEO compensation to Company performance. These measures are not ranked by relative importance. Please see “Compensation Discussion and Analysis — Elements of Executive Compensation” for additional information regarding these performance measures.</w:t>
      </w:r>
    </w:p>
    <w:p>
      <w:pPr>
        <w:spacing w:after="0" w:line="168" w:lineRule="exact"/>
        <w:rPr>
          <w:sz w:val="20"/>
          <w:szCs w:val="20"/>
          <w:color w:val="auto"/>
        </w:rPr>
      </w:pPr>
    </w:p>
    <w:tbl>
      <w:tblPr>
        <w:tblLayout w:type="fixed"/>
        <w:tblInd w:w="1360" w:type="dxa"/>
        <w:tblCellMar>
          <w:top w:w="0" w:type="dxa"/>
          <w:left w:w="0" w:type="dxa"/>
          <w:bottom w:w="0" w:type="dxa"/>
          <w:right w:w="0" w:type="dxa"/>
        </w:tblCellMar>
      </w:tblPr>
      <w:tr>
        <w:trPr>
          <w:trHeight w:val="193"/>
        </w:trPr>
        <w:tc>
          <w:tcPr>
            <w:tcW w:w="360" w:type="dxa"/>
            <w:vAlign w:val="bottom"/>
            <w:shd w:val="clear" w:color="auto" w:fill="53C072"/>
          </w:tcPr>
          <w:p>
            <w:pPr>
              <w:spacing w:after="0"/>
              <w:rPr>
                <w:sz w:val="16"/>
                <w:szCs w:val="16"/>
                <w:color w:val="auto"/>
              </w:rPr>
            </w:pPr>
          </w:p>
        </w:tc>
        <w:tc>
          <w:tcPr>
            <w:tcW w:w="730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FFFFF"/>
              </w:rPr>
              <w:t>FY25 Most Important Financial Performance Measures</w:t>
            </w:r>
          </w:p>
        </w:tc>
        <w:tc>
          <w:tcPr>
            <w:tcW w:w="360" w:type="dxa"/>
            <w:vAlign w:val="bottom"/>
            <w:shd w:val="clear" w:color="auto" w:fill="53C072"/>
          </w:tcPr>
          <w:p>
            <w:pPr>
              <w:spacing w:after="0"/>
              <w:rPr>
                <w:sz w:val="16"/>
                <w:szCs w:val="16"/>
                <w:color w:val="auto"/>
              </w:rPr>
            </w:pPr>
          </w:p>
        </w:tc>
      </w:tr>
      <w:tr>
        <w:trPr>
          <w:trHeight w:val="185"/>
        </w:trPr>
        <w:tc>
          <w:tcPr>
            <w:tcW w:w="360" w:type="dxa"/>
            <w:vAlign w:val="bottom"/>
            <w:shd w:val="clear" w:color="auto" w:fill="53C072"/>
          </w:tcPr>
          <w:p>
            <w:pPr>
              <w:ind w:left="40"/>
              <w:spacing w:after="0"/>
              <w:rPr>
                <w:sz w:val="20"/>
                <w:szCs w:val="20"/>
                <w:color w:val="auto"/>
              </w:rPr>
            </w:pPr>
            <w:r>
              <w:rPr>
                <w:rFonts w:ascii="Arial" w:cs="Arial" w:eastAsia="Arial" w:hAnsi="Arial"/>
                <w:sz w:val="14"/>
                <w:szCs w:val="14"/>
                <w:b w:val="1"/>
                <w:bCs w:val="1"/>
                <w:color w:val="FFFFFF"/>
              </w:rPr>
              <w:t>​</w:t>
            </w:r>
          </w:p>
        </w:tc>
        <w:tc>
          <w:tcPr>
            <w:tcW w:w="730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FFFFF"/>
              </w:rPr>
              <w:t>(Unranked)</w:t>
            </w:r>
          </w:p>
        </w:tc>
        <w:tc>
          <w:tcPr>
            <w:tcW w:w="360" w:type="dxa"/>
            <w:vAlign w:val="bottom"/>
            <w:shd w:val="clear" w:color="auto" w:fill="53C072"/>
          </w:tcPr>
          <w:p>
            <w:pPr>
              <w:ind w:left="300"/>
              <w:spacing w:after="0"/>
              <w:rPr>
                <w:sz w:val="20"/>
                <w:szCs w:val="20"/>
                <w:color w:val="auto"/>
              </w:rPr>
            </w:pPr>
            <w:r>
              <w:rPr>
                <w:rFonts w:ascii="Arial" w:cs="Arial" w:eastAsia="Arial" w:hAnsi="Arial"/>
                <w:sz w:val="14"/>
                <w:szCs w:val="14"/>
                <w:b w:val="1"/>
                <w:bCs w:val="1"/>
                <w:color w:val="FFFFFF"/>
              </w:rPr>
              <w:t>​</w:t>
            </w:r>
          </w:p>
        </w:tc>
      </w:tr>
      <w:tr>
        <w:trPr>
          <w:trHeight w:val="283"/>
        </w:trPr>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7300" w:type="dxa"/>
            <w:vAlign w:val="bottom"/>
          </w:tcPr>
          <w:p>
            <w:pPr>
              <w:jc w:val="center"/>
              <w:spacing w:after="0"/>
              <w:rPr>
                <w:sz w:val="20"/>
                <w:szCs w:val="20"/>
                <w:color w:val="auto"/>
              </w:rPr>
            </w:pPr>
            <w:r>
              <w:rPr>
                <w:rFonts w:ascii="Arial" w:cs="Arial" w:eastAsia="Arial" w:hAnsi="Arial"/>
                <w:sz w:val="18"/>
                <w:szCs w:val="18"/>
                <w:color w:val="auto"/>
                <w:w w:val="96"/>
              </w:rPr>
              <w:t>Adjusted Operating Income Dollars</w:t>
            </w:r>
            <w:r>
              <w:rPr>
                <w:rFonts w:ascii="Arial" w:cs="Arial" w:eastAsia="Arial" w:hAnsi="Arial"/>
                <w:sz w:val="23"/>
                <w:szCs w:val="23"/>
                <w:color w:val="auto"/>
                <w:w w:val="96"/>
                <w:vertAlign w:val="superscript"/>
              </w:rPr>
              <w:t>(1)</w:t>
            </w:r>
          </w:p>
        </w:tc>
        <w:tc>
          <w:tcPr>
            <w:tcW w:w="36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84"/>
        </w:trPr>
        <w:tc>
          <w:tcPr>
            <w:tcW w:w="360" w:type="dxa"/>
            <w:vAlign w:val="bottom"/>
            <w:shd w:val="clear" w:color="auto" w:fill="CBECD5"/>
          </w:tcPr>
          <w:p>
            <w:pPr>
              <w:ind w:left="40"/>
              <w:spacing w:after="0"/>
              <w:rPr>
                <w:sz w:val="20"/>
                <w:szCs w:val="20"/>
                <w:color w:val="auto"/>
              </w:rPr>
            </w:pPr>
            <w:r>
              <w:rPr>
                <w:rFonts w:ascii="Arial" w:cs="Arial" w:eastAsia="Arial" w:hAnsi="Arial"/>
                <w:sz w:val="18"/>
                <w:szCs w:val="18"/>
                <w:color w:val="auto"/>
              </w:rPr>
              <w:t>​</w:t>
            </w:r>
          </w:p>
        </w:tc>
        <w:tc>
          <w:tcPr>
            <w:tcW w:w="730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95"/>
              </w:rPr>
              <w:t>Return on Working Capital</w:t>
            </w:r>
            <w:r>
              <w:rPr>
                <w:rFonts w:ascii="Arial" w:cs="Arial" w:eastAsia="Arial" w:hAnsi="Arial"/>
                <w:sz w:val="23"/>
                <w:szCs w:val="23"/>
                <w:color w:val="auto"/>
                <w:w w:val="95"/>
                <w:vertAlign w:val="superscript"/>
              </w:rPr>
              <w:t>(1)</w:t>
            </w:r>
          </w:p>
        </w:tc>
        <w:tc>
          <w:tcPr>
            <w:tcW w:w="360" w:type="dxa"/>
            <w:vAlign w:val="bottom"/>
            <w:shd w:val="clear" w:color="auto" w:fill="CBECD5"/>
          </w:tcPr>
          <w:p>
            <w:pPr>
              <w:ind w:left="300"/>
              <w:spacing w:after="0"/>
              <w:rPr>
                <w:sz w:val="20"/>
                <w:szCs w:val="20"/>
                <w:color w:val="auto"/>
              </w:rPr>
            </w:pPr>
            <w:r>
              <w:rPr>
                <w:rFonts w:ascii="Arial" w:cs="Arial" w:eastAsia="Arial" w:hAnsi="Arial"/>
                <w:sz w:val="18"/>
                <w:szCs w:val="18"/>
                <w:color w:val="auto"/>
              </w:rPr>
              <w:t>​</w:t>
            </w:r>
          </w:p>
        </w:tc>
      </w:tr>
      <w:tr>
        <w:trPr>
          <w:trHeight w:val="283"/>
        </w:trPr>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7300" w:type="dxa"/>
            <w:vAlign w:val="bottom"/>
          </w:tcPr>
          <w:p>
            <w:pPr>
              <w:jc w:val="center"/>
              <w:spacing w:after="0"/>
              <w:rPr>
                <w:sz w:val="20"/>
                <w:szCs w:val="20"/>
                <w:color w:val="auto"/>
              </w:rPr>
            </w:pPr>
            <w:r>
              <w:rPr>
                <w:rFonts w:ascii="Arial" w:cs="Arial" w:eastAsia="Arial" w:hAnsi="Arial"/>
                <w:sz w:val="18"/>
                <w:szCs w:val="18"/>
                <w:color w:val="auto"/>
                <w:w w:val="96"/>
              </w:rPr>
              <w:t>Relative Adjusted Earnings Per Share Growth</w:t>
            </w:r>
            <w:r>
              <w:rPr>
                <w:rFonts w:ascii="Arial" w:cs="Arial" w:eastAsia="Arial" w:hAnsi="Arial"/>
                <w:sz w:val="23"/>
                <w:szCs w:val="23"/>
                <w:color w:val="auto"/>
                <w:w w:val="96"/>
                <w:vertAlign w:val="superscript"/>
              </w:rPr>
              <w:t>(2)</w:t>
            </w:r>
          </w:p>
        </w:tc>
        <w:tc>
          <w:tcPr>
            <w:tcW w:w="36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84"/>
        </w:trPr>
        <w:tc>
          <w:tcPr>
            <w:tcW w:w="360" w:type="dxa"/>
            <w:vAlign w:val="bottom"/>
            <w:shd w:val="clear" w:color="auto" w:fill="CBECD5"/>
          </w:tcPr>
          <w:p>
            <w:pPr>
              <w:ind w:left="40"/>
              <w:spacing w:after="0"/>
              <w:rPr>
                <w:sz w:val="20"/>
                <w:szCs w:val="20"/>
                <w:color w:val="auto"/>
              </w:rPr>
            </w:pPr>
            <w:r>
              <w:rPr>
                <w:rFonts w:ascii="Arial" w:cs="Arial" w:eastAsia="Arial" w:hAnsi="Arial"/>
                <w:sz w:val="18"/>
                <w:szCs w:val="18"/>
                <w:color w:val="auto"/>
              </w:rPr>
              <w:t>​</w:t>
            </w:r>
          </w:p>
        </w:tc>
        <w:tc>
          <w:tcPr>
            <w:tcW w:w="730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97"/>
              </w:rPr>
              <w:t>Market Share (Relative Organic Sales Growth of AVT vs Core Business Competitor)</w:t>
            </w:r>
            <w:r>
              <w:rPr>
                <w:rFonts w:ascii="Arial" w:cs="Arial" w:eastAsia="Arial" w:hAnsi="Arial"/>
                <w:sz w:val="23"/>
                <w:szCs w:val="23"/>
                <w:color w:val="auto"/>
                <w:w w:val="97"/>
                <w:vertAlign w:val="superscript"/>
              </w:rPr>
              <w:t>(1)</w:t>
            </w:r>
          </w:p>
        </w:tc>
        <w:tc>
          <w:tcPr>
            <w:tcW w:w="360" w:type="dxa"/>
            <w:vAlign w:val="bottom"/>
            <w:shd w:val="clear" w:color="auto" w:fill="CBECD5"/>
          </w:tcPr>
          <w:p>
            <w:pPr>
              <w:ind w:left="300"/>
              <w:spacing w:after="0"/>
              <w:rPr>
                <w:sz w:val="20"/>
                <w:szCs w:val="20"/>
                <w:color w:val="auto"/>
              </w:rPr>
            </w:pPr>
            <w:r>
              <w:rPr>
                <w:rFonts w:ascii="Arial" w:cs="Arial" w:eastAsia="Arial" w:hAnsi="Arial"/>
                <w:sz w:val="18"/>
                <w:szCs w:val="18"/>
                <w:color w:val="auto"/>
              </w:rPr>
              <w:t>​</w:t>
            </w:r>
          </w:p>
        </w:tc>
      </w:tr>
      <w:tr>
        <w:trPr>
          <w:trHeight w:val="283"/>
        </w:trPr>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7300" w:type="dxa"/>
            <w:vAlign w:val="bottom"/>
          </w:tcPr>
          <w:p>
            <w:pPr>
              <w:jc w:val="center"/>
              <w:spacing w:after="0"/>
              <w:rPr>
                <w:sz w:val="20"/>
                <w:szCs w:val="20"/>
                <w:color w:val="auto"/>
              </w:rPr>
            </w:pPr>
            <w:r>
              <w:rPr>
                <w:rFonts w:ascii="Arial" w:cs="Arial" w:eastAsia="Arial" w:hAnsi="Arial"/>
                <w:sz w:val="18"/>
                <w:szCs w:val="18"/>
                <w:color w:val="auto"/>
                <w:w w:val="97"/>
              </w:rPr>
              <w:t>Adjusted Return on Invested Capital exceeding Weighted Average Cost of Capital</w:t>
            </w:r>
            <w:r>
              <w:rPr>
                <w:rFonts w:ascii="Arial" w:cs="Arial" w:eastAsia="Arial" w:hAnsi="Arial"/>
                <w:sz w:val="23"/>
                <w:szCs w:val="23"/>
                <w:color w:val="auto"/>
                <w:w w:val="97"/>
                <w:vertAlign w:val="superscript"/>
              </w:rPr>
              <w:t>(2)</w:t>
            </w:r>
          </w:p>
        </w:tc>
        <w:tc>
          <w:tcPr>
            <w:tcW w:w="36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318"/>
        </w:trPr>
        <w:tc>
          <w:tcPr>
            <w:tcW w:w="36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color w:val="auto"/>
              </w:rPr>
              <w:t>​</w:t>
            </w:r>
          </w:p>
        </w:tc>
        <w:tc>
          <w:tcPr>
            <w:tcW w:w="7300" w:type="dxa"/>
            <w:vAlign w:val="bottom"/>
            <w:tcBorders>
              <w:bottom w:val="single" w:sz="8" w:color="53C072"/>
            </w:tcBorders>
            <w:shd w:val="clear" w:color="auto" w:fill="CBECD5"/>
          </w:tcPr>
          <w:p>
            <w:pPr>
              <w:jc w:val="center"/>
              <w:spacing w:after="0"/>
              <w:rPr>
                <w:sz w:val="20"/>
                <w:szCs w:val="20"/>
                <w:color w:val="auto"/>
              </w:rPr>
            </w:pPr>
            <w:r>
              <w:rPr>
                <w:rFonts w:ascii="Arial" w:cs="Arial" w:eastAsia="Arial" w:hAnsi="Arial"/>
                <w:sz w:val="18"/>
                <w:szCs w:val="18"/>
                <w:color w:val="auto"/>
                <w:w w:val="96"/>
              </w:rPr>
              <w:t>Relative Total Shareholder Return</w:t>
            </w:r>
            <w:r>
              <w:rPr>
                <w:rFonts w:ascii="Arial" w:cs="Arial" w:eastAsia="Arial" w:hAnsi="Arial"/>
                <w:sz w:val="23"/>
                <w:szCs w:val="23"/>
                <w:color w:val="auto"/>
                <w:w w:val="96"/>
                <w:vertAlign w:val="superscript"/>
              </w:rPr>
              <w:t>(2)</w:t>
            </w:r>
          </w:p>
        </w:tc>
        <w:tc>
          <w:tcPr>
            <w:tcW w:w="360" w:type="dxa"/>
            <w:vAlign w:val="bottom"/>
            <w:tcBorders>
              <w:bottom w:val="single" w:sz="8" w:color="53C072"/>
            </w:tcBorders>
            <w:shd w:val="clear" w:color="auto" w:fill="CBECD5"/>
          </w:tcPr>
          <w:p>
            <w:pPr>
              <w:ind w:left="300"/>
              <w:spacing w:after="0"/>
              <w:rPr>
                <w:sz w:val="20"/>
                <w:szCs w:val="20"/>
                <w:color w:val="auto"/>
              </w:rPr>
            </w:pPr>
            <w:r>
              <w:rPr>
                <w:rFonts w:ascii="Arial" w:cs="Arial" w:eastAsia="Arial" w:hAnsi="Arial"/>
                <w:sz w:val="18"/>
                <w:szCs w:val="18"/>
                <w:color w:val="auto"/>
              </w:rPr>
              <w:t>​</w:t>
            </w:r>
          </w:p>
        </w:tc>
      </w:tr>
    </w:tbl>
    <w:p>
      <w:pPr>
        <w:spacing w:after="0" w:line="89" w:lineRule="exact"/>
        <w:rPr>
          <w:sz w:val="20"/>
          <w:szCs w:val="20"/>
          <w:color w:val="auto"/>
        </w:rPr>
      </w:pPr>
    </w:p>
    <w:p>
      <w:pPr>
        <w:ind w:left="1780" w:hanging="718"/>
        <w:spacing w:after="0"/>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Measure used in the fiscal 2025 annual cash incentive awards for executive officers.</w:t>
      </w:r>
    </w:p>
    <w:p>
      <w:pPr>
        <w:spacing w:after="0" w:line="144" w:lineRule="exact"/>
        <w:rPr>
          <w:rFonts w:ascii="Arial" w:cs="Arial" w:eastAsia="Arial" w:hAnsi="Arial"/>
          <w:sz w:val="18"/>
          <w:szCs w:val="18"/>
          <w:color w:val="auto"/>
        </w:rPr>
      </w:pPr>
    </w:p>
    <w:p>
      <w:pPr>
        <w:ind w:left="1780" w:hanging="718"/>
        <w:spacing w:after="0"/>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Measure used in the fiscal 2025 PSU awards for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199"/>
        <w:spacing w:after="0"/>
        <w:rPr>
          <w:sz w:val="20"/>
          <w:szCs w:val="20"/>
          <w:color w:val="auto"/>
        </w:rPr>
      </w:pPr>
      <w:r>
        <w:rPr>
          <w:sz w:val="1"/>
          <w:szCs w:val="1"/>
          <w:color w:val="auto"/>
        </w:rPr>
        <w:drawing>
          <wp:inline distT="0" distB="0" distL="0" distR="0">
            <wp:extent cx="1243330" cy="24003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252730</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9944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55498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1620" w:right="460"/>
        <w:spacing w:after="0" w:line="269" w:lineRule="auto"/>
        <w:rPr>
          <w:sz w:val="20"/>
          <w:szCs w:val="20"/>
          <w:color w:val="auto"/>
        </w:rPr>
      </w:pPr>
      <w:r>
        <w:rPr>
          <w:rFonts w:ascii="Arial" w:cs="Arial" w:eastAsia="Arial" w:hAnsi="Arial"/>
          <w:sz w:val="40"/>
          <w:szCs w:val="40"/>
          <w:b w:val="1"/>
          <w:bCs w:val="1"/>
          <w:color w:val="FEFEFE"/>
        </w:rPr>
        <w:t>PROPOSAL 3: APPROVAL OF THE 2025 STOCK COMPENSATION AND INCENTIVE PLAN</w:t>
      </w:r>
      <w:r>
        <w:rPr>
          <w:rFonts w:ascii="Times New Roman" w:cs="Times New Roman" w:eastAsia="Times New Roman" w:hAnsi="Times New Roman"/>
          <w:sz w:val="17"/>
          <w:szCs w:val="17"/>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196850</wp:posOffset>
            </wp:positionV>
            <wp:extent cx="5554980" cy="7715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352"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FEFEFE"/>
        </w:rPr>
        <w:t>RECOMMENDATION OF THE BOARD</w:t>
      </w:r>
    </w:p>
    <w:p>
      <w:pPr>
        <w:spacing w:after="0" w:line="318" w:lineRule="exact"/>
        <w:rPr>
          <w:sz w:val="20"/>
          <w:szCs w:val="20"/>
          <w:color w:val="auto"/>
        </w:rPr>
      </w:pPr>
    </w:p>
    <w:p>
      <w:pPr>
        <w:ind w:left="2540" w:right="659"/>
        <w:spacing w:after="0" w:line="296" w:lineRule="auto"/>
        <w:rPr>
          <w:sz w:val="20"/>
          <w:szCs w:val="20"/>
          <w:color w:val="auto"/>
        </w:rPr>
      </w:pPr>
      <w:r>
        <w:rPr>
          <w:rFonts w:ascii="Arial" w:cs="Arial" w:eastAsia="Arial" w:hAnsi="Arial"/>
          <w:sz w:val="18"/>
          <w:szCs w:val="18"/>
          <w:b w:val="1"/>
          <w:bCs w:val="1"/>
          <w:color w:val="auto"/>
        </w:rPr>
        <w:t xml:space="preserve">The Board recommends that shareholders vote </w:t>
      </w:r>
      <w:r>
        <w:rPr>
          <w:rFonts w:ascii="Arial" w:cs="Arial" w:eastAsia="Arial" w:hAnsi="Arial"/>
          <w:sz w:val="18"/>
          <w:szCs w:val="18"/>
          <w:b w:val="1"/>
          <w:bCs w:val="1"/>
          <w:color w:val="53C072"/>
        </w:rPr>
        <w:t>FOR</w:t>
      </w:r>
      <w:r>
        <w:rPr>
          <w:rFonts w:ascii="Arial" w:cs="Arial" w:eastAsia="Arial" w:hAnsi="Arial"/>
          <w:sz w:val="18"/>
          <w:szCs w:val="18"/>
          <w:b w:val="1"/>
          <w:bCs w:val="1"/>
          <w:color w:val="auto"/>
        </w:rPr>
        <w:t xml:space="preserve"> the approval of the Avnet, Inc. 2025 Stock Compensation and Incentive Plan</w:t>
      </w:r>
    </w:p>
    <w:p>
      <w:pPr>
        <w:spacing w:after="0" w:line="30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Description of Proposal</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On August 21, 2025, the Compensation and Leadership Development Committee (“Committee”) and the Board</w:t>
      </w:r>
    </w:p>
    <w:p>
      <w:pPr>
        <w:spacing w:after="0" w:line="25" w:lineRule="exact"/>
        <w:rPr>
          <w:sz w:val="20"/>
          <w:szCs w:val="20"/>
          <w:color w:val="auto"/>
        </w:rPr>
      </w:pPr>
    </w:p>
    <w:p>
      <w:pPr>
        <w:ind w:left="1000" w:right="359"/>
        <w:spacing w:after="0" w:line="237" w:lineRule="auto"/>
        <w:rPr>
          <w:sz w:val="20"/>
          <w:szCs w:val="20"/>
          <w:color w:val="auto"/>
        </w:rPr>
      </w:pPr>
      <w:r>
        <w:rPr>
          <w:rFonts w:ascii="Arial" w:cs="Arial" w:eastAsia="Arial" w:hAnsi="Arial"/>
          <w:sz w:val="18"/>
          <w:szCs w:val="18"/>
          <w:color w:val="auto"/>
        </w:rPr>
        <w:t>unanimously approved the Avnet, Inc. 2025 Stock Compensation and Incentive Plan (“2025 Plan”), subject to the approval by shareholders.</w:t>
      </w:r>
    </w:p>
    <w:p>
      <w:pPr>
        <w:spacing w:after="0" w:line="113" w:lineRule="exact"/>
        <w:rPr>
          <w:sz w:val="20"/>
          <w:szCs w:val="20"/>
          <w:color w:val="auto"/>
        </w:rPr>
      </w:pPr>
    </w:p>
    <w:p>
      <w:pPr>
        <w:ind w:left="1000" w:right="199"/>
        <w:spacing w:after="0" w:line="251" w:lineRule="auto"/>
        <w:rPr>
          <w:sz w:val="20"/>
          <w:szCs w:val="20"/>
          <w:color w:val="auto"/>
        </w:rPr>
      </w:pPr>
      <w:r>
        <w:rPr>
          <w:rFonts w:ascii="Arial" w:cs="Arial" w:eastAsia="Arial" w:hAnsi="Arial"/>
          <w:sz w:val="17"/>
          <w:szCs w:val="17"/>
          <w:color w:val="auto"/>
        </w:rPr>
        <w:t>The purposes of the 2025 Plan are to: (a) promote the Company’s long-term success and increase shareholder value by incentivizing employees to contribute to the Company’s long-term growth and profitability; and</w:t>
      </w:r>
    </w:p>
    <w:p>
      <w:pPr>
        <w:spacing w:after="0" w:line="1" w:lineRule="exact"/>
        <w:rPr>
          <w:sz w:val="20"/>
          <w:szCs w:val="20"/>
          <w:color w:val="auto"/>
        </w:rPr>
      </w:pPr>
    </w:p>
    <w:p>
      <w:pPr>
        <w:ind w:left="1000" w:right="219" w:hanging="10"/>
        <w:spacing w:after="0" w:line="233" w:lineRule="auto"/>
        <w:tabs>
          <w:tab w:leader="none" w:pos="12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assist the Company in attracting, retaining and motivating highly qualified individuals. The 2025 Plan will accomplish these purposes by serving as the primary vehicle for the Company’s equity and cash-based compensation programs. Therefore, the Company believes that approval of the 2025 Plan is important to the Company’s future success. If the 2025 Plan is not approved by shareholders, the Company’s ability to issue equity-based awards at levels consistent with past practice will be limited, which may impair its ability to pay for performance, create an ownership culture, and provide competitive compensation.</w:t>
      </w:r>
    </w:p>
    <w:p>
      <w:pPr>
        <w:spacing w:after="0" w:line="113" w:lineRule="exact"/>
        <w:rPr>
          <w:sz w:val="20"/>
          <w:szCs w:val="20"/>
          <w:color w:val="auto"/>
        </w:rPr>
      </w:pPr>
    </w:p>
    <w:p>
      <w:pPr>
        <w:ind w:left="1000" w:right="199"/>
        <w:spacing w:after="0" w:line="260" w:lineRule="auto"/>
        <w:rPr>
          <w:sz w:val="20"/>
          <w:szCs w:val="20"/>
          <w:color w:val="auto"/>
        </w:rPr>
      </w:pPr>
      <w:r>
        <w:rPr>
          <w:rFonts w:ascii="Arial" w:cs="Arial" w:eastAsia="Arial" w:hAnsi="Arial"/>
          <w:sz w:val="17"/>
          <w:szCs w:val="17"/>
          <w:color w:val="auto"/>
        </w:rPr>
        <w:t>The 2025 Plan provides for equity-based awards covering up to 3,000,000 shares of the Company’s Common Stock. In addition, awards will continue to be granted under the Avnet, Inc. 2021 Stock Compensation and Incentive Plan (the “2021 Plan”) until the 2.5 million shares available for awards under the 2021 Plan are exhausted, which the Company believes will occur in September 2026. The Board currently believes that the shares available for grant under the 2025 Plan, together with the remaining shares available under the 2021 Plan, will provide sufficient shares to satisfy the equity-based compensation needs of the Company for approximately four to five years following the effective date of the 2025 Plan. In recommending approval of the 2025 Plan, the Board and the Compensation and Leadership Development Committee, with input from its independent compensation consultant, considered the Company’s historical equity compensation practices, the anticipated future compensation needs of the Company, the potential dilution associated with future awards under the 2025 Plan, and the Company’s three-year average burn rate.</w:t>
      </w:r>
    </w:p>
    <w:p>
      <w:pPr>
        <w:spacing w:after="0" w:line="101" w:lineRule="exact"/>
        <w:rPr>
          <w:sz w:val="20"/>
          <w:szCs w:val="20"/>
          <w:color w:val="auto"/>
        </w:rPr>
      </w:pPr>
    </w:p>
    <w:p>
      <w:pPr>
        <w:ind w:left="1000" w:right="359"/>
        <w:spacing w:after="0" w:line="247" w:lineRule="auto"/>
        <w:rPr>
          <w:sz w:val="20"/>
          <w:szCs w:val="20"/>
          <w:color w:val="auto"/>
        </w:rPr>
      </w:pPr>
      <w:r>
        <w:rPr>
          <w:rFonts w:ascii="Arial" w:cs="Arial" w:eastAsia="Arial" w:hAnsi="Arial"/>
          <w:sz w:val="18"/>
          <w:szCs w:val="18"/>
          <w:color w:val="auto"/>
        </w:rPr>
        <w:t>The estimated dilution from the adoption of the 2025 Plan, as commonly calculated, would be approximately 8%. The Company’s three-year average burn rate was 1.4%. “Burn rate” is the number of equity awards granted in a particular fiscal year divided by the weighted average diluted shares outstanding as of the end of the applicable fiscal year. The Company calculated its burn rate by applying equal weight to the number of stock options, RSUs and PSUs granted in the applicable fiscal year.</w:t>
      </w:r>
    </w:p>
    <w:p>
      <w:pPr>
        <w:spacing w:after="0" w:line="109" w:lineRule="exact"/>
        <w:rPr>
          <w:sz w:val="20"/>
          <w:szCs w:val="20"/>
          <w:color w:val="auto"/>
        </w:rPr>
      </w:pPr>
    </w:p>
    <w:p>
      <w:pPr>
        <w:ind w:left="1000" w:right="199"/>
        <w:spacing w:after="0" w:line="247" w:lineRule="auto"/>
        <w:rPr>
          <w:sz w:val="20"/>
          <w:szCs w:val="20"/>
          <w:color w:val="auto"/>
        </w:rPr>
      </w:pPr>
      <w:r>
        <w:rPr>
          <w:rFonts w:ascii="Arial" w:cs="Arial" w:eastAsia="Arial" w:hAnsi="Arial"/>
          <w:sz w:val="18"/>
          <w:szCs w:val="18"/>
          <w:color w:val="auto"/>
        </w:rPr>
        <w:t>The closing price of the Company’s Common Stock on the Nasdaq Global Select Market was $53.42 per share on September 22, 2025. For additional information with respect to the Company’s outstanding equity-based awards, please see “Outstanding Equity Awards at Fiscal Year-End” included in this Proxy Statement and Note 12, Stock-based compensation, in the Notes to Consolidated Financial Statements contained in the Company’s Annual Report on Form 10-K filed with the SEC for the fiscal year ended June 28, 2025.</w:t>
      </w:r>
    </w:p>
    <w:p>
      <w:pPr>
        <w:spacing w:after="0" w:line="109" w:lineRule="exact"/>
        <w:rPr>
          <w:sz w:val="20"/>
          <w:szCs w:val="20"/>
          <w:color w:val="auto"/>
        </w:rPr>
      </w:pPr>
    </w:p>
    <w:p>
      <w:pPr>
        <w:ind w:left="1000" w:right="179"/>
        <w:spacing w:after="0" w:line="287" w:lineRule="auto"/>
        <w:rPr>
          <w:sz w:val="20"/>
          <w:szCs w:val="20"/>
          <w:color w:val="auto"/>
        </w:rPr>
      </w:pPr>
      <w:r>
        <w:rPr>
          <w:rFonts w:ascii="Arial" w:cs="Arial" w:eastAsia="Arial" w:hAnsi="Arial"/>
          <w:sz w:val="18"/>
          <w:szCs w:val="18"/>
          <w:color w:val="auto"/>
        </w:rPr>
        <w:t>A summary of important features and tax consequences of the 2025 Plan is set forth below, but this summary is qualified in its entirety by reference to the actual text of the 2025 Plan. Capitalized terms that are not</w:t>
      </w:r>
    </w:p>
    <w:p>
      <w:pPr>
        <w:spacing w:after="0" w:line="8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72     </w:t>
      </w:r>
      <w:r>
        <w:rPr>
          <w:sz w:val="1"/>
          <w:szCs w:val="1"/>
          <w:color w:val="auto"/>
        </w:rPr>
        <w:drawing>
          <wp:inline distT="0" distB="0" distL="0" distR="0">
            <wp:extent cx="1242695" cy="24003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310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6640" w:type="dxa"/>
            <w:vAlign w:val="bottom"/>
            <w:vMerge w:val="restart"/>
          </w:tcPr>
          <w:p>
            <w:pPr>
              <w:ind w:left="740"/>
              <w:spacing w:after="0"/>
              <w:rPr>
                <w:sz w:val="20"/>
                <w:szCs w:val="20"/>
                <w:color w:val="auto"/>
              </w:rPr>
            </w:pPr>
            <w:r>
              <w:rPr>
                <w:rFonts w:ascii="Arial" w:cs="Arial" w:eastAsia="Arial" w:hAnsi="Arial"/>
                <w:sz w:val="14"/>
                <w:szCs w:val="14"/>
                <w:color w:val="auto"/>
              </w:rPr>
              <w:t>PROPOSAL 3: APPROVAL OF THE 2025 STOCK COMPENSATION AND INCENTIVE PLAN</w:t>
            </w:r>
          </w:p>
        </w:tc>
        <w:tc>
          <w:tcPr>
            <w:tcW w:w="0" w:type="dxa"/>
            <w:vAlign w:val="bottom"/>
          </w:tcPr>
          <w:p>
            <w:pPr>
              <w:spacing w:after="0"/>
              <w:rPr>
                <w:sz w:val="1"/>
                <w:szCs w:val="1"/>
                <w:color w:val="auto"/>
              </w:rPr>
            </w:pPr>
          </w:p>
        </w:tc>
      </w:tr>
      <w:tr>
        <w:trPr>
          <w:trHeight w:val="88"/>
        </w:trPr>
        <w:tc>
          <w:tcPr>
            <w:tcW w:w="31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6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100" w:type="dxa"/>
            <w:vAlign w:val="bottom"/>
            <w:vMerge w:val="continue"/>
          </w:tcPr>
          <w:p>
            <w:pPr>
              <w:spacing w:after="0"/>
              <w:rPr>
                <w:sz w:val="11"/>
                <w:szCs w:val="11"/>
                <w:color w:val="auto"/>
              </w:rPr>
            </w:pPr>
          </w:p>
        </w:tc>
        <w:tc>
          <w:tcPr>
            <w:tcW w:w="6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159"/>
        <w:spacing w:after="0" w:line="287" w:lineRule="auto"/>
        <w:rPr>
          <w:sz w:val="20"/>
          <w:szCs w:val="20"/>
          <w:color w:val="auto"/>
        </w:rPr>
      </w:pPr>
      <w:r>
        <w:rPr>
          <w:rFonts w:ascii="Arial" w:cs="Arial" w:eastAsia="Arial" w:hAnsi="Arial"/>
          <w:sz w:val="18"/>
          <w:szCs w:val="18"/>
          <w:color w:val="auto"/>
        </w:rPr>
        <w:t>defined in this summary have the meanings given to them in the 2025 Plan. A copy of the 2025 Plan is attached to this Proxy Statement as Appendix B.</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Vote Required for Approval</w:t>
      </w:r>
    </w:p>
    <w:p>
      <w:pPr>
        <w:spacing w:after="0" w:line="162" w:lineRule="exact"/>
        <w:rPr>
          <w:sz w:val="20"/>
          <w:szCs w:val="20"/>
          <w:color w:val="auto"/>
        </w:rPr>
      </w:pPr>
    </w:p>
    <w:p>
      <w:pPr>
        <w:ind w:left="1000" w:right="319"/>
        <w:spacing w:after="0" w:line="256" w:lineRule="auto"/>
        <w:rPr>
          <w:sz w:val="20"/>
          <w:szCs w:val="20"/>
          <w:color w:val="auto"/>
        </w:rPr>
      </w:pPr>
      <w:r>
        <w:rPr>
          <w:rFonts w:ascii="Arial" w:cs="Arial" w:eastAsia="Arial" w:hAnsi="Arial"/>
          <w:sz w:val="18"/>
          <w:szCs w:val="18"/>
          <w:color w:val="auto"/>
        </w:rPr>
        <w:t>For approval, this proposal requires affirmative votes from a majority of votes cast in person or by proxy at the Annual Meeting, provided a quorum is present. Abstentions are not counted in determining the votes cast. Brokers who hold shares of Common Stock as nominees will not have discretionary authority to vote such Common Stock on this proposal. Therefore, a shareholder who does not vote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Proxy</w:t>
      </w:r>
    </w:p>
    <w:p>
      <w:pPr>
        <w:spacing w:after="0" w:line="148" w:lineRule="exact"/>
        <w:rPr>
          <w:sz w:val="20"/>
          <w:szCs w:val="20"/>
          <w:color w:val="auto"/>
        </w:rPr>
      </w:pPr>
    </w:p>
    <w:p>
      <w:pPr>
        <w:ind w:left="1000" w:right="279"/>
        <w:spacing w:after="0" w:line="268" w:lineRule="auto"/>
        <w:rPr>
          <w:sz w:val="20"/>
          <w:szCs w:val="20"/>
          <w:color w:val="auto"/>
        </w:rPr>
      </w:pPr>
      <w:r>
        <w:rPr>
          <w:rFonts w:ascii="Arial" w:cs="Arial" w:eastAsia="Arial" w:hAnsi="Arial"/>
          <w:sz w:val="18"/>
          <w:szCs w:val="18"/>
          <w:color w:val="auto"/>
        </w:rPr>
        <w:t>Unless otherwise directed by the shareholder, it is the intention of the persons named as proxies in the proxy card to vote each properly signed and returned proxy card FOR the approval of the 2025 Stock Compensation and Incentive Plan.</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SUMMARY DESCRIPTION OF THE 2025 PLAN</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Persons Eligible for Awards</w:t>
      </w:r>
    </w:p>
    <w:p>
      <w:pPr>
        <w:spacing w:after="0" w:line="153" w:lineRule="exact"/>
        <w:rPr>
          <w:sz w:val="20"/>
          <w:szCs w:val="20"/>
          <w:color w:val="auto"/>
        </w:rPr>
      </w:pPr>
    </w:p>
    <w:p>
      <w:pPr>
        <w:ind w:left="1000" w:right="359"/>
        <w:spacing w:after="0" w:line="262" w:lineRule="auto"/>
        <w:rPr>
          <w:sz w:val="20"/>
          <w:szCs w:val="20"/>
          <w:color w:val="auto"/>
        </w:rPr>
      </w:pPr>
      <w:r>
        <w:rPr>
          <w:rFonts w:ascii="Arial" w:cs="Arial" w:eastAsia="Arial" w:hAnsi="Arial"/>
          <w:sz w:val="18"/>
          <w:szCs w:val="18"/>
          <w:color w:val="auto"/>
        </w:rPr>
        <w:t>Persons eligible to participate in the 2025 Plan include employees of the Company and its subsidiaries, Non-Employee Directors, consultants, independent contractors, and advisers to the Company and its subsidiaries. There will be 9 Non-Employee Directors and approximately 525 employees who may be considered for the grant of awards under the 2025 Plan.</w:t>
      </w:r>
    </w:p>
    <w:p>
      <w:pPr>
        <w:spacing w:after="0" w:line="104"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Types of Awards under 2025 Plan</w:t>
      </w:r>
    </w:p>
    <w:p>
      <w:pPr>
        <w:spacing w:after="0" w:line="153" w:lineRule="exact"/>
        <w:rPr>
          <w:sz w:val="20"/>
          <w:szCs w:val="20"/>
          <w:color w:val="auto"/>
        </w:rPr>
      </w:pPr>
    </w:p>
    <w:p>
      <w:pPr>
        <w:ind w:left="1000" w:right="159"/>
        <w:spacing w:after="0" w:line="262" w:lineRule="auto"/>
        <w:rPr>
          <w:sz w:val="20"/>
          <w:szCs w:val="20"/>
          <w:color w:val="auto"/>
        </w:rPr>
      </w:pPr>
      <w:r>
        <w:rPr>
          <w:rFonts w:ascii="Arial" w:cs="Arial" w:eastAsia="Arial" w:hAnsi="Arial"/>
          <w:sz w:val="18"/>
          <w:szCs w:val="18"/>
          <w:color w:val="auto"/>
        </w:rPr>
        <w:t>The 2025 Plan provides for the grant of stock options, stock appreciation rights (“SARs”), restricted stock, restricted stock units, performance share units, and other stock unit awards. Each of these awards is payable in, valued in whole or in part by reference to, or otherwise based on the Company’s Common Stock. In addition, the 2025 Plan includes performance-based cash awards (“EIP Awards”).</w:t>
      </w:r>
    </w:p>
    <w:p>
      <w:pPr>
        <w:spacing w:after="0" w:line="104"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Shares Available Under the 2025 Plan</w:t>
      </w:r>
    </w:p>
    <w:p>
      <w:pPr>
        <w:spacing w:after="0" w:line="153" w:lineRule="exact"/>
        <w:rPr>
          <w:sz w:val="20"/>
          <w:szCs w:val="20"/>
          <w:color w:val="auto"/>
        </w:rPr>
      </w:pPr>
    </w:p>
    <w:p>
      <w:pPr>
        <w:ind w:left="1000" w:right="139"/>
        <w:spacing w:after="0" w:line="268" w:lineRule="auto"/>
        <w:rPr>
          <w:sz w:val="20"/>
          <w:szCs w:val="20"/>
          <w:color w:val="auto"/>
        </w:rPr>
      </w:pPr>
      <w:r>
        <w:rPr>
          <w:rFonts w:ascii="Arial" w:cs="Arial" w:eastAsia="Arial" w:hAnsi="Arial"/>
          <w:sz w:val="18"/>
          <w:szCs w:val="18"/>
          <w:color w:val="auto"/>
        </w:rPr>
        <w:t>If approved by shareholders, the 2025 Plan will be applicable to awards granted on or after the Effective Date. A total of 3,000,000 shares of the Company’s Common Stock will be available for the grant of awards under the 2025 Plan.</w:t>
      </w:r>
    </w:p>
    <w:p>
      <w:pPr>
        <w:spacing w:after="0" w:line="85"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Limits on Awards</w:t>
      </w:r>
    </w:p>
    <w:p>
      <w:pPr>
        <w:spacing w:after="0" w:line="15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limitations apply for individual awards:</w:t>
      </w:r>
    </w:p>
    <w:p>
      <w:pPr>
        <w:spacing w:after="0" w:line="171" w:lineRule="exact"/>
        <w:rPr>
          <w:sz w:val="20"/>
          <w:szCs w:val="20"/>
          <w:color w:val="auto"/>
        </w:rPr>
      </w:pPr>
    </w:p>
    <w:p>
      <w:pPr>
        <w:ind w:left="1720" w:right="279" w:hanging="370"/>
        <w:spacing w:after="0" w:line="259" w:lineRule="auto"/>
        <w:tabs>
          <w:tab w:leader="none" w:pos="1720" w:val="left"/>
        </w:tabs>
        <w:numPr>
          <w:ilvl w:val="0"/>
          <w:numId w:val="65"/>
        </w:numPr>
        <w:rPr>
          <w:rFonts w:ascii="Arial" w:cs="Arial" w:eastAsia="Arial" w:hAnsi="Arial"/>
          <w:sz w:val="18"/>
          <w:szCs w:val="18"/>
          <w:color w:val="53C072"/>
        </w:rPr>
      </w:pPr>
      <w:r>
        <w:rPr>
          <w:rFonts w:ascii="Arial" w:cs="Arial" w:eastAsia="Arial" w:hAnsi="Arial"/>
          <w:sz w:val="18"/>
          <w:szCs w:val="18"/>
          <w:color w:val="auto"/>
        </w:rPr>
        <w:t>For Non-Employee Directors, the maximum number of shares that may be subject to awards granted to an individual in any calendar year is the number of shares with a value of $1,000,000, determined with respect to each share on the date of grant; provided, however, that in the year in which a Non-Employee Director first joins the Board of Directors or is first designated Chairman of the Board of Directors (or Lead Director), the limit is increased to $2,000,000.</w:t>
      </w:r>
    </w:p>
    <w:p>
      <w:pPr>
        <w:spacing w:after="0" w:line="125" w:lineRule="exact"/>
        <w:rPr>
          <w:rFonts w:ascii="Arial" w:cs="Arial" w:eastAsia="Arial" w:hAnsi="Arial"/>
          <w:sz w:val="18"/>
          <w:szCs w:val="18"/>
          <w:color w:val="53C072"/>
        </w:rPr>
      </w:pPr>
    </w:p>
    <w:p>
      <w:pPr>
        <w:ind w:left="1720" w:right="299" w:hanging="370"/>
        <w:spacing w:after="0" w:line="318" w:lineRule="auto"/>
        <w:tabs>
          <w:tab w:leader="none" w:pos="1720" w:val="left"/>
        </w:tabs>
        <w:numPr>
          <w:ilvl w:val="0"/>
          <w:numId w:val="65"/>
        </w:numPr>
        <w:rPr>
          <w:rFonts w:ascii="Arial" w:cs="Arial" w:eastAsia="Arial" w:hAnsi="Arial"/>
          <w:sz w:val="17"/>
          <w:szCs w:val="17"/>
          <w:color w:val="53C072"/>
        </w:rPr>
      </w:pPr>
      <w:r>
        <w:rPr>
          <w:rFonts w:ascii="Arial" w:cs="Arial" w:eastAsia="Arial" w:hAnsi="Arial"/>
          <w:sz w:val="17"/>
          <w:szCs w:val="17"/>
          <w:color w:val="auto"/>
        </w:rPr>
        <w:t>The maximum EIP Award that may be granted to an individual in any 12-month period is $5,000,000, adjusted on a pro-rata basis up or down if the performance period is more or less than 12 months.</w:t>
      </w:r>
    </w:p>
    <w:p>
      <w:pPr>
        <w:spacing w:after="0" w:line="62" w:lineRule="exact"/>
        <w:rPr>
          <w:sz w:val="20"/>
          <w:szCs w:val="20"/>
          <w:color w:val="auto"/>
        </w:rPr>
      </w:pPr>
    </w:p>
    <w:p>
      <w:pPr>
        <w:ind w:left="1000" w:right="259"/>
        <w:spacing w:after="0" w:line="318" w:lineRule="auto"/>
        <w:rPr>
          <w:sz w:val="20"/>
          <w:szCs w:val="20"/>
          <w:color w:val="auto"/>
        </w:rPr>
      </w:pPr>
      <w:r>
        <w:rPr>
          <w:rFonts w:ascii="Arial" w:cs="Arial" w:eastAsia="Arial" w:hAnsi="Arial"/>
          <w:sz w:val="17"/>
          <w:szCs w:val="17"/>
          <w:color w:val="auto"/>
        </w:rPr>
        <w:t>The shares awarded or issued upon exercise under the 2025 Plan may be authorized and previously unissued shares or treasury shares held by the Company. Both the aggregate number of shares covered by the 2025</w:t>
      </w:r>
    </w:p>
    <w:p>
      <w:pPr>
        <w:spacing w:after="0" w:line="97"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310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6640" w:type="dxa"/>
            <w:vAlign w:val="bottom"/>
            <w:vMerge w:val="restart"/>
          </w:tcPr>
          <w:p>
            <w:pPr>
              <w:ind w:left="740"/>
              <w:spacing w:after="0"/>
              <w:rPr>
                <w:sz w:val="20"/>
                <w:szCs w:val="20"/>
                <w:color w:val="auto"/>
              </w:rPr>
            </w:pPr>
            <w:r>
              <w:rPr>
                <w:rFonts w:ascii="Arial" w:cs="Arial" w:eastAsia="Arial" w:hAnsi="Arial"/>
                <w:sz w:val="14"/>
                <w:szCs w:val="14"/>
                <w:color w:val="auto"/>
              </w:rPr>
              <w:t>PROPOSAL 3: APPROVAL OF THE 2025 STOCK COMPENSATION AND INCENTIVE PLAN</w:t>
            </w:r>
          </w:p>
        </w:tc>
        <w:tc>
          <w:tcPr>
            <w:tcW w:w="0" w:type="dxa"/>
            <w:vAlign w:val="bottom"/>
          </w:tcPr>
          <w:p>
            <w:pPr>
              <w:spacing w:after="0"/>
              <w:rPr>
                <w:sz w:val="1"/>
                <w:szCs w:val="1"/>
                <w:color w:val="auto"/>
              </w:rPr>
            </w:pPr>
          </w:p>
        </w:tc>
      </w:tr>
      <w:tr>
        <w:trPr>
          <w:trHeight w:val="88"/>
        </w:trPr>
        <w:tc>
          <w:tcPr>
            <w:tcW w:w="31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6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100" w:type="dxa"/>
            <w:vAlign w:val="bottom"/>
            <w:vMerge w:val="continue"/>
          </w:tcPr>
          <w:p>
            <w:pPr>
              <w:spacing w:after="0"/>
              <w:rPr>
                <w:sz w:val="11"/>
                <w:szCs w:val="11"/>
                <w:color w:val="auto"/>
              </w:rPr>
            </w:pPr>
          </w:p>
        </w:tc>
        <w:tc>
          <w:tcPr>
            <w:tcW w:w="6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419"/>
        <w:spacing w:after="0" w:line="261" w:lineRule="auto"/>
        <w:rPr>
          <w:sz w:val="20"/>
          <w:szCs w:val="20"/>
          <w:color w:val="auto"/>
        </w:rPr>
      </w:pPr>
      <w:r>
        <w:rPr>
          <w:rFonts w:ascii="Arial" w:cs="Arial" w:eastAsia="Arial" w:hAnsi="Arial"/>
          <w:sz w:val="18"/>
          <w:szCs w:val="18"/>
          <w:color w:val="auto"/>
        </w:rPr>
        <w:t>Plan and the number of shares covered by individual options will be adjusted in the event of stock dividends, recapitalizations, splits or combinations of shares, and similar capital adjustments affecting the Company’s Common Stock.</w:t>
      </w:r>
    </w:p>
    <w:p>
      <w:pPr>
        <w:spacing w:after="0" w:line="89"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Share Counting Provisions</w:t>
      </w:r>
    </w:p>
    <w:p>
      <w:pPr>
        <w:spacing w:after="0" w:line="153" w:lineRule="exact"/>
        <w:rPr>
          <w:sz w:val="20"/>
          <w:szCs w:val="20"/>
          <w:color w:val="auto"/>
        </w:rPr>
      </w:pPr>
    </w:p>
    <w:p>
      <w:pPr>
        <w:ind w:left="1000" w:right="139"/>
        <w:spacing w:after="0" w:line="248" w:lineRule="auto"/>
        <w:rPr>
          <w:sz w:val="20"/>
          <w:szCs w:val="20"/>
          <w:color w:val="auto"/>
        </w:rPr>
      </w:pPr>
      <w:r>
        <w:rPr>
          <w:rFonts w:ascii="Arial" w:cs="Arial" w:eastAsia="Arial" w:hAnsi="Arial"/>
          <w:sz w:val="18"/>
          <w:szCs w:val="18"/>
          <w:color w:val="auto"/>
        </w:rPr>
        <w:t>Shares that are not issued upon the net settlement or net exercise of options or SARs, shares that are delivered to or retained by the Company to pay the exercise price or withholding taxes related to awards, and shares repurchased on the open market with the proceeds of option exercises, will not be available for additional grants under the 2025 Plan. In general, shares subject to awards under the 2025 Plan that expire, terminate, or are canceled or forfeited before issuance, and shares subject to awards that are settled without delivery of stock, will again be available for issuance under the 2025 Plan.</w:t>
      </w:r>
    </w:p>
    <w:p>
      <w:pPr>
        <w:spacing w:after="0" w:line="102"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Administration of the Plan</w:t>
      </w:r>
    </w:p>
    <w:p>
      <w:pPr>
        <w:spacing w:after="0" w:line="153" w:lineRule="exact"/>
        <w:rPr>
          <w:sz w:val="20"/>
          <w:szCs w:val="20"/>
          <w:color w:val="auto"/>
        </w:rPr>
      </w:pPr>
    </w:p>
    <w:p>
      <w:pPr>
        <w:ind w:left="1000" w:right="139"/>
        <w:spacing w:after="0" w:line="258" w:lineRule="auto"/>
        <w:rPr>
          <w:sz w:val="20"/>
          <w:szCs w:val="20"/>
          <w:color w:val="auto"/>
        </w:rPr>
      </w:pPr>
      <w:r>
        <w:rPr>
          <w:rFonts w:ascii="Arial" w:cs="Arial" w:eastAsia="Arial" w:hAnsi="Arial"/>
          <w:sz w:val="17"/>
          <w:szCs w:val="17"/>
          <w:color w:val="auto"/>
        </w:rPr>
        <w:t>The Administrator of the 2025 Plan is (a) the Compensation and Leadership Development Committee of the Board (the “Committee”) for awards to employees, consultants and advisers, and (b) the Company’s independent directors for awards to Non-Employee Directors. The Administrator has the power and authority, among other things, to: (i) designate participants and determine the types of awards granted to each participant;</w:t>
      </w:r>
    </w:p>
    <w:p>
      <w:pPr>
        <w:spacing w:after="0" w:line="1" w:lineRule="exact"/>
        <w:rPr>
          <w:sz w:val="20"/>
          <w:szCs w:val="20"/>
          <w:color w:val="auto"/>
        </w:rPr>
      </w:pPr>
    </w:p>
    <w:p>
      <w:pPr>
        <w:ind w:left="1000" w:right="159" w:hanging="10"/>
        <w:spacing w:after="0" w:line="241" w:lineRule="auto"/>
        <w:tabs>
          <w:tab w:leader="none" w:pos="1243"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determine the number of shares reserved under any award or grant, the exercise price, terms and conditions, duration and payment provisions, any schedule for lapse of forfeiture restrictions and restrictions on exercisability, and accelerations and waivers thereof; (iii) determine the amount of, and performance criteria and performance period for, performance-based awards; (iv) construe and interpret the 2025 Plan; (v) establish and amend rules and regulations for the administration of the 2025 Plan; (vi) correct any defect, remedy any omission, and reconcile any ambiguity or inconsistency in the 2025 Plan and any award in the manner and to the extent that it deems appropriate to carry out the intent of the 2025 Plan and such award; and (vi) certify the level as to which each Performance Objective was attained.</w:t>
      </w:r>
    </w:p>
    <w:p>
      <w:pPr>
        <w:spacing w:after="0" w:line="115" w:lineRule="exact"/>
        <w:rPr>
          <w:sz w:val="20"/>
          <w:szCs w:val="20"/>
          <w:color w:val="auto"/>
        </w:rPr>
      </w:pPr>
    </w:p>
    <w:p>
      <w:pPr>
        <w:ind w:left="1000" w:right="459"/>
        <w:spacing w:after="0" w:line="287" w:lineRule="auto"/>
        <w:rPr>
          <w:sz w:val="20"/>
          <w:szCs w:val="20"/>
          <w:color w:val="auto"/>
        </w:rPr>
      </w:pPr>
      <w:r>
        <w:rPr>
          <w:rFonts w:ascii="Arial" w:cs="Arial" w:eastAsia="Arial" w:hAnsi="Arial"/>
          <w:sz w:val="18"/>
          <w:szCs w:val="18"/>
          <w:color w:val="auto"/>
        </w:rPr>
        <w:t>In addition, the 2025 Plan authorizes the CEO to make awards to Eligible Employees who are not Executive Officers, subject to any limits that the Committee may impose.</w:t>
      </w:r>
    </w:p>
    <w:p>
      <w:pPr>
        <w:spacing w:after="0" w:line="67"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Stock Options</w:t>
      </w:r>
    </w:p>
    <w:p>
      <w:pPr>
        <w:spacing w:after="0" w:line="15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general, stock option grants are subject to the following rules:</w:t>
      </w:r>
    </w:p>
    <w:p>
      <w:pPr>
        <w:spacing w:after="0" w:line="131" w:lineRule="exact"/>
        <w:rPr>
          <w:sz w:val="20"/>
          <w:szCs w:val="20"/>
          <w:color w:val="auto"/>
        </w:rPr>
      </w:pPr>
    </w:p>
    <w:p>
      <w:pPr>
        <w:ind w:left="1720" w:right="159" w:hanging="370"/>
        <w:spacing w:after="0" w:line="257" w:lineRule="auto"/>
        <w:tabs>
          <w:tab w:leader="none" w:pos="1720" w:val="left"/>
        </w:tabs>
        <w:numPr>
          <w:ilvl w:val="0"/>
          <w:numId w:val="67"/>
        </w:numPr>
        <w:rPr>
          <w:rFonts w:ascii="Arial" w:cs="Arial" w:eastAsia="Arial" w:hAnsi="Arial"/>
          <w:sz w:val="18"/>
          <w:szCs w:val="18"/>
          <w:color w:val="53C072"/>
        </w:rPr>
      </w:pPr>
      <w:r>
        <w:rPr>
          <w:rFonts w:ascii="Arial" w:cs="Arial" w:eastAsia="Arial" w:hAnsi="Arial"/>
          <w:sz w:val="18"/>
          <w:szCs w:val="18"/>
          <w:color w:val="auto"/>
        </w:rPr>
        <w:t>The exercise price per share for options under the 2025 Plan will be at least 100% of the fair market value per share of the Company’s Common Stock on the grant date. The fair market value of Common Stock on any date will be the closing price (as reported for the Nasdaq Composite Index) on that date, or if no trading is reported on that date, the fair market value will be the closing price as of the next preceding day for which trading was reported, or such other price as determined by the Committee in accordance with applicable law.</w:t>
      </w:r>
    </w:p>
    <w:p>
      <w:pPr>
        <w:spacing w:after="0" w:line="101" w:lineRule="exact"/>
        <w:rPr>
          <w:rFonts w:ascii="Arial" w:cs="Arial" w:eastAsia="Arial" w:hAnsi="Arial"/>
          <w:sz w:val="18"/>
          <w:szCs w:val="18"/>
          <w:color w:val="53C072"/>
        </w:rPr>
      </w:pPr>
    </w:p>
    <w:p>
      <w:pPr>
        <w:ind w:left="1720" w:right="399" w:hanging="370"/>
        <w:spacing w:after="0" w:line="287" w:lineRule="auto"/>
        <w:tabs>
          <w:tab w:leader="none" w:pos="1720" w:val="left"/>
        </w:tabs>
        <w:numPr>
          <w:ilvl w:val="0"/>
          <w:numId w:val="67"/>
        </w:numPr>
        <w:rPr>
          <w:rFonts w:ascii="Arial" w:cs="Arial" w:eastAsia="Arial" w:hAnsi="Arial"/>
          <w:sz w:val="18"/>
          <w:szCs w:val="18"/>
          <w:color w:val="53C072"/>
        </w:rPr>
      </w:pPr>
      <w:r>
        <w:rPr>
          <w:rFonts w:ascii="Arial" w:cs="Arial" w:eastAsia="Arial" w:hAnsi="Arial"/>
          <w:sz w:val="18"/>
          <w:szCs w:val="18"/>
          <w:color w:val="auto"/>
        </w:rPr>
        <w:t>The Administrator (or the CEO to the extent described above) will establish the vesting schedule for each option and the terms and conditions for exercising the option.</w:t>
      </w:r>
    </w:p>
    <w:p>
      <w:pPr>
        <w:spacing w:after="0" w:line="58" w:lineRule="exact"/>
        <w:rPr>
          <w:rFonts w:ascii="Arial" w:cs="Arial" w:eastAsia="Arial" w:hAnsi="Arial"/>
          <w:sz w:val="18"/>
          <w:szCs w:val="18"/>
          <w:color w:val="53C072"/>
        </w:rPr>
      </w:pPr>
    </w:p>
    <w:p>
      <w:pPr>
        <w:ind w:left="1720" w:right="219" w:hanging="370"/>
        <w:spacing w:after="0" w:line="262" w:lineRule="auto"/>
        <w:tabs>
          <w:tab w:leader="none" w:pos="1720" w:val="left"/>
        </w:tabs>
        <w:numPr>
          <w:ilvl w:val="0"/>
          <w:numId w:val="67"/>
        </w:numPr>
        <w:rPr>
          <w:rFonts w:ascii="Arial" w:cs="Arial" w:eastAsia="Arial" w:hAnsi="Arial"/>
          <w:sz w:val="18"/>
          <w:szCs w:val="18"/>
          <w:color w:val="53C072"/>
        </w:rPr>
      </w:pPr>
      <w:r>
        <w:rPr>
          <w:rFonts w:ascii="Arial" w:cs="Arial" w:eastAsia="Arial" w:hAnsi="Arial"/>
          <w:sz w:val="18"/>
          <w:szCs w:val="18"/>
          <w:color w:val="auto"/>
        </w:rPr>
        <w:t>An option generally may not become vested at a rate faster than pro-rata annually over three years from the grant date, subject to the Administrator’s authorization to (i) grant a limited number of awards under the 2025 Plan with shorter vesting periods and Periods of Restriction and (ii) accelerate vesting in certain circumstances, each as described below.</w:t>
      </w:r>
    </w:p>
    <w:p>
      <w:pPr>
        <w:spacing w:after="0" w:line="95" w:lineRule="exact"/>
        <w:rPr>
          <w:rFonts w:ascii="Arial" w:cs="Arial" w:eastAsia="Arial" w:hAnsi="Arial"/>
          <w:sz w:val="18"/>
          <w:szCs w:val="18"/>
          <w:color w:val="53C072"/>
        </w:rPr>
      </w:pPr>
    </w:p>
    <w:p>
      <w:pPr>
        <w:ind w:left="1720" w:right="299" w:hanging="370"/>
        <w:spacing w:after="0" w:line="268" w:lineRule="auto"/>
        <w:tabs>
          <w:tab w:leader="none" w:pos="1720" w:val="left"/>
        </w:tabs>
        <w:numPr>
          <w:ilvl w:val="0"/>
          <w:numId w:val="67"/>
        </w:numPr>
        <w:rPr>
          <w:rFonts w:ascii="Arial" w:cs="Arial" w:eastAsia="Arial" w:hAnsi="Arial"/>
          <w:sz w:val="18"/>
          <w:szCs w:val="18"/>
          <w:color w:val="53C072"/>
        </w:rPr>
      </w:pPr>
      <w:r>
        <w:rPr>
          <w:rFonts w:ascii="Arial" w:cs="Arial" w:eastAsia="Arial" w:hAnsi="Arial"/>
          <w:sz w:val="18"/>
          <w:szCs w:val="18"/>
          <w:color w:val="auto"/>
        </w:rPr>
        <w:t>Upon exercise, the exercise price is to be paid in full in cash or another form permitted by the Administrator. Other forms may include net exercise, broker-assisted cashless exercise or delivery of shares of the Company’s Common Stock in lieu of cash.</w:t>
      </w:r>
    </w:p>
    <w:p>
      <w:pPr>
        <w:spacing w:after="0" w:line="89" w:lineRule="exact"/>
        <w:rPr>
          <w:rFonts w:ascii="Arial" w:cs="Arial" w:eastAsia="Arial" w:hAnsi="Arial"/>
          <w:sz w:val="18"/>
          <w:szCs w:val="18"/>
          <w:color w:val="53C072"/>
        </w:rPr>
      </w:pPr>
    </w:p>
    <w:p>
      <w:pPr>
        <w:ind w:left="1720" w:right="299" w:hanging="370"/>
        <w:spacing w:after="0" w:line="287" w:lineRule="auto"/>
        <w:tabs>
          <w:tab w:leader="none" w:pos="1720" w:val="left"/>
        </w:tabs>
        <w:numPr>
          <w:ilvl w:val="0"/>
          <w:numId w:val="67"/>
        </w:numPr>
        <w:rPr>
          <w:rFonts w:ascii="Arial" w:cs="Arial" w:eastAsia="Arial" w:hAnsi="Arial"/>
          <w:sz w:val="18"/>
          <w:szCs w:val="18"/>
          <w:color w:val="53C072"/>
        </w:rPr>
      </w:pPr>
      <w:r>
        <w:rPr>
          <w:rFonts w:ascii="Arial" w:cs="Arial" w:eastAsia="Arial" w:hAnsi="Arial"/>
          <w:sz w:val="18"/>
          <w:szCs w:val="18"/>
          <w:color w:val="auto"/>
        </w:rPr>
        <w:t>No option granted under the 2025 Plan will be exercisable after the day prior to the tenth anniversary of the grant date.</w:t>
      </w:r>
    </w:p>
    <w:p>
      <w:pPr>
        <w:spacing w:after="0" w:line="58" w:lineRule="exact"/>
        <w:rPr>
          <w:rFonts w:ascii="Arial" w:cs="Arial" w:eastAsia="Arial" w:hAnsi="Arial"/>
          <w:sz w:val="18"/>
          <w:szCs w:val="18"/>
          <w:color w:val="53C072"/>
        </w:rPr>
      </w:pPr>
    </w:p>
    <w:p>
      <w:pPr>
        <w:ind w:left="1720" w:right="319" w:hanging="370"/>
        <w:spacing w:after="0" w:line="287" w:lineRule="auto"/>
        <w:tabs>
          <w:tab w:leader="none" w:pos="1720" w:val="left"/>
        </w:tabs>
        <w:numPr>
          <w:ilvl w:val="0"/>
          <w:numId w:val="67"/>
        </w:numPr>
        <w:rPr>
          <w:rFonts w:ascii="Arial" w:cs="Arial" w:eastAsia="Arial" w:hAnsi="Arial"/>
          <w:sz w:val="18"/>
          <w:szCs w:val="18"/>
          <w:color w:val="53C072"/>
        </w:rPr>
      </w:pPr>
      <w:r>
        <w:rPr>
          <w:rFonts w:ascii="Arial" w:cs="Arial" w:eastAsia="Arial" w:hAnsi="Arial"/>
          <w:sz w:val="18"/>
          <w:szCs w:val="18"/>
          <w:color w:val="auto"/>
        </w:rPr>
        <w:t>Stock option holders are not entitled to receive dividends or other distributions with respect to shares of the Company’s Common Stock underlying such options.</w:t>
      </w:r>
    </w:p>
    <w:p>
      <w:pPr>
        <w:spacing w:after="0" w:line="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74     </w:t>
      </w:r>
      <w:r>
        <w:rPr>
          <w:sz w:val="1"/>
          <w:szCs w:val="1"/>
          <w:color w:val="auto"/>
        </w:rPr>
        <w:drawing>
          <wp:inline distT="0" distB="0" distL="0" distR="0">
            <wp:extent cx="1242695" cy="24003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310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6640" w:type="dxa"/>
            <w:vAlign w:val="bottom"/>
            <w:vMerge w:val="restart"/>
          </w:tcPr>
          <w:p>
            <w:pPr>
              <w:ind w:left="740"/>
              <w:spacing w:after="0"/>
              <w:rPr>
                <w:sz w:val="20"/>
                <w:szCs w:val="20"/>
                <w:color w:val="auto"/>
              </w:rPr>
            </w:pPr>
            <w:r>
              <w:rPr>
                <w:rFonts w:ascii="Arial" w:cs="Arial" w:eastAsia="Arial" w:hAnsi="Arial"/>
                <w:sz w:val="14"/>
                <w:szCs w:val="14"/>
                <w:color w:val="auto"/>
              </w:rPr>
              <w:t>PROPOSAL 3: APPROVAL OF THE 2025 STOCK COMPENSATION AND INCENTIVE PLAN</w:t>
            </w:r>
          </w:p>
        </w:tc>
        <w:tc>
          <w:tcPr>
            <w:tcW w:w="0" w:type="dxa"/>
            <w:vAlign w:val="bottom"/>
          </w:tcPr>
          <w:p>
            <w:pPr>
              <w:spacing w:after="0"/>
              <w:rPr>
                <w:sz w:val="1"/>
                <w:szCs w:val="1"/>
                <w:color w:val="auto"/>
              </w:rPr>
            </w:pPr>
          </w:p>
        </w:tc>
      </w:tr>
      <w:tr>
        <w:trPr>
          <w:trHeight w:val="88"/>
        </w:trPr>
        <w:tc>
          <w:tcPr>
            <w:tcW w:w="31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6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100" w:type="dxa"/>
            <w:vAlign w:val="bottom"/>
            <w:vMerge w:val="continue"/>
          </w:tcPr>
          <w:p>
            <w:pPr>
              <w:spacing w:after="0"/>
              <w:rPr>
                <w:sz w:val="11"/>
                <w:szCs w:val="11"/>
                <w:color w:val="auto"/>
              </w:rPr>
            </w:pPr>
          </w:p>
        </w:tc>
        <w:tc>
          <w:tcPr>
            <w:tcW w:w="6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Stock Appreciation Rights</w:t>
      </w:r>
    </w:p>
    <w:p>
      <w:pPr>
        <w:spacing w:after="0" w:line="15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general, SARs are subject to the following rules:</w:t>
      </w:r>
    </w:p>
    <w:p>
      <w:pPr>
        <w:spacing w:after="0" w:line="171" w:lineRule="exact"/>
        <w:rPr>
          <w:sz w:val="20"/>
          <w:szCs w:val="20"/>
          <w:color w:val="auto"/>
        </w:rPr>
      </w:pPr>
    </w:p>
    <w:p>
      <w:pPr>
        <w:ind w:left="1720" w:hanging="370"/>
        <w:spacing w:after="0"/>
        <w:tabs>
          <w:tab w:leader="none" w:pos="1720" w:val="left"/>
        </w:tabs>
        <w:numPr>
          <w:ilvl w:val="0"/>
          <w:numId w:val="68"/>
        </w:numPr>
        <w:rPr>
          <w:rFonts w:ascii="Arial" w:cs="Arial" w:eastAsia="Arial" w:hAnsi="Arial"/>
          <w:sz w:val="18"/>
          <w:szCs w:val="18"/>
          <w:color w:val="53C072"/>
        </w:rPr>
      </w:pPr>
      <w:r>
        <w:rPr>
          <w:rFonts w:ascii="Arial" w:cs="Arial" w:eastAsia="Arial" w:hAnsi="Arial"/>
          <w:sz w:val="18"/>
          <w:szCs w:val="18"/>
          <w:color w:val="auto"/>
        </w:rPr>
        <w:t>SARs may be granted in tandem with an option or alone (“freestanding”).</w:t>
      </w:r>
    </w:p>
    <w:p>
      <w:pPr>
        <w:spacing w:after="0" w:line="157" w:lineRule="exact"/>
        <w:rPr>
          <w:rFonts w:ascii="Arial" w:cs="Arial" w:eastAsia="Arial" w:hAnsi="Arial"/>
          <w:sz w:val="18"/>
          <w:szCs w:val="18"/>
          <w:color w:val="53C072"/>
        </w:rPr>
      </w:pPr>
    </w:p>
    <w:p>
      <w:pPr>
        <w:ind w:left="1720" w:right="199" w:hanging="370"/>
        <w:spacing w:after="0" w:line="268" w:lineRule="auto"/>
        <w:tabs>
          <w:tab w:leader="none" w:pos="1720" w:val="left"/>
        </w:tabs>
        <w:numPr>
          <w:ilvl w:val="0"/>
          <w:numId w:val="68"/>
        </w:numPr>
        <w:rPr>
          <w:rFonts w:ascii="Arial" w:cs="Arial" w:eastAsia="Arial" w:hAnsi="Arial"/>
          <w:sz w:val="18"/>
          <w:szCs w:val="18"/>
          <w:color w:val="53C072"/>
        </w:rPr>
      </w:pPr>
      <w:r>
        <w:rPr>
          <w:rFonts w:ascii="Arial" w:cs="Arial" w:eastAsia="Arial" w:hAnsi="Arial"/>
          <w:sz w:val="18"/>
          <w:szCs w:val="18"/>
          <w:color w:val="auto"/>
        </w:rPr>
        <w:t>The exercise price per share for each tandem SAR will be no less than the exercise price for the related option, and the exercise price per share for each freestanding SAR will be at least 100% of the Fair Market Value per share of the Company’s Common Stock on the grant date.</w:t>
      </w:r>
    </w:p>
    <w:p>
      <w:pPr>
        <w:spacing w:after="0" w:line="103" w:lineRule="exact"/>
        <w:rPr>
          <w:rFonts w:ascii="Arial" w:cs="Arial" w:eastAsia="Arial" w:hAnsi="Arial"/>
          <w:sz w:val="18"/>
          <w:szCs w:val="18"/>
          <w:color w:val="53C072"/>
        </w:rPr>
      </w:pPr>
    </w:p>
    <w:p>
      <w:pPr>
        <w:ind w:left="1720" w:right="399" w:hanging="370"/>
        <w:spacing w:after="0" w:line="287" w:lineRule="auto"/>
        <w:tabs>
          <w:tab w:leader="none" w:pos="1720" w:val="left"/>
        </w:tabs>
        <w:numPr>
          <w:ilvl w:val="0"/>
          <w:numId w:val="68"/>
        </w:numPr>
        <w:rPr>
          <w:rFonts w:ascii="Arial" w:cs="Arial" w:eastAsia="Arial" w:hAnsi="Arial"/>
          <w:sz w:val="18"/>
          <w:szCs w:val="18"/>
          <w:color w:val="53C072"/>
        </w:rPr>
      </w:pPr>
      <w:r>
        <w:rPr>
          <w:rFonts w:ascii="Arial" w:cs="Arial" w:eastAsia="Arial" w:hAnsi="Arial"/>
          <w:sz w:val="18"/>
          <w:szCs w:val="18"/>
          <w:color w:val="auto"/>
        </w:rPr>
        <w:t>The Administrator (or the CEO to the extent described above) will establish the vesting schedule for each SAR and the terms and conditions for exercising the SAR.</w:t>
      </w:r>
    </w:p>
    <w:p>
      <w:pPr>
        <w:spacing w:after="0" w:line="85" w:lineRule="exact"/>
        <w:rPr>
          <w:rFonts w:ascii="Arial" w:cs="Arial" w:eastAsia="Arial" w:hAnsi="Arial"/>
          <w:sz w:val="18"/>
          <w:szCs w:val="18"/>
          <w:color w:val="53C072"/>
        </w:rPr>
      </w:pPr>
    </w:p>
    <w:p>
      <w:pPr>
        <w:ind w:left="1720" w:right="379" w:hanging="370"/>
        <w:spacing w:after="0" w:line="318" w:lineRule="auto"/>
        <w:tabs>
          <w:tab w:leader="none" w:pos="1720" w:val="left"/>
        </w:tabs>
        <w:numPr>
          <w:ilvl w:val="0"/>
          <w:numId w:val="68"/>
        </w:numPr>
        <w:rPr>
          <w:rFonts w:ascii="Arial" w:cs="Arial" w:eastAsia="Arial" w:hAnsi="Arial"/>
          <w:sz w:val="17"/>
          <w:szCs w:val="17"/>
          <w:color w:val="53C072"/>
        </w:rPr>
      </w:pPr>
      <w:r>
        <w:rPr>
          <w:rFonts w:ascii="Arial" w:cs="Arial" w:eastAsia="Arial" w:hAnsi="Arial"/>
          <w:sz w:val="17"/>
          <w:szCs w:val="17"/>
          <w:color w:val="auto"/>
        </w:rPr>
        <w:t>SARs will be subject to the same minimum vesting period provisions as apply for options (described above). Tandem SARS will exercisable only to the extent that the related option is exercisable.</w:t>
      </w:r>
    </w:p>
    <w:p>
      <w:pPr>
        <w:spacing w:after="0" w:line="62" w:lineRule="exact"/>
        <w:rPr>
          <w:rFonts w:ascii="Arial" w:cs="Arial" w:eastAsia="Arial" w:hAnsi="Arial"/>
          <w:sz w:val="17"/>
          <w:szCs w:val="17"/>
          <w:color w:val="53C072"/>
        </w:rPr>
      </w:pPr>
    </w:p>
    <w:p>
      <w:pPr>
        <w:ind w:left="1720" w:right="159" w:hanging="370"/>
        <w:spacing w:after="0" w:line="262" w:lineRule="auto"/>
        <w:tabs>
          <w:tab w:leader="none" w:pos="1720" w:val="left"/>
        </w:tabs>
        <w:numPr>
          <w:ilvl w:val="0"/>
          <w:numId w:val="68"/>
        </w:numPr>
        <w:rPr>
          <w:rFonts w:ascii="Arial" w:cs="Arial" w:eastAsia="Arial" w:hAnsi="Arial"/>
          <w:sz w:val="18"/>
          <w:szCs w:val="18"/>
          <w:color w:val="53C072"/>
        </w:rPr>
      </w:pPr>
      <w:r>
        <w:rPr>
          <w:rFonts w:ascii="Arial" w:cs="Arial" w:eastAsia="Arial" w:hAnsi="Arial"/>
          <w:sz w:val="18"/>
          <w:szCs w:val="18"/>
          <w:color w:val="auto"/>
        </w:rPr>
        <w:t>Upon exercise, the holder will receive payment in shares of the Company’s Common Stock or cash (or a combination) in an amount equal to the excess of the Fair Market Value of the shares with respect to which the SAR is exercised over the exercise price. No fractional shares will be issued. Any amount that would have been payable in fractional shares will be paid in cash.</w:t>
      </w:r>
    </w:p>
    <w:p>
      <w:pPr>
        <w:spacing w:after="0" w:line="108" w:lineRule="exact"/>
        <w:rPr>
          <w:rFonts w:ascii="Arial" w:cs="Arial" w:eastAsia="Arial" w:hAnsi="Arial"/>
          <w:sz w:val="18"/>
          <w:szCs w:val="18"/>
          <w:color w:val="53C072"/>
        </w:rPr>
      </w:pPr>
    </w:p>
    <w:p>
      <w:pPr>
        <w:ind w:left="1720" w:right="219" w:hanging="370"/>
        <w:spacing w:after="0" w:line="287" w:lineRule="auto"/>
        <w:tabs>
          <w:tab w:leader="none" w:pos="1720" w:val="left"/>
        </w:tabs>
        <w:numPr>
          <w:ilvl w:val="0"/>
          <w:numId w:val="68"/>
        </w:numPr>
        <w:rPr>
          <w:rFonts w:ascii="Arial" w:cs="Arial" w:eastAsia="Arial" w:hAnsi="Arial"/>
          <w:sz w:val="18"/>
          <w:szCs w:val="18"/>
          <w:color w:val="53C072"/>
        </w:rPr>
      </w:pPr>
      <w:r>
        <w:rPr>
          <w:rFonts w:ascii="Arial" w:cs="Arial" w:eastAsia="Arial" w:hAnsi="Arial"/>
          <w:sz w:val="18"/>
          <w:szCs w:val="18"/>
          <w:color w:val="auto"/>
        </w:rPr>
        <w:t>No SAR granted under the 2025 Plan will be exercisable after the day prior to the tenth anniversary of the grant date.</w:t>
      </w:r>
    </w:p>
    <w:p>
      <w:pPr>
        <w:spacing w:after="0" w:line="85" w:lineRule="exact"/>
        <w:rPr>
          <w:rFonts w:ascii="Arial" w:cs="Arial" w:eastAsia="Arial" w:hAnsi="Arial"/>
          <w:sz w:val="18"/>
          <w:szCs w:val="18"/>
          <w:color w:val="53C072"/>
        </w:rPr>
      </w:pPr>
    </w:p>
    <w:p>
      <w:pPr>
        <w:ind w:left="1720" w:right="419" w:hanging="370"/>
        <w:spacing w:after="0" w:line="287" w:lineRule="auto"/>
        <w:tabs>
          <w:tab w:leader="none" w:pos="1720" w:val="left"/>
        </w:tabs>
        <w:numPr>
          <w:ilvl w:val="0"/>
          <w:numId w:val="68"/>
        </w:numPr>
        <w:rPr>
          <w:rFonts w:ascii="Arial" w:cs="Arial" w:eastAsia="Arial" w:hAnsi="Arial"/>
          <w:sz w:val="18"/>
          <w:szCs w:val="18"/>
          <w:color w:val="53C072"/>
        </w:rPr>
      </w:pPr>
      <w:r>
        <w:rPr>
          <w:rFonts w:ascii="Arial" w:cs="Arial" w:eastAsia="Arial" w:hAnsi="Arial"/>
          <w:sz w:val="18"/>
          <w:szCs w:val="18"/>
          <w:color w:val="auto"/>
        </w:rPr>
        <w:t>Holders of SARs are not entitled to receive dividends or other distributions with respect to shares of the Company’s Common Stock underlying such SARs.</w:t>
      </w:r>
    </w:p>
    <w:p>
      <w:pPr>
        <w:spacing w:after="0" w:line="81"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Restricted Stock</w:t>
      </w:r>
    </w:p>
    <w:p>
      <w:pPr>
        <w:spacing w:after="0" w:line="1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general, grants of restricted stock are subject to the following rules:</w:t>
      </w:r>
    </w:p>
    <w:p>
      <w:pPr>
        <w:spacing w:after="0" w:line="171" w:lineRule="exact"/>
        <w:rPr>
          <w:sz w:val="20"/>
          <w:szCs w:val="20"/>
          <w:color w:val="auto"/>
        </w:rPr>
      </w:pPr>
    </w:p>
    <w:p>
      <w:pPr>
        <w:ind w:left="1720" w:right="279" w:hanging="370"/>
        <w:spacing w:after="0" w:line="287" w:lineRule="auto"/>
        <w:tabs>
          <w:tab w:leader="none" w:pos="1720" w:val="left"/>
        </w:tabs>
        <w:numPr>
          <w:ilvl w:val="0"/>
          <w:numId w:val="69"/>
        </w:numPr>
        <w:rPr>
          <w:rFonts w:ascii="Arial" w:cs="Arial" w:eastAsia="Arial" w:hAnsi="Arial"/>
          <w:sz w:val="18"/>
          <w:szCs w:val="18"/>
          <w:color w:val="53C072"/>
        </w:rPr>
      </w:pPr>
      <w:r>
        <w:rPr>
          <w:rFonts w:ascii="Arial" w:cs="Arial" w:eastAsia="Arial" w:hAnsi="Arial"/>
          <w:sz w:val="18"/>
          <w:szCs w:val="18"/>
          <w:color w:val="auto"/>
        </w:rPr>
        <w:t>The Administrator (or the CEO to the extent described above) will establish the terms, conditions and restrictions of any grant of restricted stock.</w:t>
      </w:r>
    </w:p>
    <w:p>
      <w:pPr>
        <w:spacing w:after="0" w:line="85" w:lineRule="exact"/>
        <w:rPr>
          <w:rFonts w:ascii="Arial" w:cs="Arial" w:eastAsia="Arial" w:hAnsi="Arial"/>
          <w:sz w:val="18"/>
          <w:szCs w:val="18"/>
          <w:color w:val="53C072"/>
        </w:rPr>
      </w:pPr>
    </w:p>
    <w:p>
      <w:pPr>
        <w:ind w:left="1720" w:right="439" w:hanging="370"/>
        <w:spacing w:after="0" w:line="287" w:lineRule="auto"/>
        <w:tabs>
          <w:tab w:leader="none" w:pos="1720" w:val="left"/>
        </w:tabs>
        <w:numPr>
          <w:ilvl w:val="0"/>
          <w:numId w:val="69"/>
        </w:numPr>
        <w:rPr>
          <w:rFonts w:ascii="Arial" w:cs="Arial" w:eastAsia="Arial" w:hAnsi="Arial"/>
          <w:sz w:val="18"/>
          <w:szCs w:val="18"/>
          <w:color w:val="53C072"/>
        </w:rPr>
      </w:pPr>
      <w:r>
        <w:rPr>
          <w:rFonts w:ascii="Arial" w:cs="Arial" w:eastAsia="Arial" w:hAnsi="Arial"/>
          <w:sz w:val="18"/>
          <w:szCs w:val="18"/>
          <w:color w:val="auto"/>
        </w:rPr>
        <w:t>Restricted stock will be subject to the same minimum vesting period provisions as apply for options (described above).</w:t>
      </w:r>
    </w:p>
    <w:p>
      <w:pPr>
        <w:spacing w:after="0" w:line="85" w:lineRule="exact"/>
        <w:rPr>
          <w:rFonts w:ascii="Arial" w:cs="Arial" w:eastAsia="Arial" w:hAnsi="Arial"/>
          <w:sz w:val="18"/>
          <w:szCs w:val="18"/>
          <w:color w:val="53C072"/>
        </w:rPr>
      </w:pPr>
    </w:p>
    <w:p>
      <w:pPr>
        <w:ind w:left="1720" w:right="199" w:hanging="370"/>
        <w:spacing w:after="0" w:line="257" w:lineRule="auto"/>
        <w:tabs>
          <w:tab w:leader="none" w:pos="1720" w:val="left"/>
        </w:tabs>
        <w:numPr>
          <w:ilvl w:val="0"/>
          <w:numId w:val="69"/>
        </w:numPr>
        <w:rPr>
          <w:rFonts w:ascii="Arial" w:cs="Arial" w:eastAsia="Arial" w:hAnsi="Arial"/>
          <w:sz w:val="18"/>
          <w:szCs w:val="18"/>
          <w:color w:val="53C072"/>
        </w:rPr>
      </w:pPr>
      <w:r>
        <w:rPr>
          <w:rFonts w:ascii="Arial" w:cs="Arial" w:eastAsia="Arial" w:hAnsi="Arial"/>
          <w:sz w:val="18"/>
          <w:szCs w:val="18"/>
          <w:color w:val="auto"/>
        </w:rPr>
        <w:t>Holders of restricted stock have full voting rights and are entitled to receive any dividends paid on the Company’s Common Stock. All dividends will be reinvested automatically in additional shares of restricted stock that are subject to the same terms and conditions as the initial award, but no fractional shares will be issued. If a dividend would result in a fractional share of Common Stock, the holder will have a right to receive cash in lieu of such fractional share, subject to forfeiture, when the vesting period ends.</w:t>
      </w:r>
    </w:p>
    <w:p>
      <w:pPr>
        <w:spacing w:after="0" w:line="96"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Restricted Stock Units</w:t>
      </w:r>
    </w:p>
    <w:p>
      <w:pPr>
        <w:spacing w:after="0" w:line="15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general, restricted stock units are subject to the following rules:</w:t>
      </w:r>
    </w:p>
    <w:p>
      <w:pPr>
        <w:spacing w:after="0" w:line="158" w:lineRule="exact"/>
        <w:rPr>
          <w:sz w:val="20"/>
          <w:szCs w:val="20"/>
          <w:color w:val="auto"/>
        </w:rPr>
      </w:pPr>
    </w:p>
    <w:p>
      <w:pPr>
        <w:ind w:left="1720" w:right="299" w:hanging="370"/>
        <w:spacing w:after="0" w:line="287" w:lineRule="auto"/>
        <w:tabs>
          <w:tab w:leader="none" w:pos="1720" w:val="left"/>
        </w:tabs>
        <w:numPr>
          <w:ilvl w:val="0"/>
          <w:numId w:val="70"/>
        </w:numPr>
        <w:rPr>
          <w:rFonts w:ascii="Arial" w:cs="Arial" w:eastAsia="Arial" w:hAnsi="Arial"/>
          <w:sz w:val="18"/>
          <w:szCs w:val="18"/>
          <w:color w:val="53C072"/>
        </w:rPr>
      </w:pPr>
      <w:r>
        <w:rPr>
          <w:rFonts w:ascii="Arial" w:cs="Arial" w:eastAsia="Arial" w:hAnsi="Arial"/>
          <w:sz w:val="18"/>
          <w:szCs w:val="18"/>
          <w:color w:val="auto"/>
        </w:rPr>
        <w:t>The Administrator (or the CEO to the extent described above) will establish the vesting schedule and the terms and conditions for each restricted stock unit award.</w:t>
      </w:r>
    </w:p>
    <w:p>
      <w:pPr>
        <w:spacing w:after="0" w:line="85" w:lineRule="exact"/>
        <w:rPr>
          <w:rFonts w:ascii="Arial" w:cs="Arial" w:eastAsia="Arial" w:hAnsi="Arial"/>
          <w:sz w:val="18"/>
          <w:szCs w:val="18"/>
          <w:color w:val="53C072"/>
        </w:rPr>
      </w:pPr>
    </w:p>
    <w:p>
      <w:pPr>
        <w:ind w:left="1720" w:right="719" w:hanging="370"/>
        <w:spacing w:after="0" w:line="287" w:lineRule="auto"/>
        <w:tabs>
          <w:tab w:leader="none" w:pos="1720" w:val="left"/>
        </w:tabs>
        <w:numPr>
          <w:ilvl w:val="0"/>
          <w:numId w:val="70"/>
        </w:numPr>
        <w:rPr>
          <w:rFonts w:ascii="Arial" w:cs="Arial" w:eastAsia="Arial" w:hAnsi="Arial"/>
          <w:sz w:val="18"/>
          <w:szCs w:val="18"/>
          <w:color w:val="53C072"/>
        </w:rPr>
      </w:pPr>
      <w:r>
        <w:rPr>
          <w:rFonts w:ascii="Arial" w:cs="Arial" w:eastAsia="Arial" w:hAnsi="Arial"/>
          <w:sz w:val="18"/>
          <w:szCs w:val="18"/>
          <w:color w:val="auto"/>
        </w:rPr>
        <w:t>Restricted stock units will be subject to the same minimum vesting period as applies for options (described above).</w:t>
      </w:r>
    </w:p>
    <w:p>
      <w:pPr>
        <w:spacing w:after="0" w:line="85" w:lineRule="exact"/>
        <w:rPr>
          <w:rFonts w:ascii="Arial" w:cs="Arial" w:eastAsia="Arial" w:hAnsi="Arial"/>
          <w:sz w:val="18"/>
          <w:szCs w:val="18"/>
          <w:color w:val="53C072"/>
        </w:rPr>
      </w:pPr>
    </w:p>
    <w:p>
      <w:pPr>
        <w:ind w:left="1720" w:right="239" w:hanging="370"/>
        <w:spacing w:after="0" w:line="287" w:lineRule="auto"/>
        <w:tabs>
          <w:tab w:leader="none" w:pos="1720" w:val="left"/>
        </w:tabs>
        <w:numPr>
          <w:ilvl w:val="0"/>
          <w:numId w:val="70"/>
        </w:numPr>
        <w:rPr>
          <w:rFonts w:ascii="Arial" w:cs="Arial" w:eastAsia="Arial" w:hAnsi="Arial"/>
          <w:sz w:val="18"/>
          <w:szCs w:val="18"/>
          <w:color w:val="53C072"/>
        </w:rPr>
      </w:pPr>
      <w:r>
        <w:rPr>
          <w:rFonts w:ascii="Arial" w:cs="Arial" w:eastAsia="Arial" w:hAnsi="Arial"/>
          <w:sz w:val="18"/>
          <w:szCs w:val="18"/>
          <w:color w:val="auto"/>
        </w:rPr>
        <w:t>Restricted stock units will be settled upon vesting in shares of the Company’s Common Stock or cash (or a combination). No fractional shares will be issued.</w:t>
      </w:r>
    </w:p>
    <w:p>
      <w:pPr>
        <w:spacing w:after="0" w:line="85" w:lineRule="exact"/>
        <w:rPr>
          <w:rFonts w:ascii="Arial" w:cs="Arial" w:eastAsia="Arial" w:hAnsi="Arial"/>
          <w:sz w:val="18"/>
          <w:szCs w:val="18"/>
          <w:color w:val="53C072"/>
        </w:rPr>
      </w:pPr>
    </w:p>
    <w:p>
      <w:pPr>
        <w:ind w:left="1720" w:right="419" w:hanging="370"/>
        <w:spacing w:after="0" w:line="318" w:lineRule="auto"/>
        <w:tabs>
          <w:tab w:leader="none" w:pos="1720" w:val="left"/>
        </w:tabs>
        <w:numPr>
          <w:ilvl w:val="0"/>
          <w:numId w:val="70"/>
        </w:numPr>
        <w:rPr>
          <w:rFonts w:ascii="Arial" w:cs="Arial" w:eastAsia="Arial" w:hAnsi="Arial"/>
          <w:sz w:val="17"/>
          <w:szCs w:val="17"/>
          <w:color w:val="53C072"/>
        </w:rPr>
      </w:pPr>
      <w:r>
        <w:rPr>
          <w:rFonts w:ascii="Arial" w:cs="Arial" w:eastAsia="Arial" w:hAnsi="Arial"/>
          <w:sz w:val="17"/>
          <w:szCs w:val="17"/>
          <w:color w:val="auto"/>
        </w:rPr>
        <w:t>Holders of restricted stock units have no voting or other shareholder rights with respect to the underlying shares, but the Administrator (and the CEO to the extent described above) is authorized</w:t>
      </w:r>
    </w:p>
    <w:p>
      <w:pPr>
        <w:sectPr>
          <w:pgSz w:w="11900" w:h="16838" w:orient="portrait"/>
          <w:cols w:equalWidth="0" w:num="1">
            <w:col w:w="9879"/>
          </w:cols>
          <w:pgMar w:left="580" w:top="97" w:right="1440" w:bottom="1440" w:gutter="0" w:footer="0" w:header="0"/>
        </w:sectPr>
      </w:pPr>
    </w:p>
    <w:p>
      <w:pPr>
        <w:spacing w:after="0" w:line="83"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310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6640" w:type="dxa"/>
            <w:vAlign w:val="bottom"/>
            <w:vMerge w:val="restart"/>
          </w:tcPr>
          <w:p>
            <w:pPr>
              <w:ind w:left="740"/>
              <w:spacing w:after="0"/>
              <w:rPr>
                <w:sz w:val="20"/>
                <w:szCs w:val="20"/>
                <w:color w:val="auto"/>
              </w:rPr>
            </w:pPr>
            <w:r>
              <w:rPr>
                <w:rFonts w:ascii="Arial" w:cs="Arial" w:eastAsia="Arial" w:hAnsi="Arial"/>
                <w:sz w:val="14"/>
                <w:szCs w:val="14"/>
                <w:color w:val="auto"/>
              </w:rPr>
              <w:t>PROPOSAL 3: APPROVAL OF THE 2025 STOCK COMPENSATION AND INCENTIVE PLAN</w:t>
            </w:r>
          </w:p>
        </w:tc>
        <w:tc>
          <w:tcPr>
            <w:tcW w:w="0" w:type="dxa"/>
            <w:vAlign w:val="bottom"/>
          </w:tcPr>
          <w:p>
            <w:pPr>
              <w:spacing w:after="0"/>
              <w:rPr>
                <w:sz w:val="1"/>
                <w:szCs w:val="1"/>
                <w:color w:val="auto"/>
              </w:rPr>
            </w:pPr>
          </w:p>
        </w:tc>
      </w:tr>
      <w:tr>
        <w:trPr>
          <w:trHeight w:val="88"/>
        </w:trPr>
        <w:tc>
          <w:tcPr>
            <w:tcW w:w="31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6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100" w:type="dxa"/>
            <w:vAlign w:val="bottom"/>
            <w:vMerge w:val="continue"/>
          </w:tcPr>
          <w:p>
            <w:pPr>
              <w:spacing w:after="0"/>
              <w:rPr>
                <w:sz w:val="11"/>
                <w:szCs w:val="11"/>
                <w:color w:val="auto"/>
              </w:rPr>
            </w:pPr>
          </w:p>
        </w:tc>
        <w:tc>
          <w:tcPr>
            <w:tcW w:w="6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720" w:right="279"/>
        <w:spacing w:after="0" w:line="287" w:lineRule="auto"/>
        <w:rPr>
          <w:sz w:val="20"/>
          <w:szCs w:val="20"/>
          <w:color w:val="auto"/>
        </w:rPr>
      </w:pPr>
      <w:r>
        <w:rPr>
          <w:rFonts w:ascii="Arial" w:cs="Arial" w:eastAsia="Arial" w:hAnsi="Arial"/>
          <w:sz w:val="18"/>
          <w:szCs w:val="18"/>
          <w:color w:val="auto"/>
        </w:rPr>
        <w:t>to grant dividend equivalents with respect to restricted stock unit awards (subject to the same vesting conditions and risk of forfeiture as such restricted stock unit awards).</w:t>
      </w:r>
    </w:p>
    <w:p>
      <w:pPr>
        <w:spacing w:after="0" w:line="81"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Performance Share Units</w:t>
      </w:r>
    </w:p>
    <w:p>
      <w:pPr>
        <w:spacing w:after="0" w:line="15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general, performance share units are subject to the following rules:</w:t>
      </w:r>
    </w:p>
    <w:p>
      <w:pPr>
        <w:spacing w:after="0" w:line="158" w:lineRule="exact"/>
        <w:rPr>
          <w:sz w:val="20"/>
          <w:szCs w:val="20"/>
          <w:color w:val="auto"/>
        </w:rPr>
      </w:pPr>
    </w:p>
    <w:p>
      <w:pPr>
        <w:ind w:left="1720" w:right="599" w:hanging="370"/>
        <w:spacing w:after="0" w:line="287" w:lineRule="auto"/>
        <w:tabs>
          <w:tab w:leader="none" w:pos="1720" w:val="left"/>
        </w:tabs>
        <w:numPr>
          <w:ilvl w:val="0"/>
          <w:numId w:val="71"/>
        </w:numPr>
        <w:rPr>
          <w:rFonts w:ascii="Arial" w:cs="Arial" w:eastAsia="Arial" w:hAnsi="Arial"/>
          <w:sz w:val="18"/>
          <w:szCs w:val="18"/>
          <w:color w:val="53C072"/>
        </w:rPr>
      </w:pPr>
      <w:r>
        <w:rPr>
          <w:rFonts w:ascii="Arial" w:cs="Arial" w:eastAsia="Arial" w:hAnsi="Arial"/>
          <w:sz w:val="18"/>
          <w:szCs w:val="18"/>
          <w:color w:val="auto"/>
        </w:rPr>
        <w:t>The Administrator (or the CEO to the extent described above) will establish the vesting and other terms and conditions for each performance share unit award.</w:t>
      </w:r>
    </w:p>
    <w:p>
      <w:pPr>
        <w:spacing w:after="0" w:line="71" w:lineRule="exact"/>
        <w:rPr>
          <w:rFonts w:ascii="Arial" w:cs="Arial" w:eastAsia="Arial" w:hAnsi="Arial"/>
          <w:sz w:val="18"/>
          <w:szCs w:val="18"/>
          <w:color w:val="53C072"/>
        </w:rPr>
      </w:pPr>
    </w:p>
    <w:p>
      <w:pPr>
        <w:ind w:left="1720" w:right="399" w:hanging="370"/>
        <w:spacing w:after="0" w:line="287" w:lineRule="auto"/>
        <w:tabs>
          <w:tab w:leader="none" w:pos="1720" w:val="left"/>
        </w:tabs>
        <w:numPr>
          <w:ilvl w:val="0"/>
          <w:numId w:val="71"/>
        </w:numPr>
        <w:rPr>
          <w:rFonts w:ascii="Arial" w:cs="Arial" w:eastAsia="Arial" w:hAnsi="Arial"/>
          <w:sz w:val="18"/>
          <w:szCs w:val="18"/>
          <w:color w:val="53C072"/>
        </w:rPr>
      </w:pPr>
      <w:r>
        <w:rPr>
          <w:rFonts w:ascii="Arial" w:cs="Arial" w:eastAsia="Arial" w:hAnsi="Arial"/>
          <w:sz w:val="18"/>
          <w:szCs w:val="18"/>
          <w:color w:val="auto"/>
        </w:rPr>
        <w:t>Performance share units will be subject to the same minimum vesting period provisions as apply for options (described above).</w:t>
      </w:r>
    </w:p>
    <w:p>
      <w:pPr>
        <w:spacing w:after="0" w:line="85" w:lineRule="exact"/>
        <w:rPr>
          <w:rFonts w:ascii="Arial" w:cs="Arial" w:eastAsia="Arial" w:hAnsi="Arial"/>
          <w:sz w:val="18"/>
          <w:szCs w:val="18"/>
          <w:color w:val="53C072"/>
        </w:rPr>
      </w:pPr>
    </w:p>
    <w:p>
      <w:pPr>
        <w:ind w:left="1720" w:right="159" w:hanging="370"/>
        <w:spacing w:after="0" w:line="262" w:lineRule="auto"/>
        <w:tabs>
          <w:tab w:leader="none" w:pos="1720" w:val="left"/>
        </w:tabs>
        <w:numPr>
          <w:ilvl w:val="0"/>
          <w:numId w:val="71"/>
        </w:numPr>
        <w:rPr>
          <w:rFonts w:ascii="Arial" w:cs="Arial" w:eastAsia="Arial" w:hAnsi="Arial"/>
          <w:sz w:val="18"/>
          <w:szCs w:val="18"/>
          <w:color w:val="53C072"/>
        </w:rPr>
      </w:pPr>
      <w:r>
        <w:rPr>
          <w:rFonts w:ascii="Arial" w:cs="Arial" w:eastAsia="Arial" w:hAnsi="Arial"/>
          <w:sz w:val="18"/>
          <w:szCs w:val="18"/>
          <w:color w:val="auto"/>
        </w:rPr>
        <w:t>Performance share units will provide for settlement of a specified number of shares of the Company’s Common Stock or cash (or a combination), if specified vesting conditions are achieved. The number of shares of Common Stock or amount of cash, if any, will be determined based on the extent to which Performance Objectives are achieved.</w:t>
      </w:r>
    </w:p>
    <w:p>
      <w:pPr>
        <w:spacing w:after="0" w:line="108" w:lineRule="exact"/>
        <w:rPr>
          <w:rFonts w:ascii="Arial" w:cs="Arial" w:eastAsia="Arial" w:hAnsi="Arial"/>
          <w:sz w:val="18"/>
          <w:szCs w:val="18"/>
          <w:color w:val="53C072"/>
        </w:rPr>
      </w:pPr>
    </w:p>
    <w:p>
      <w:pPr>
        <w:ind w:left="1720" w:right="179" w:hanging="370"/>
        <w:spacing w:after="0" w:line="262" w:lineRule="auto"/>
        <w:tabs>
          <w:tab w:leader="none" w:pos="1720" w:val="left"/>
        </w:tabs>
        <w:numPr>
          <w:ilvl w:val="0"/>
          <w:numId w:val="71"/>
        </w:numPr>
        <w:rPr>
          <w:rFonts w:ascii="Arial" w:cs="Arial" w:eastAsia="Arial" w:hAnsi="Arial"/>
          <w:sz w:val="18"/>
          <w:szCs w:val="18"/>
          <w:color w:val="53C072"/>
        </w:rPr>
      </w:pPr>
      <w:r>
        <w:rPr>
          <w:rFonts w:ascii="Arial" w:cs="Arial" w:eastAsia="Arial" w:hAnsi="Arial"/>
          <w:sz w:val="18"/>
          <w:szCs w:val="18"/>
          <w:color w:val="auto"/>
        </w:rPr>
        <w:t>Holders of performance share units have no voting or other shareholder rights with respect to any underlying shares, but the Administrator (and the CEO to the extent described above) is authorized to grant dividend equivalents with respect to performance share unit awards (subject to the same vesting conditions and risk of forfeiture as such performance share unit awards).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Other Stock Unit Awards</w:t>
      </w:r>
    </w:p>
    <w:p>
      <w:pPr>
        <w:spacing w:after="0" w:line="153" w:lineRule="exact"/>
        <w:rPr>
          <w:sz w:val="20"/>
          <w:szCs w:val="20"/>
          <w:color w:val="auto"/>
        </w:rPr>
      </w:pPr>
    </w:p>
    <w:p>
      <w:pPr>
        <w:ind w:left="1000" w:right="219"/>
        <w:spacing w:after="0" w:line="268" w:lineRule="auto"/>
        <w:rPr>
          <w:sz w:val="20"/>
          <w:szCs w:val="20"/>
          <w:color w:val="auto"/>
        </w:rPr>
      </w:pPr>
      <w:r>
        <w:rPr>
          <w:rFonts w:ascii="Arial" w:cs="Arial" w:eastAsia="Arial" w:hAnsi="Arial"/>
          <w:sz w:val="18"/>
          <w:szCs w:val="18"/>
          <w:color w:val="auto"/>
        </w:rPr>
        <w:t>In addition to the other types of awards described above, the Administrator (or the CEO to the extent described above) may grant other stock unit awards under the 2025 Plan. In general, other stock unit awards are “full value” awards and are subject to the following rules:</w:t>
      </w:r>
    </w:p>
    <w:p>
      <w:pPr>
        <w:spacing w:after="0" w:line="103" w:lineRule="exact"/>
        <w:rPr>
          <w:sz w:val="20"/>
          <w:szCs w:val="20"/>
          <w:color w:val="auto"/>
        </w:rPr>
      </w:pPr>
    </w:p>
    <w:p>
      <w:pPr>
        <w:ind w:left="1720" w:right="299" w:hanging="370"/>
        <w:spacing w:after="0" w:line="268" w:lineRule="auto"/>
        <w:tabs>
          <w:tab w:leader="none" w:pos="1720" w:val="left"/>
        </w:tabs>
        <w:numPr>
          <w:ilvl w:val="0"/>
          <w:numId w:val="72"/>
        </w:numPr>
        <w:rPr>
          <w:rFonts w:ascii="Arial" w:cs="Arial" w:eastAsia="Arial" w:hAnsi="Arial"/>
          <w:sz w:val="18"/>
          <w:szCs w:val="18"/>
          <w:color w:val="53C072"/>
        </w:rPr>
      </w:pPr>
      <w:r>
        <w:rPr>
          <w:rFonts w:ascii="Arial" w:cs="Arial" w:eastAsia="Arial" w:hAnsi="Arial"/>
          <w:sz w:val="18"/>
          <w:szCs w:val="18"/>
          <w:color w:val="auto"/>
        </w:rPr>
        <w:t>The Administrator (or the CEO to the extent described above) will establish the vesting schedule and the terms and conditions for each other stock unit award, including whether the award is payable in shares of Common Stock, other securities, cash or a combination.</w:t>
      </w:r>
    </w:p>
    <w:p>
      <w:pPr>
        <w:spacing w:after="0" w:line="103" w:lineRule="exact"/>
        <w:rPr>
          <w:rFonts w:ascii="Arial" w:cs="Arial" w:eastAsia="Arial" w:hAnsi="Arial"/>
          <w:sz w:val="18"/>
          <w:szCs w:val="18"/>
          <w:color w:val="53C072"/>
        </w:rPr>
      </w:pPr>
    </w:p>
    <w:p>
      <w:pPr>
        <w:ind w:left="1720" w:right="519" w:hanging="370"/>
        <w:spacing w:after="0" w:line="287" w:lineRule="auto"/>
        <w:tabs>
          <w:tab w:leader="none" w:pos="1720" w:val="left"/>
        </w:tabs>
        <w:numPr>
          <w:ilvl w:val="0"/>
          <w:numId w:val="72"/>
        </w:numPr>
        <w:rPr>
          <w:rFonts w:ascii="Arial" w:cs="Arial" w:eastAsia="Arial" w:hAnsi="Arial"/>
          <w:sz w:val="18"/>
          <w:szCs w:val="18"/>
          <w:color w:val="53C072"/>
        </w:rPr>
      </w:pPr>
      <w:r>
        <w:rPr>
          <w:rFonts w:ascii="Arial" w:cs="Arial" w:eastAsia="Arial" w:hAnsi="Arial"/>
          <w:sz w:val="18"/>
          <w:szCs w:val="18"/>
          <w:color w:val="auto"/>
        </w:rPr>
        <w:t>Except for awards made to Non-Employee Directors, other stock unit awards will be subject to the same minimum vesting period provisions as apply for options (described above).</w:t>
      </w:r>
    </w:p>
    <w:p>
      <w:pPr>
        <w:spacing w:after="0" w:line="71" w:lineRule="exact"/>
        <w:rPr>
          <w:rFonts w:ascii="Arial" w:cs="Arial" w:eastAsia="Arial" w:hAnsi="Arial"/>
          <w:sz w:val="18"/>
          <w:szCs w:val="18"/>
          <w:color w:val="53C072"/>
        </w:rPr>
      </w:pPr>
    </w:p>
    <w:p>
      <w:pPr>
        <w:ind w:left="1720" w:right="239" w:hanging="370"/>
        <w:spacing w:after="0" w:line="268" w:lineRule="auto"/>
        <w:tabs>
          <w:tab w:leader="none" w:pos="1720" w:val="left"/>
        </w:tabs>
        <w:numPr>
          <w:ilvl w:val="0"/>
          <w:numId w:val="72"/>
        </w:numPr>
        <w:rPr>
          <w:rFonts w:ascii="Arial" w:cs="Arial" w:eastAsia="Arial" w:hAnsi="Arial"/>
          <w:sz w:val="18"/>
          <w:szCs w:val="18"/>
          <w:color w:val="53C072"/>
        </w:rPr>
      </w:pPr>
      <w:r>
        <w:rPr>
          <w:rFonts w:ascii="Arial" w:cs="Arial" w:eastAsia="Arial" w:hAnsi="Arial"/>
          <w:sz w:val="18"/>
          <w:szCs w:val="18"/>
          <w:color w:val="auto"/>
        </w:rPr>
        <w:t>Holders of other stock unit awards have no voting or other shareholder rights with respect to the underlying shares, but the Administrator (and the CEO to the extent described above) is authorized to grant dividend equivalents with respect to other stock unit awards.</w:t>
      </w:r>
    </w:p>
    <w:p>
      <w:pPr>
        <w:spacing w:after="0" w:line="98"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EIP Awards</w:t>
      </w:r>
    </w:p>
    <w:p>
      <w:pPr>
        <w:spacing w:after="0" w:line="153" w:lineRule="exact"/>
        <w:rPr>
          <w:sz w:val="20"/>
          <w:szCs w:val="20"/>
          <w:color w:val="auto"/>
        </w:rPr>
      </w:pPr>
    </w:p>
    <w:p>
      <w:pPr>
        <w:jc w:val="both"/>
        <w:ind w:left="1000" w:right="419"/>
        <w:spacing w:after="0" w:line="268" w:lineRule="auto"/>
        <w:rPr>
          <w:sz w:val="20"/>
          <w:szCs w:val="20"/>
          <w:color w:val="auto"/>
        </w:rPr>
      </w:pPr>
      <w:r>
        <w:rPr>
          <w:rFonts w:ascii="Arial" w:cs="Arial" w:eastAsia="Arial" w:hAnsi="Arial"/>
          <w:sz w:val="18"/>
          <w:szCs w:val="18"/>
          <w:color w:val="auto"/>
        </w:rPr>
        <w:t>The Administrator (or the CEO to the extent described above) may grant EIP Awards to employees who are Executive Officers or members of senior management. The EIP Awards are cash payments contingent upon the achievement of Performance Objectives.</w:t>
      </w:r>
    </w:p>
    <w:p>
      <w:pPr>
        <w:spacing w:after="0" w:line="98"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No Repricing Allowed</w:t>
      </w:r>
    </w:p>
    <w:p>
      <w:pPr>
        <w:spacing w:after="0" w:line="153" w:lineRule="exact"/>
        <w:rPr>
          <w:sz w:val="20"/>
          <w:szCs w:val="20"/>
          <w:color w:val="auto"/>
        </w:rPr>
      </w:pPr>
    </w:p>
    <w:p>
      <w:pPr>
        <w:ind w:left="1000" w:right="359"/>
        <w:spacing w:after="0" w:line="262" w:lineRule="auto"/>
        <w:rPr>
          <w:sz w:val="20"/>
          <w:szCs w:val="20"/>
          <w:color w:val="auto"/>
        </w:rPr>
      </w:pPr>
      <w:r>
        <w:rPr>
          <w:rFonts w:ascii="Arial" w:cs="Arial" w:eastAsia="Arial" w:hAnsi="Arial"/>
          <w:sz w:val="18"/>
          <w:szCs w:val="18"/>
          <w:color w:val="auto"/>
        </w:rPr>
        <w:t>Except in connection with certain corporate transactions, the Company may not reprice, replace or regrant an option or SAR through cancellation, or by lowering the exercise price of the option or SAR, and no option or SAR with an exercise price that exceeds the Fair Market Value of a share of Common Stock (</w:t>
      </w:r>
      <w:r>
        <w:rPr>
          <w:rFonts w:ascii="Arial" w:cs="Arial" w:eastAsia="Arial" w:hAnsi="Arial"/>
          <w:sz w:val="18"/>
          <w:szCs w:val="18"/>
          <w:i w:val="1"/>
          <w:iCs w:val="1"/>
          <w:color w:val="auto"/>
        </w:rPr>
        <w:t>i.e.,</w:t>
      </w:r>
      <w:r>
        <w:rPr>
          <w:rFonts w:ascii="Arial" w:cs="Arial" w:eastAsia="Arial" w:hAnsi="Arial"/>
          <w:sz w:val="18"/>
          <w:szCs w:val="18"/>
          <w:color w:val="auto"/>
        </w:rPr>
        <w:t xml:space="preserve"> an under-water option) can be cashed-out, without shareholder approval.</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Acceleration upon Certain Events; Limited Awards with Shorter Vesting Periods</w:t>
      </w:r>
    </w:p>
    <w:p>
      <w:pPr>
        <w:spacing w:after="0" w:line="153" w:lineRule="exact"/>
        <w:rPr>
          <w:sz w:val="20"/>
          <w:szCs w:val="20"/>
          <w:color w:val="auto"/>
        </w:rPr>
      </w:pPr>
    </w:p>
    <w:p>
      <w:pPr>
        <w:ind w:left="1000" w:right="259"/>
        <w:spacing w:after="0" w:line="282" w:lineRule="auto"/>
        <w:rPr>
          <w:sz w:val="20"/>
          <w:szCs w:val="20"/>
          <w:color w:val="auto"/>
        </w:rPr>
      </w:pPr>
      <w:r>
        <w:rPr>
          <w:rFonts w:ascii="Arial" w:cs="Arial" w:eastAsia="Arial" w:hAnsi="Arial"/>
          <w:sz w:val="17"/>
          <w:szCs w:val="17"/>
          <w:color w:val="auto"/>
        </w:rPr>
        <w:t>The Administrator, in its sole discretion, may accelerate the vesting of any award and/or release restrictions in the event of a Change in Control, the participant’s death, retirement, layoff, termination in connection with a Change in Control or other termination if the Administrator determines it is appropriate and in the best interests of Avnet. In addition, the Administrator is authorized to grant awards of options, SARs, restricted stock,</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76     </w:t>
      </w:r>
      <w:r>
        <w:rPr>
          <w:sz w:val="1"/>
          <w:szCs w:val="1"/>
          <w:color w:val="auto"/>
        </w:rPr>
        <w:drawing>
          <wp:inline distT="0" distB="0" distL="0" distR="0">
            <wp:extent cx="1242695" cy="24003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310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6640" w:type="dxa"/>
            <w:vAlign w:val="bottom"/>
            <w:vMerge w:val="restart"/>
          </w:tcPr>
          <w:p>
            <w:pPr>
              <w:ind w:left="740"/>
              <w:spacing w:after="0"/>
              <w:rPr>
                <w:sz w:val="20"/>
                <w:szCs w:val="20"/>
                <w:color w:val="auto"/>
              </w:rPr>
            </w:pPr>
            <w:r>
              <w:rPr>
                <w:rFonts w:ascii="Arial" w:cs="Arial" w:eastAsia="Arial" w:hAnsi="Arial"/>
                <w:sz w:val="14"/>
                <w:szCs w:val="14"/>
                <w:color w:val="auto"/>
              </w:rPr>
              <w:t>PROPOSAL 3: APPROVAL OF THE 2025 STOCK COMPENSATION AND INCENTIVE PLAN</w:t>
            </w:r>
          </w:p>
        </w:tc>
        <w:tc>
          <w:tcPr>
            <w:tcW w:w="0" w:type="dxa"/>
            <w:vAlign w:val="bottom"/>
          </w:tcPr>
          <w:p>
            <w:pPr>
              <w:spacing w:after="0"/>
              <w:rPr>
                <w:sz w:val="1"/>
                <w:szCs w:val="1"/>
                <w:color w:val="auto"/>
              </w:rPr>
            </w:pPr>
          </w:p>
        </w:tc>
      </w:tr>
      <w:tr>
        <w:trPr>
          <w:trHeight w:val="88"/>
        </w:trPr>
        <w:tc>
          <w:tcPr>
            <w:tcW w:w="31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6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100" w:type="dxa"/>
            <w:vAlign w:val="bottom"/>
            <w:vMerge w:val="continue"/>
          </w:tcPr>
          <w:p>
            <w:pPr>
              <w:spacing w:after="0"/>
              <w:rPr>
                <w:sz w:val="11"/>
                <w:szCs w:val="11"/>
                <w:color w:val="auto"/>
              </w:rPr>
            </w:pPr>
          </w:p>
        </w:tc>
        <w:tc>
          <w:tcPr>
            <w:tcW w:w="6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199"/>
        <w:spacing w:after="0" w:line="283" w:lineRule="auto"/>
        <w:rPr>
          <w:sz w:val="20"/>
          <w:szCs w:val="20"/>
          <w:color w:val="auto"/>
        </w:rPr>
      </w:pPr>
      <w:r>
        <w:rPr>
          <w:rFonts w:ascii="Arial" w:cs="Arial" w:eastAsia="Arial" w:hAnsi="Arial"/>
          <w:sz w:val="17"/>
          <w:szCs w:val="17"/>
          <w:color w:val="auto"/>
        </w:rPr>
        <w:t>restricted stock units, performance share units and other stock unit awards that do not satisfy the minimum vesting periods and Periods of Restriction as required by the 2025 Plan if the total number of shares underlying such awards does not exceed 5% of the total number of shares available for grant under the 2025 Plan.</w:t>
      </w:r>
    </w:p>
    <w:p>
      <w:pPr>
        <w:spacing w:after="0" w:line="73"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No Transfer of Awards</w:t>
      </w:r>
    </w:p>
    <w:p>
      <w:pPr>
        <w:spacing w:after="0" w:line="153" w:lineRule="exact"/>
        <w:rPr>
          <w:sz w:val="20"/>
          <w:szCs w:val="20"/>
          <w:color w:val="auto"/>
        </w:rPr>
      </w:pPr>
    </w:p>
    <w:p>
      <w:pPr>
        <w:ind w:left="1000" w:right="159"/>
        <w:spacing w:after="0" w:line="252" w:lineRule="auto"/>
        <w:rPr>
          <w:sz w:val="20"/>
          <w:szCs w:val="20"/>
          <w:color w:val="auto"/>
        </w:rPr>
      </w:pPr>
      <w:r>
        <w:rPr>
          <w:rFonts w:ascii="Arial" w:cs="Arial" w:eastAsia="Arial" w:hAnsi="Arial"/>
          <w:sz w:val="18"/>
          <w:szCs w:val="18"/>
          <w:color w:val="auto"/>
        </w:rPr>
        <w:t>In general, no right or interest of a participant in any award made under the 2025 Plan may be sold, assigned or otherwise transferred other than by will, beneficiary designation or the laws of descent and distribution. However, the Committee may allow the transfer of an option to specified family members of the participant, as well as to certain trusts and other entities controlled by the participant or the participant’s family.</w:t>
      </w:r>
    </w:p>
    <w:p>
      <w:pPr>
        <w:spacing w:after="0" w:line="98"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Deferral of Awards</w:t>
      </w:r>
    </w:p>
    <w:p>
      <w:pPr>
        <w:spacing w:after="0" w:line="153" w:lineRule="exact"/>
        <w:rPr>
          <w:sz w:val="20"/>
          <w:szCs w:val="20"/>
          <w:color w:val="auto"/>
        </w:rPr>
      </w:pPr>
    </w:p>
    <w:p>
      <w:pPr>
        <w:ind w:left="1000" w:right="299"/>
        <w:spacing w:after="0" w:line="247" w:lineRule="auto"/>
        <w:rPr>
          <w:sz w:val="20"/>
          <w:szCs w:val="20"/>
          <w:color w:val="auto"/>
        </w:rPr>
      </w:pPr>
      <w:r>
        <w:rPr>
          <w:rFonts w:ascii="Arial" w:cs="Arial" w:eastAsia="Arial" w:hAnsi="Arial"/>
          <w:sz w:val="18"/>
          <w:szCs w:val="18"/>
          <w:color w:val="auto"/>
        </w:rPr>
        <w:t>The Administrator is authorized to allow participants to defer receipt of any payment of cash or delivery of shares of Common Stock that would otherwise be due upon the exercise, earn-out or settlement of any award made under the 2025 Plan, other than stock options or SARs. Before allowing any deferral, the Administrator will establish rules and procedures for deferrals of payments under awards. The terms and conditions of any deferral will be set forth in any award agreement that is intended to provide for a deferral.</w:t>
      </w:r>
    </w:p>
    <w:p>
      <w:pPr>
        <w:spacing w:after="0" w:line="105"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Termination of 2025 Plan</w:t>
      </w:r>
    </w:p>
    <w:p>
      <w:pPr>
        <w:spacing w:after="0" w:line="153" w:lineRule="exact"/>
        <w:rPr>
          <w:sz w:val="20"/>
          <w:szCs w:val="20"/>
          <w:color w:val="auto"/>
        </w:rPr>
      </w:pPr>
    </w:p>
    <w:p>
      <w:pPr>
        <w:ind w:left="1000" w:right="219"/>
        <w:spacing w:after="0" w:line="251" w:lineRule="auto"/>
        <w:rPr>
          <w:sz w:val="20"/>
          <w:szCs w:val="20"/>
          <w:color w:val="auto"/>
        </w:rPr>
      </w:pPr>
      <w:r>
        <w:rPr>
          <w:rFonts w:ascii="Arial" w:cs="Arial" w:eastAsia="Arial" w:hAnsi="Arial"/>
          <w:sz w:val="18"/>
          <w:szCs w:val="18"/>
          <w:color w:val="auto"/>
        </w:rPr>
        <w:t>The 2025 Plan was adopted by the Board of Directors on August 21, 2025, and will become effective only if approved by shareholders at the Annual Meeting. If approved at the Annual Meeting, the 2025 Plan will automatically terminate on November 20, 2035, unless terminated earlier by the Board of Directors. All awards granted before the 2025 Plan is terminated will continue in effect in accordance with the terms of the applicable award agreements and the 2025 Plan.</w:t>
      </w:r>
    </w:p>
    <w:p>
      <w:pPr>
        <w:spacing w:after="0" w:line="101"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Amendment of Plan</w:t>
      </w:r>
    </w:p>
    <w:p>
      <w:pPr>
        <w:spacing w:after="0" w:line="153" w:lineRule="exact"/>
        <w:rPr>
          <w:sz w:val="20"/>
          <w:szCs w:val="20"/>
          <w:color w:val="auto"/>
        </w:rPr>
      </w:pPr>
    </w:p>
    <w:p>
      <w:pPr>
        <w:ind w:left="1000" w:right="599"/>
        <w:spacing w:after="0" w:line="259" w:lineRule="auto"/>
        <w:rPr>
          <w:sz w:val="20"/>
          <w:szCs w:val="20"/>
          <w:color w:val="auto"/>
        </w:rPr>
      </w:pPr>
      <w:r>
        <w:rPr>
          <w:rFonts w:ascii="Arial" w:cs="Arial" w:eastAsia="Arial" w:hAnsi="Arial"/>
          <w:sz w:val="17"/>
          <w:szCs w:val="17"/>
          <w:color w:val="auto"/>
        </w:rPr>
        <w:t>The Board of Directors may amend the 2025 Plan and/or any Award at any time, except that shareholder approval is required for any amendment that (a) affects the composition and functioning of the Committee;</w:t>
      </w:r>
    </w:p>
    <w:p>
      <w:pPr>
        <w:spacing w:after="0" w:line="1" w:lineRule="exact"/>
        <w:rPr>
          <w:sz w:val="20"/>
          <w:szCs w:val="20"/>
          <w:color w:val="auto"/>
        </w:rPr>
      </w:pPr>
    </w:p>
    <w:p>
      <w:pPr>
        <w:ind w:left="1000" w:right="179" w:hanging="10"/>
        <w:spacing w:after="0" w:line="243" w:lineRule="auto"/>
        <w:tabs>
          <w:tab w:leader="none" w:pos="12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materially increases the aggregate number of shares of Common Stock available for awards under the 2025 Plan; (c) materially increases the aggregate number of shares of Common Stock with respect to which options or other awards may be granted to any participant during any calendar year; (d) materially decreases the minimum exercise price per share for options; (e) extends the ten-year maximum period during which an award is exercisable or the termination date of the 2025 Plan; or (f) otherwise triggers a shareholder approval requirement under an applicable law or listing standard. In addition, a participant’s written consent will be required for any amendment to an outstanding award that has a material adverse effect on the participant’s rights under such award.</w:t>
      </w:r>
    </w:p>
    <w:p>
      <w:pPr>
        <w:spacing w:after="0" w:line="110"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New Plan Benefits</w:t>
      </w:r>
    </w:p>
    <w:p>
      <w:pPr>
        <w:spacing w:after="0" w:line="153" w:lineRule="exact"/>
        <w:rPr>
          <w:sz w:val="20"/>
          <w:szCs w:val="20"/>
          <w:color w:val="auto"/>
        </w:rPr>
      </w:pPr>
    </w:p>
    <w:p>
      <w:pPr>
        <w:ind w:left="1000" w:right="439"/>
        <w:spacing w:after="0" w:line="252" w:lineRule="auto"/>
        <w:rPr>
          <w:sz w:val="20"/>
          <w:szCs w:val="20"/>
          <w:color w:val="auto"/>
        </w:rPr>
      </w:pPr>
      <w:r>
        <w:rPr>
          <w:rFonts w:ascii="Arial" w:cs="Arial" w:eastAsia="Arial" w:hAnsi="Arial"/>
          <w:sz w:val="18"/>
          <w:szCs w:val="18"/>
          <w:color w:val="auto"/>
        </w:rPr>
        <w:t>Because benefits under the 2025 Plan will depend on the Committee’s and/or independent directors’ actions and the Fair Market Value of the Company’s Common Stock at various future dates, it is not possible to determine the benefits that will be received by Directors, executive officers and other employees if the 2025 Plan is approved by shareholders.</w:t>
      </w:r>
    </w:p>
    <w:p>
      <w:pPr>
        <w:spacing w:after="0" w:line="84"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Recoupment/Clawback</w:t>
      </w:r>
    </w:p>
    <w:p>
      <w:pPr>
        <w:spacing w:after="0" w:line="153" w:lineRule="exact"/>
        <w:rPr>
          <w:sz w:val="20"/>
          <w:szCs w:val="20"/>
          <w:color w:val="auto"/>
        </w:rPr>
      </w:pPr>
    </w:p>
    <w:p>
      <w:pPr>
        <w:ind w:left="1000" w:right="239"/>
        <w:spacing w:after="0" w:line="261" w:lineRule="auto"/>
        <w:rPr>
          <w:sz w:val="20"/>
          <w:szCs w:val="20"/>
          <w:color w:val="auto"/>
        </w:rPr>
      </w:pPr>
      <w:r>
        <w:rPr>
          <w:rFonts w:ascii="Arial" w:cs="Arial" w:eastAsia="Arial" w:hAnsi="Arial"/>
          <w:sz w:val="18"/>
          <w:szCs w:val="18"/>
          <w:color w:val="auto"/>
        </w:rPr>
        <w:t>The 2025 Plan incorporates the Company’s amended and restated incentive-based compensation recoupment policy, as it may be further amended from time to time, by reference. All awards under the 2025 Plan will be subject to that policy — including changes that are made to the policy in the future.</w:t>
      </w:r>
    </w:p>
    <w:p>
      <w:pPr>
        <w:spacing w:after="0" w:line="15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FEDERAL INCOME TAX CONSEQUENCES OF THE 2025 PLAN</w:t>
      </w:r>
    </w:p>
    <w:p>
      <w:pPr>
        <w:spacing w:after="0" w:line="162" w:lineRule="exact"/>
        <w:rPr>
          <w:sz w:val="20"/>
          <w:szCs w:val="20"/>
          <w:color w:val="auto"/>
        </w:rPr>
      </w:pPr>
    </w:p>
    <w:p>
      <w:pPr>
        <w:jc w:val="both"/>
        <w:ind w:left="1000" w:right="239"/>
        <w:spacing w:after="0" w:line="253" w:lineRule="auto"/>
        <w:rPr>
          <w:sz w:val="20"/>
          <w:szCs w:val="20"/>
          <w:color w:val="auto"/>
        </w:rPr>
      </w:pPr>
      <w:r>
        <w:rPr>
          <w:rFonts w:ascii="Arial" w:cs="Arial" w:eastAsia="Arial" w:hAnsi="Arial"/>
          <w:sz w:val="18"/>
          <w:szCs w:val="18"/>
          <w:color w:val="auto"/>
        </w:rPr>
        <w:t>The following general summary describes the typical U.S. federal income tax consequences of awards granted under the 2025 Plan based upon the federal tax laws currently in effect, which are subject to change (possibly with retroactive effect). This is not intended to be a complete analysis and discussion of the federal</w:t>
      </w:r>
    </w:p>
    <w:p>
      <w:pPr>
        <w:spacing w:after="0" w:line="123"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310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6640" w:type="dxa"/>
            <w:vAlign w:val="bottom"/>
            <w:vMerge w:val="restart"/>
          </w:tcPr>
          <w:p>
            <w:pPr>
              <w:ind w:left="740"/>
              <w:spacing w:after="0"/>
              <w:rPr>
                <w:sz w:val="20"/>
                <w:szCs w:val="20"/>
                <w:color w:val="auto"/>
              </w:rPr>
            </w:pPr>
            <w:r>
              <w:rPr>
                <w:rFonts w:ascii="Arial" w:cs="Arial" w:eastAsia="Arial" w:hAnsi="Arial"/>
                <w:sz w:val="14"/>
                <w:szCs w:val="14"/>
                <w:color w:val="auto"/>
              </w:rPr>
              <w:t>PROPOSAL 3: APPROVAL OF THE 2025 STOCK COMPENSATION AND INCENTIVE PLAN</w:t>
            </w:r>
          </w:p>
        </w:tc>
        <w:tc>
          <w:tcPr>
            <w:tcW w:w="0" w:type="dxa"/>
            <w:vAlign w:val="bottom"/>
          </w:tcPr>
          <w:p>
            <w:pPr>
              <w:spacing w:after="0"/>
              <w:rPr>
                <w:sz w:val="1"/>
                <w:szCs w:val="1"/>
                <w:color w:val="auto"/>
              </w:rPr>
            </w:pPr>
          </w:p>
        </w:tc>
      </w:tr>
      <w:tr>
        <w:trPr>
          <w:trHeight w:val="88"/>
        </w:trPr>
        <w:tc>
          <w:tcPr>
            <w:tcW w:w="31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6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100" w:type="dxa"/>
            <w:vAlign w:val="bottom"/>
            <w:vMerge w:val="continue"/>
          </w:tcPr>
          <w:p>
            <w:pPr>
              <w:spacing w:after="0"/>
              <w:rPr>
                <w:sz w:val="11"/>
                <w:szCs w:val="11"/>
                <w:color w:val="auto"/>
              </w:rPr>
            </w:pPr>
          </w:p>
        </w:tc>
        <w:tc>
          <w:tcPr>
            <w:tcW w:w="6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339"/>
        <w:spacing w:after="0" w:line="262" w:lineRule="auto"/>
        <w:rPr>
          <w:sz w:val="20"/>
          <w:szCs w:val="20"/>
          <w:color w:val="auto"/>
        </w:rPr>
      </w:pPr>
      <w:r>
        <w:rPr>
          <w:rFonts w:ascii="Arial" w:cs="Arial" w:eastAsia="Arial" w:hAnsi="Arial"/>
          <w:sz w:val="18"/>
          <w:szCs w:val="18"/>
          <w:color w:val="auto"/>
        </w:rPr>
        <w:t>income tax treatment of awards and does not discuss estate and gift taxes or the tax laws of any municipality, state or foreign country. The Company (or a designated payer) will generally withhold required taxes in connection with the exercise or payment of an award and may require the participant to pay such taxes as a condition to exercise of an award.</w:t>
      </w:r>
    </w:p>
    <w:p>
      <w:pPr>
        <w:spacing w:after="0" w:line="104"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Stock Options</w:t>
      </w:r>
    </w:p>
    <w:p>
      <w:pPr>
        <w:spacing w:after="0" w:line="153" w:lineRule="exact"/>
        <w:rPr>
          <w:sz w:val="20"/>
          <w:szCs w:val="20"/>
          <w:color w:val="auto"/>
        </w:rPr>
      </w:pPr>
    </w:p>
    <w:p>
      <w:pPr>
        <w:ind w:left="1000" w:right="159"/>
        <w:spacing w:after="0" w:line="259" w:lineRule="auto"/>
        <w:rPr>
          <w:sz w:val="20"/>
          <w:szCs w:val="20"/>
          <w:color w:val="auto"/>
        </w:rPr>
      </w:pPr>
      <w:r>
        <w:rPr>
          <w:rFonts w:ascii="Arial" w:cs="Arial" w:eastAsia="Arial" w:hAnsi="Arial"/>
          <w:sz w:val="18"/>
          <w:szCs w:val="18"/>
          <w:color w:val="auto"/>
        </w:rPr>
        <w:t>The recipient of a stock option will not realize any taxable income on the grant of the option. Upon exercise of the option, the participant will realize ordinary income in an amount equal to the excess, if any, of the fair market value of the shares subject to the exercised option on the date of exercise over the total option exercise price. The Company will generally be entitled to a deduction in the same amount as the ordinary income realized by the participant.</w:t>
      </w:r>
    </w:p>
    <w:p>
      <w:pPr>
        <w:spacing w:after="0" w:line="112" w:lineRule="exact"/>
        <w:rPr>
          <w:sz w:val="20"/>
          <w:szCs w:val="20"/>
          <w:color w:val="auto"/>
        </w:rPr>
      </w:pPr>
    </w:p>
    <w:p>
      <w:pPr>
        <w:ind w:left="1000" w:right="419"/>
        <w:spacing w:after="0" w:line="278" w:lineRule="auto"/>
        <w:rPr>
          <w:sz w:val="20"/>
          <w:szCs w:val="20"/>
          <w:color w:val="auto"/>
        </w:rPr>
      </w:pPr>
      <w:r>
        <w:rPr>
          <w:rFonts w:ascii="Arial" w:cs="Arial" w:eastAsia="Arial" w:hAnsi="Arial"/>
          <w:sz w:val="17"/>
          <w:szCs w:val="17"/>
          <w:color w:val="auto"/>
        </w:rPr>
        <w:t>Upon the sale of shares acquired from exercising an option, the participant will realize a capital gain (or loss) equal to the difference between the proceeds received and the fair market value of the shares on the date of exercise (</w:t>
      </w:r>
      <w:r>
        <w:rPr>
          <w:rFonts w:ascii="Arial" w:cs="Arial" w:eastAsia="Arial" w:hAnsi="Arial"/>
          <w:sz w:val="17"/>
          <w:szCs w:val="17"/>
          <w:i w:val="1"/>
          <w:iCs w:val="1"/>
          <w:color w:val="auto"/>
        </w:rPr>
        <w:t>i.e.</w:t>
      </w:r>
      <w:r>
        <w:rPr>
          <w:rFonts w:ascii="Arial" w:cs="Arial" w:eastAsia="Arial" w:hAnsi="Arial"/>
          <w:sz w:val="17"/>
          <w:szCs w:val="17"/>
          <w:color w:val="auto"/>
        </w:rPr>
        <w:t>, the excess, if any, of the total proceeds received over the participant’s tax basis in the shares sold). The capital gain (or loss) will be a long-term capital gain (or loss) if the participant held the shares for more than one year after the exercise of the option, or otherwise a short-term capital gain (or loss).</w:t>
      </w:r>
    </w:p>
    <w:p>
      <w:pPr>
        <w:spacing w:after="0" w:line="83" w:lineRule="exact"/>
        <w:rPr>
          <w:sz w:val="20"/>
          <w:szCs w:val="20"/>
          <w:color w:val="auto"/>
        </w:rPr>
      </w:pPr>
    </w:p>
    <w:p>
      <w:pPr>
        <w:ind w:left="1000" w:right="639"/>
        <w:spacing w:after="0" w:line="262" w:lineRule="auto"/>
        <w:rPr>
          <w:sz w:val="20"/>
          <w:szCs w:val="20"/>
          <w:color w:val="auto"/>
        </w:rPr>
      </w:pPr>
      <w:r>
        <w:rPr>
          <w:rFonts w:ascii="Arial" w:cs="Arial" w:eastAsia="Arial" w:hAnsi="Arial"/>
          <w:sz w:val="18"/>
          <w:szCs w:val="18"/>
          <w:color w:val="auto"/>
        </w:rPr>
        <w:t>Special rules will apply if the exercise price or applicable withholding tax obligations are paid by delivering shares or by reducing the number of shares otherwise issuable pursuant to the award. The surrender or withholding of such shares will in certain circumstances result in income with respect to such shares or a carryover basis in the shares acquired.</w:t>
      </w:r>
    </w:p>
    <w:p>
      <w:pPr>
        <w:spacing w:after="0" w:line="104"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Stock Appreciation Rights</w:t>
      </w:r>
    </w:p>
    <w:p>
      <w:pPr>
        <w:spacing w:after="0" w:line="153" w:lineRule="exact"/>
        <w:rPr>
          <w:sz w:val="20"/>
          <w:szCs w:val="20"/>
          <w:color w:val="auto"/>
        </w:rPr>
      </w:pPr>
    </w:p>
    <w:p>
      <w:pPr>
        <w:ind w:left="1000" w:right="459"/>
        <w:spacing w:after="0" w:line="262" w:lineRule="auto"/>
        <w:rPr>
          <w:sz w:val="20"/>
          <w:szCs w:val="20"/>
          <w:color w:val="auto"/>
        </w:rPr>
      </w:pPr>
      <w:r>
        <w:rPr>
          <w:rFonts w:ascii="Arial" w:cs="Arial" w:eastAsia="Arial" w:hAnsi="Arial"/>
          <w:sz w:val="18"/>
          <w:szCs w:val="18"/>
          <w:color w:val="auto"/>
        </w:rPr>
        <w:t>The recipient of a SAR will not realize any taxable income on the grant of the SAR. Upon the exercise of the SAR, the participant will realize ordinary income in an amount equal to the fair market value of the shares and/or cash received on the date of exercise. The Company will generally be entitled to a corresponding tax deduction.</w:t>
      </w:r>
    </w:p>
    <w:p>
      <w:pPr>
        <w:spacing w:after="0" w:line="109" w:lineRule="exact"/>
        <w:rPr>
          <w:sz w:val="20"/>
          <w:szCs w:val="20"/>
          <w:color w:val="auto"/>
        </w:rPr>
      </w:pPr>
    </w:p>
    <w:p>
      <w:pPr>
        <w:jc w:val="both"/>
        <w:ind w:left="1000" w:right="159"/>
        <w:spacing w:after="0" w:line="262" w:lineRule="auto"/>
        <w:rPr>
          <w:sz w:val="20"/>
          <w:szCs w:val="20"/>
          <w:color w:val="auto"/>
        </w:rPr>
      </w:pPr>
      <w:r>
        <w:rPr>
          <w:rFonts w:ascii="Arial" w:cs="Arial" w:eastAsia="Arial" w:hAnsi="Arial"/>
          <w:sz w:val="18"/>
          <w:szCs w:val="18"/>
          <w:color w:val="auto"/>
        </w:rPr>
        <w:t>Upon the sale of shares acquired from exercising a SAR, the participant will realize a capital gain (or loss) equal to the difference between the proceeds received and the fair market value of the shares on the date of exercise. The capital gain (or loss) will be a long-term capital gain (or loss) if the participant held the shares for more than one year after the exercise of the SAR, or otherwise a short-term capital gain (or loss).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Restricted Stock</w:t>
      </w:r>
    </w:p>
    <w:p>
      <w:pPr>
        <w:spacing w:after="0" w:line="153" w:lineRule="exact"/>
        <w:rPr>
          <w:sz w:val="20"/>
          <w:szCs w:val="20"/>
          <w:color w:val="auto"/>
        </w:rPr>
      </w:pPr>
    </w:p>
    <w:p>
      <w:pPr>
        <w:ind w:left="1000" w:right="199"/>
        <w:spacing w:after="0" w:line="255" w:lineRule="auto"/>
        <w:rPr>
          <w:sz w:val="20"/>
          <w:szCs w:val="20"/>
          <w:color w:val="auto"/>
        </w:rPr>
      </w:pPr>
      <w:r>
        <w:rPr>
          <w:rFonts w:ascii="Arial" w:cs="Arial" w:eastAsia="Arial" w:hAnsi="Arial"/>
          <w:sz w:val="18"/>
          <w:szCs w:val="18"/>
          <w:color w:val="auto"/>
        </w:rPr>
        <w:t>The federal income tax consequences of a grant of restricted stock depend on whether a participant elects to be taxed at the time of the grant (an “83(b) election,” named for Section 83(b) of the Internal Revenue Code). If the participant does not make an 83(b) election, the participant will not realize taxable income at the time of grant. When the restrictions on the shares lapse, the participant will realize ordinary income in an amount equal to the fair market value of the restricted stock at that time (less any amount that the participant pays for the shares). If the participant makes an 83(b) election, the participant will realize ordinary income at the time of grant in an amount equal to the fair market value of the shares at that time (less any amount that the participant pays for the shares), determined without regard to any of the restrictions. If shares are forfeited before the restrictions lapse, the participant will not be entitled to a corresponding deduction.</w:t>
      </w:r>
    </w:p>
    <w:p>
      <w:pPr>
        <w:spacing w:after="0" w:line="113" w:lineRule="exact"/>
        <w:rPr>
          <w:sz w:val="20"/>
          <w:szCs w:val="20"/>
          <w:color w:val="auto"/>
        </w:rPr>
      </w:pPr>
    </w:p>
    <w:p>
      <w:pPr>
        <w:ind w:left="1000" w:right="359"/>
        <w:spacing w:after="0" w:line="257" w:lineRule="auto"/>
        <w:rPr>
          <w:sz w:val="20"/>
          <w:szCs w:val="20"/>
          <w:color w:val="auto"/>
        </w:rPr>
      </w:pPr>
      <w:r>
        <w:rPr>
          <w:rFonts w:ascii="Arial" w:cs="Arial" w:eastAsia="Arial" w:hAnsi="Arial"/>
          <w:sz w:val="18"/>
          <w:szCs w:val="18"/>
          <w:color w:val="auto"/>
        </w:rPr>
        <w:t>The participant’s tax basis in restricted stock will be the income realized with respect to the shares (plus any amount that the participant paid for the shares). Upon a subsequent disposition of any shares, the participant will realize a capital gain or loss, equal to the amount received upon disposition minus the participant’s tax basis. The capital gain (or loss) will be a long-term capital gain (or loss) if the participant held the shares for more than one year after realizing income attributable to the shares, or otherwise a short-term capital gain (or loss).</w:t>
      </w:r>
    </w:p>
    <w:p>
      <w:pPr>
        <w:spacing w:after="0" w:line="115" w:lineRule="exact"/>
        <w:rPr>
          <w:sz w:val="20"/>
          <w:szCs w:val="20"/>
          <w:color w:val="auto"/>
        </w:rPr>
      </w:pPr>
    </w:p>
    <w:p>
      <w:pPr>
        <w:ind w:left="1000" w:right="179"/>
        <w:spacing w:after="0" w:line="287" w:lineRule="auto"/>
        <w:rPr>
          <w:sz w:val="20"/>
          <w:szCs w:val="20"/>
          <w:color w:val="auto"/>
        </w:rPr>
      </w:pPr>
      <w:r>
        <w:rPr>
          <w:rFonts w:ascii="Arial" w:cs="Arial" w:eastAsia="Arial" w:hAnsi="Arial"/>
          <w:sz w:val="18"/>
          <w:szCs w:val="18"/>
          <w:color w:val="auto"/>
        </w:rPr>
        <w:t>Avnet will be entitled to a tax deduction in the taxable year in which the participant realizes income. The amount of the deduction will be the same as the amount of income realized by the participant.</w:t>
      </w:r>
    </w:p>
    <w:p>
      <w:pPr>
        <w:spacing w:after="0" w:line="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78     </w:t>
      </w:r>
      <w:r>
        <w:rPr>
          <w:sz w:val="1"/>
          <w:szCs w:val="1"/>
          <w:color w:val="auto"/>
        </w:rPr>
        <w:drawing>
          <wp:inline distT="0" distB="0" distL="0" distR="0">
            <wp:extent cx="1242695" cy="24003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310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6640" w:type="dxa"/>
            <w:vAlign w:val="bottom"/>
            <w:vMerge w:val="restart"/>
          </w:tcPr>
          <w:p>
            <w:pPr>
              <w:ind w:left="740"/>
              <w:spacing w:after="0"/>
              <w:rPr>
                <w:sz w:val="20"/>
                <w:szCs w:val="20"/>
                <w:color w:val="auto"/>
              </w:rPr>
            </w:pPr>
            <w:r>
              <w:rPr>
                <w:rFonts w:ascii="Arial" w:cs="Arial" w:eastAsia="Arial" w:hAnsi="Arial"/>
                <w:sz w:val="14"/>
                <w:szCs w:val="14"/>
                <w:color w:val="auto"/>
              </w:rPr>
              <w:t>PROPOSAL 3: APPROVAL OF THE 2025 STOCK COMPENSATION AND INCENTIVE PLAN</w:t>
            </w:r>
          </w:p>
        </w:tc>
        <w:tc>
          <w:tcPr>
            <w:tcW w:w="0" w:type="dxa"/>
            <w:vAlign w:val="bottom"/>
          </w:tcPr>
          <w:p>
            <w:pPr>
              <w:spacing w:after="0"/>
              <w:rPr>
                <w:sz w:val="1"/>
                <w:szCs w:val="1"/>
                <w:color w:val="auto"/>
              </w:rPr>
            </w:pPr>
          </w:p>
        </w:tc>
      </w:tr>
      <w:tr>
        <w:trPr>
          <w:trHeight w:val="88"/>
        </w:trPr>
        <w:tc>
          <w:tcPr>
            <w:tcW w:w="31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6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100" w:type="dxa"/>
            <w:vAlign w:val="bottom"/>
            <w:vMerge w:val="continue"/>
          </w:tcPr>
          <w:p>
            <w:pPr>
              <w:spacing w:after="0"/>
              <w:rPr>
                <w:sz w:val="11"/>
                <w:szCs w:val="11"/>
                <w:color w:val="auto"/>
              </w:rPr>
            </w:pPr>
          </w:p>
        </w:tc>
        <w:tc>
          <w:tcPr>
            <w:tcW w:w="6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Restricted Stock Units/Performance Share Units/Other Stock Unit Awards</w:t>
      </w:r>
    </w:p>
    <w:p>
      <w:pPr>
        <w:spacing w:after="0" w:line="153" w:lineRule="exact"/>
        <w:rPr>
          <w:sz w:val="20"/>
          <w:szCs w:val="20"/>
          <w:color w:val="auto"/>
        </w:rPr>
      </w:pPr>
    </w:p>
    <w:p>
      <w:pPr>
        <w:ind w:left="1000" w:right="419"/>
        <w:spacing w:after="0" w:line="251" w:lineRule="auto"/>
        <w:rPr>
          <w:sz w:val="20"/>
          <w:szCs w:val="20"/>
          <w:color w:val="auto"/>
        </w:rPr>
      </w:pPr>
      <w:r>
        <w:rPr>
          <w:rFonts w:ascii="Arial" w:cs="Arial" w:eastAsia="Arial" w:hAnsi="Arial"/>
          <w:sz w:val="18"/>
          <w:szCs w:val="18"/>
          <w:color w:val="auto"/>
        </w:rPr>
        <w:t>Recipients of restricted stock units, performance share units and other stock unit awards will not realize any taxable income at the time of grant. Income will be realized when the awards vest and are paid in cash or shares of stock. At that time, the participant will realize ordinary income equal to the then fair market value of the shares or cash paid to the participant. The value of shares included in income will be the participant’s tax basis in the shares.</w:t>
      </w:r>
    </w:p>
    <w:p>
      <w:pPr>
        <w:spacing w:after="0" w:line="106" w:lineRule="exact"/>
        <w:rPr>
          <w:sz w:val="20"/>
          <w:szCs w:val="20"/>
          <w:color w:val="auto"/>
        </w:rPr>
      </w:pPr>
    </w:p>
    <w:p>
      <w:pPr>
        <w:ind w:left="1000" w:right="299"/>
        <w:spacing w:after="0" w:line="271" w:lineRule="auto"/>
        <w:rPr>
          <w:sz w:val="20"/>
          <w:szCs w:val="20"/>
          <w:color w:val="auto"/>
        </w:rPr>
      </w:pPr>
      <w:r>
        <w:rPr>
          <w:rFonts w:ascii="Arial" w:cs="Arial" w:eastAsia="Arial" w:hAnsi="Arial"/>
          <w:sz w:val="17"/>
          <w:szCs w:val="17"/>
          <w:color w:val="auto"/>
        </w:rPr>
        <w:t>The participant’s tax basis in any stock issued to settle a restricted stock unit, performance share unit or other stock unit award will be the amount realized as income attributable to the shares. Upon a subsequent disposition of any shares, the participant will realize capital gain or loss, equal to the amount received upon disposition minus the participant’s tax basis. The capital gain (or loss) will be a long-term capital gain (or loss).</w:t>
      </w:r>
    </w:p>
    <w:p>
      <w:pPr>
        <w:spacing w:after="0" w:line="89" w:lineRule="exact"/>
        <w:rPr>
          <w:sz w:val="20"/>
          <w:szCs w:val="20"/>
          <w:color w:val="auto"/>
        </w:rPr>
      </w:pPr>
    </w:p>
    <w:p>
      <w:pPr>
        <w:ind w:left="1000" w:right="559"/>
        <w:spacing w:after="0" w:line="271" w:lineRule="auto"/>
        <w:rPr>
          <w:sz w:val="20"/>
          <w:szCs w:val="20"/>
          <w:color w:val="auto"/>
        </w:rPr>
      </w:pPr>
      <w:r>
        <w:rPr>
          <w:rFonts w:ascii="Arial" w:cs="Arial" w:eastAsia="Arial" w:hAnsi="Arial"/>
          <w:sz w:val="18"/>
          <w:szCs w:val="18"/>
          <w:color w:val="auto"/>
        </w:rPr>
        <w:t>if the participant held the shares for more than one year after realizing income attributable to the shares, or otherwise a short-term capital gain (or loss).</w:t>
      </w:r>
    </w:p>
    <w:p>
      <w:pPr>
        <w:spacing w:after="0" w:line="86" w:lineRule="exact"/>
        <w:rPr>
          <w:sz w:val="20"/>
          <w:szCs w:val="20"/>
          <w:color w:val="auto"/>
        </w:rPr>
      </w:pPr>
    </w:p>
    <w:p>
      <w:pPr>
        <w:ind w:left="1000" w:right="139"/>
        <w:spacing w:after="0" w:line="271" w:lineRule="auto"/>
        <w:rPr>
          <w:sz w:val="20"/>
          <w:szCs w:val="20"/>
          <w:color w:val="auto"/>
        </w:rPr>
      </w:pPr>
      <w:r>
        <w:rPr>
          <w:rFonts w:ascii="Arial" w:cs="Arial" w:eastAsia="Arial" w:hAnsi="Arial"/>
          <w:sz w:val="18"/>
          <w:szCs w:val="18"/>
          <w:color w:val="auto"/>
        </w:rPr>
        <w:t>The Company will be entitled to a tax deduction in the taxable year in which the participant realizes income. The amount of the deduction will be the same as the amount of income realized by the participant.</w:t>
      </w:r>
    </w:p>
    <w:p>
      <w:pPr>
        <w:spacing w:after="0" w:line="81"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EIP Awards</w:t>
      </w:r>
    </w:p>
    <w:p>
      <w:pPr>
        <w:spacing w:after="0" w:line="153" w:lineRule="exact"/>
        <w:rPr>
          <w:sz w:val="20"/>
          <w:szCs w:val="20"/>
          <w:color w:val="auto"/>
        </w:rPr>
      </w:pPr>
    </w:p>
    <w:p>
      <w:pPr>
        <w:ind w:left="1000" w:right="399"/>
        <w:spacing w:after="0" w:line="251" w:lineRule="auto"/>
        <w:rPr>
          <w:sz w:val="20"/>
          <w:szCs w:val="20"/>
          <w:color w:val="auto"/>
        </w:rPr>
      </w:pPr>
      <w:r>
        <w:rPr>
          <w:rFonts w:ascii="Arial" w:cs="Arial" w:eastAsia="Arial" w:hAnsi="Arial"/>
          <w:sz w:val="18"/>
          <w:szCs w:val="18"/>
          <w:color w:val="auto"/>
        </w:rPr>
        <w:t>The recipient of an EIP Award will not realize any taxable income at the time of grant. Income will be realized after the Performance Objectives are achieved, when the awards are paid in cash. At that time, the full cash value of the EIP Award paid to the participant will be includible in the participant’s ordinary income. The Company will generally be entitled to a tax deduction in the taxable year in which the participant realizes income.</w:t>
      </w:r>
    </w:p>
    <w:p>
      <w:pPr>
        <w:spacing w:after="0" w:line="101"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Other Tax Issues</w:t>
      </w:r>
    </w:p>
    <w:p>
      <w:pPr>
        <w:spacing w:after="0" w:line="148"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Employment Taxes</w:t>
      </w:r>
    </w:p>
    <w:p>
      <w:pPr>
        <w:spacing w:after="0" w:line="153" w:lineRule="exact"/>
        <w:rPr>
          <w:sz w:val="20"/>
          <w:szCs w:val="20"/>
          <w:color w:val="auto"/>
        </w:rPr>
      </w:pPr>
    </w:p>
    <w:p>
      <w:pPr>
        <w:ind w:left="1000" w:right="219"/>
        <w:spacing w:after="0" w:line="247" w:lineRule="auto"/>
        <w:rPr>
          <w:sz w:val="20"/>
          <w:szCs w:val="20"/>
          <w:color w:val="auto"/>
        </w:rPr>
      </w:pPr>
      <w:r>
        <w:rPr>
          <w:rFonts w:ascii="Arial" w:cs="Arial" w:eastAsia="Arial" w:hAnsi="Arial"/>
          <w:sz w:val="18"/>
          <w:szCs w:val="18"/>
          <w:color w:val="auto"/>
        </w:rPr>
        <w:t>In general, the amount includible in income upon the exercise of options and upon the vesting of other awards, will be treated as wages for purposes of employment taxes, including Social Security (up to the Social Security wage base) and Medicare taxes. Also, upon the sale of shares acquired from awards under the 2025 Plan, participants with income above a specified threshold will be subject to a new tax on passive income (in addition to capital gains taxes).</w:t>
      </w:r>
    </w:p>
    <w:p>
      <w:pPr>
        <w:spacing w:after="0" w:line="105"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Section 162 Limitations</w:t>
      </w:r>
    </w:p>
    <w:p>
      <w:pPr>
        <w:spacing w:after="0" w:line="153" w:lineRule="exact"/>
        <w:rPr>
          <w:sz w:val="20"/>
          <w:szCs w:val="20"/>
          <w:color w:val="auto"/>
        </w:rPr>
      </w:pPr>
    </w:p>
    <w:p>
      <w:pPr>
        <w:ind w:left="1000" w:right="319"/>
        <w:spacing w:after="0" w:line="252" w:lineRule="auto"/>
        <w:rPr>
          <w:sz w:val="20"/>
          <w:szCs w:val="20"/>
          <w:color w:val="auto"/>
        </w:rPr>
      </w:pPr>
      <w:r>
        <w:rPr>
          <w:rFonts w:ascii="Arial" w:cs="Arial" w:eastAsia="Arial" w:hAnsi="Arial"/>
          <w:sz w:val="18"/>
          <w:szCs w:val="18"/>
          <w:color w:val="auto"/>
        </w:rPr>
        <w:t>Section 162(m) of the Internal Revenue Code generally disallows a public company’s tax deduction for compensation to covered employees over $1 million in any tax year. Compensation, for this purpose, includes taxable income attributable to awards granted under this 2025 Plan and, therefore, some awards may not be fully deductible by the Company under Section 162(m) of the Internal Revenue Code.</w:t>
      </w:r>
    </w:p>
    <w:p>
      <w:pPr>
        <w:spacing w:after="0" w:line="98"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Section 409A</w:t>
      </w:r>
    </w:p>
    <w:p>
      <w:pPr>
        <w:spacing w:after="0" w:line="153" w:lineRule="exact"/>
        <w:rPr>
          <w:sz w:val="20"/>
          <w:szCs w:val="20"/>
          <w:color w:val="auto"/>
        </w:rPr>
      </w:pPr>
    </w:p>
    <w:p>
      <w:pPr>
        <w:ind w:left="1000" w:right="219"/>
        <w:spacing w:after="0" w:line="244" w:lineRule="auto"/>
        <w:rPr>
          <w:sz w:val="20"/>
          <w:szCs w:val="20"/>
          <w:color w:val="auto"/>
        </w:rPr>
      </w:pPr>
      <w:r>
        <w:rPr>
          <w:rFonts w:ascii="Arial" w:cs="Arial" w:eastAsia="Arial" w:hAnsi="Arial"/>
          <w:sz w:val="18"/>
          <w:szCs w:val="18"/>
          <w:color w:val="auto"/>
        </w:rPr>
        <w:t>The 2025 Plan is intended to comply with Section 409A of the Internal Revenue Code (“Section 409A”) to the extent that such section would apply to any award under the 2025 Plan. Section 409A governs the taxation of non-qualified deferred compensation. Any participant that is granted an award that is deemed to be deferred compensation, such as a grant of deferred stock that does not qualify for an exemption from Section 409A, and does not comply with Section 409A, could be subject to taxation on the award as soon as the award is no longer subject to a substantial risk of forfeiture (even if the award is not exercisable or immediately deliverable) and an additional 20% tax (and a further additional tax based upon an amount of interest determined under Section 409A) on the value of the award.</w:t>
      </w:r>
    </w:p>
    <w:p>
      <w:pPr>
        <w:spacing w:after="0" w:line="107"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Section 280G</w:t>
      </w:r>
    </w:p>
    <w:p>
      <w:pPr>
        <w:spacing w:after="0" w:line="153" w:lineRule="exact"/>
        <w:rPr>
          <w:sz w:val="20"/>
          <w:szCs w:val="20"/>
          <w:color w:val="auto"/>
        </w:rPr>
      </w:pPr>
    </w:p>
    <w:p>
      <w:pPr>
        <w:jc w:val="both"/>
        <w:ind w:left="1000" w:right="179"/>
        <w:spacing w:after="0" w:line="261" w:lineRule="auto"/>
        <w:rPr>
          <w:sz w:val="20"/>
          <w:szCs w:val="20"/>
          <w:color w:val="auto"/>
        </w:rPr>
      </w:pPr>
      <w:r>
        <w:rPr>
          <w:rFonts w:ascii="Arial" w:cs="Arial" w:eastAsia="Arial" w:hAnsi="Arial"/>
          <w:sz w:val="18"/>
          <w:szCs w:val="18"/>
          <w:color w:val="auto"/>
        </w:rPr>
        <w:t>As noted above, the Administrator has discretion to accelerate the payment or vesting (including the release of restrictions) on any awards in the event of a Change in Control. If this occurs, payments and transfers of shares to “disqualified individuals” under Section 280G of the Internal Revenue Code (generally officers,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4785995</wp:posOffset>
            </wp:positionH>
            <wp:positionV relativeFrom="paragraph">
              <wp:posOffset>88900</wp:posOffset>
            </wp:positionV>
            <wp:extent cx="1243330" cy="2400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43330" cy="240030"/>
                    </a:xfrm>
                    <a:prstGeom prst="rect">
                      <a:avLst/>
                    </a:prstGeom>
                    <a:noFill/>
                  </pic:spPr>
                </pic:pic>
              </a:graphicData>
            </a:graphic>
          </wp:anchor>
        </w:drawing>
      </w:r>
    </w:p>
    <w:p>
      <w:pPr>
        <w:spacing w:after="0" w:line="236" w:lineRule="exact"/>
        <w:rPr>
          <w:sz w:val="20"/>
          <w:szCs w:val="20"/>
          <w:color w:val="auto"/>
        </w:rPr>
      </w:pPr>
    </w:p>
    <w:p>
      <w:pPr>
        <w:ind w:left="950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287655</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310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6640" w:type="dxa"/>
            <w:vAlign w:val="bottom"/>
            <w:vMerge w:val="restart"/>
          </w:tcPr>
          <w:p>
            <w:pPr>
              <w:ind w:left="740"/>
              <w:spacing w:after="0"/>
              <w:rPr>
                <w:sz w:val="20"/>
                <w:szCs w:val="20"/>
                <w:color w:val="auto"/>
              </w:rPr>
            </w:pPr>
            <w:r>
              <w:rPr>
                <w:rFonts w:ascii="Arial" w:cs="Arial" w:eastAsia="Arial" w:hAnsi="Arial"/>
                <w:sz w:val="14"/>
                <w:szCs w:val="14"/>
                <w:color w:val="auto"/>
              </w:rPr>
              <w:t>PROPOSAL 3: APPROVAL OF THE 2025 STOCK COMPENSATION AND INCENTIVE PLAN</w:t>
            </w:r>
          </w:p>
        </w:tc>
        <w:tc>
          <w:tcPr>
            <w:tcW w:w="0" w:type="dxa"/>
            <w:vAlign w:val="bottom"/>
          </w:tcPr>
          <w:p>
            <w:pPr>
              <w:spacing w:after="0"/>
              <w:rPr>
                <w:sz w:val="1"/>
                <w:szCs w:val="1"/>
                <w:color w:val="auto"/>
              </w:rPr>
            </w:pPr>
          </w:p>
        </w:tc>
      </w:tr>
      <w:tr>
        <w:trPr>
          <w:trHeight w:val="88"/>
        </w:trPr>
        <w:tc>
          <w:tcPr>
            <w:tcW w:w="31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6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100" w:type="dxa"/>
            <w:vAlign w:val="bottom"/>
            <w:vMerge w:val="continue"/>
          </w:tcPr>
          <w:p>
            <w:pPr>
              <w:spacing w:after="0"/>
              <w:rPr>
                <w:sz w:val="11"/>
                <w:szCs w:val="11"/>
                <w:color w:val="auto"/>
              </w:rPr>
            </w:pPr>
          </w:p>
        </w:tc>
        <w:tc>
          <w:tcPr>
            <w:tcW w:w="6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139"/>
        <w:spacing w:after="0" w:line="268" w:lineRule="auto"/>
        <w:rPr>
          <w:sz w:val="20"/>
          <w:szCs w:val="20"/>
          <w:color w:val="auto"/>
        </w:rPr>
      </w:pPr>
      <w:r>
        <w:rPr>
          <w:rFonts w:ascii="Arial" w:cs="Arial" w:eastAsia="Arial" w:hAnsi="Arial"/>
          <w:sz w:val="17"/>
          <w:szCs w:val="17"/>
          <w:color w:val="auto"/>
        </w:rPr>
        <w:t>250 highest paid employees of the Company and subsidiaries in which the Company’s ownership interest is 80% or more, and shareholders who own 1% or more of the Company) that are deemed to be contingent on the Change in Control may be subject to special tax consequences that apply to “parachute payments.” To determine whether these special tax consequences are triggered, the sum of the payments and transfers under the 2025 Plan and all other compensation that is deemed to be contingent on the Change in Control (the “potential parachute payments”) must be compared to the disqualified individual’s “base amount.” In general, the base amount is the individual’s average annual taxable compensation from the Company during the</w:t>
      </w:r>
    </w:p>
    <w:p>
      <w:pPr>
        <w:spacing w:after="0" w:line="2" w:lineRule="exact"/>
        <w:rPr>
          <w:sz w:val="20"/>
          <w:szCs w:val="20"/>
          <w:color w:val="auto"/>
        </w:rPr>
      </w:pPr>
    </w:p>
    <w:p>
      <w:pPr>
        <w:ind w:left="1000" w:right="339"/>
        <w:spacing w:after="0" w:line="253" w:lineRule="auto"/>
        <w:rPr>
          <w:sz w:val="20"/>
          <w:szCs w:val="20"/>
          <w:color w:val="auto"/>
        </w:rPr>
      </w:pPr>
      <w:r>
        <w:rPr>
          <w:rFonts w:ascii="Arial" w:cs="Arial" w:eastAsia="Arial" w:hAnsi="Arial"/>
          <w:sz w:val="18"/>
          <w:szCs w:val="18"/>
          <w:color w:val="auto"/>
        </w:rPr>
        <w:t>five years (or the number of years the individual worked for the Company, if fewer) immediately before the Change in Control. If the amount of the potential parachute payments equals or exceeds three times the base amount, the excess of the potential parachute payments over the base amount will be considered “excess parachute payments.” If any amounts are determined to be excess parachute payments, the disqualified individual will have to pay an excise tax equal to 20% of the excess of the potential parachute payments over the individual’s base amount. In addition, the Company would not be allowed to deduct the amount that is subject to the excise tax.</w:t>
      </w:r>
    </w:p>
    <w:p>
      <w:pPr>
        <w:spacing w:after="0" w:line="110"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Importance of Consulting Tax Adviser</w:t>
      </w:r>
    </w:p>
    <w:p>
      <w:pPr>
        <w:spacing w:after="0" w:line="153" w:lineRule="exact"/>
        <w:rPr>
          <w:sz w:val="20"/>
          <w:szCs w:val="20"/>
          <w:color w:val="auto"/>
        </w:rPr>
      </w:pPr>
    </w:p>
    <w:p>
      <w:pPr>
        <w:ind w:left="1000" w:right="199"/>
        <w:spacing w:after="0" w:line="259" w:lineRule="auto"/>
        <w:rPr>
          <w:sz w:val="20"/>
          <w:szCs w:val="20"/>
          <w:color w:val="auto"/>
        </w:rPr>
      </w:pPr>
      <w:r>
        <w:rPr>
          <w:rFonts w:ascii="Arial" w:cs="Arial" w:eastAsia="Arial" w:hAnsi="Arial"/>
          <w:sz w:val="18"/>
          <w:szCs w:val="18"/>
          <w:color w:val="auto"/>
        </w:rPr>
        <w:t>The information set forth above is a summary only and does not purport to be complete. In addition, the information is based upon current federal income tax rules and therefore is subject to change when those rules change. Moreover, tax consequences will depend on individual recipient circumstances, so recipients should consult their tax adviser as to the federal, state, local and other tax consequences of the grant or exercise of an award or the disposition of Common Stock acquired as a result of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80     </w:t>
      </w:r>
      <w:r>
        <w:rPr>
          <w:sz w:val="1"/>
          <w:szCs w:val="1"/>
          <w:color w:val="auto"/>
        </w:rPr>
        <w:drawing>
          <wp:inline distT="0" distB="0" distL="0" distR="0">
            <wp:extent cx="1242695" cy="24003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9429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55498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1640" w:right="380"/>
        <w:spacing w:after="0" w:line="289" w:lineRule="auto"/>
        <w:rPr>
          <w:sz w:val="20"/>
          <w:szCs w:val="20"/>
          <w:color w:val="auto"/>
        </w:rPr>
      </w:pPr>
      <w:r>
        <w:rPr>
          <w:rFonts w:ascii="Arial" w:cs="Arial" w:eastAsia="Arial" w:hAnsi="Arial"/>
          <w:sz w:val="38"/>
          <w:szCs w:val="38"/>
          <w:b w:val="1"/>
          <w:bCs w:val="1"/>
          <w:color w:val="FEFEFE"/>
        </w:rPr>
        <w:t>PROPOSAL 4: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125095</wp:posOffset>
            </wp:positionV>
            <wp:extent cx="5554980" cy="7715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239"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FEFEFE"/>
        </w:rPr>
        <w:t>RECOMMENDATION OF THE BOARD</w:t>
      </w:r>
    </w:p>
    <w:p>
      <w:pPr>
        <w:spacing w:after="0" w:line="210" w:lineRule="exact"/>
        <w:rPr>
          <w:sz w:val="20"/>
          <w:szCs w:val="20"/>
          <w:color w:val="auto"/>
        </w:rPr>
      </w:pPr>
    </w:p>
    <w:p>
      <w:pPr>
        <w:ind w:left="2540" w:right="599"/>
        <w:spacing w:after="0" w:line="273" w:lineRule="auto"/>
        <w:rPr>
          <w:sz w:val="20"/>
          <w:szCs w:val="20"/>
          <w:color w:val="auto"/>
        </w:rPr>
      </w:pPr>
      <w:r>
        <w:rPr>
          <w:rFonts w:ascii="Arial" w:cs="Arial" w:eastAsia="Arial" w:hAnsi="Arial"/>
          <w:sz w:val="18"/>
          <w:szCs w:val="18"/>
          <w:b w:val="1"/>
          <w:bCs w:val="1"/>
          <w:color w:val="auto"/>
        </w:rPr>
        <w:t xml:space="preserve">The Board recommends that shareholders vote </w:t>
      </w:r>
      <w:r>
        <w:rPr>
          <w:rFonts w:ascii="Arial" w:cs="Arial" w:eastAsia="Arial" w:hAnsi="Arial"/>
          <w:sz w:val="18"/>
          <w:szCs w:val="18"/>
          <w:b w:val="1"/>
          <w:bCs w:val="1"/>
          <w:color w:val="53C072"/>
        </w:rPr>
        <w:t>FOR</w:t>
      </w:r>
      <w:r>
        <w:rPr>
          <w:rFonts w:ascii="Arial" w:cs="Arial" w:eastAsia="Arial" w:hAnsi="Arial"/>
          <w:sz w:val="18"/>
          <w:szCs w:val="18"/>
          <w:b w:val="1"/>
          <w:bCs w:val="1"/>
          <w:color w:val="auto"/>
        </w:rPr>
        <w:t xml:space="preserve"> the ratification of PricewaterhouseCoopers LLP as the Company’s independent registered public accounting firm for Fiscal 2026.</w:t>
      </w:r>
    </w:p>
    <w:p>
      <w:pPr>
        <w:spacing w:after="0" w:line="21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Description of Proposal</w:t>
      </w:r>
    </w:p>
    <w:p>
      <w:pPr>
        <w:spacing w:after="0" w:line="162" w:lineRule="exact"/>
        <w:rPr>
          <w:sz w:val="20"/>
          <w:szCs w:val="20"/>
          <w:color w:val="auto"/>
        </w:rPr>
      </w:pPr>
    </w:p>
    <w:p>
      <w:pPr>
        <w:ind w:left="1000" w:right="599"/>
        <w:spacing w:after="0" w:line="287" w:lineRule="auto"/>
        <w:rPr>
          <w:sz w:val="20"/>
          <w:szCs w:val="20"/>
          <w:color w:val="auto"/>
        </w:rPr>
      </w:pPr>
      <w:r>
        <w:rPr>
          <w:rFonts w:ascii="Arial" w:cs="Arial" w:eastAsia="Arial" w:hAnsi="Arial"/>
          <w:sz w:val="18"/>
          <w:szCs w:val="18"/>
          <w:color w:val="auto"/>
        </w:rPr>
        <w:t>The Audit Committee has approved the selection of PricewaterhouseCoopers LLP (“PwC”) to serve as the Company’s independent registered public accounting firm for the fiscal year ending June 27, 2026.</w:t>
      </w:r>
    </w:p>
    <w:p>
      <w:pPr>
        <w:spacing w:after="0" w:line="72" w:lineRule="exact"/>
        <w:rPr>
          <w:sz w:val="20"/>
          <w:szCs w:val="20"/>
          <w:color w:val="auto"/>
        </w:rPr>
      </w:pPr>
    </w:p>
    <w:p>
      <w:pPr>
        <w:ind w:left="1000" w:right="499"/>
        <w:spacing w:after="0" w:line="287" w:lineRule="auto"/>
        <w:rPr>
          <w:sz w:val="20"/>
          <w:szCs w:val="20"/>
          <w:color w:val="auto"/>
        </w:rPr>
      </w:pPr>
      <w:r>
        <w:rPr>
          <w:rFonts w:ascii="Arial" w:cs="Arial" w:eastAsia="Arial" w:hAnsi="Arial"/>
          <w:sz w:val="18"/>
          <w:szCs w:val="18"/>
          <w:color w:val="auto"/>
        </w:rPr>
        <w:t>In determining whether to reappoint the independent registered public accounting firm, the Audit Committee annually considers several factors including:</w:t>
      </w:r>
    </w:p>
    <w:p>
      <w:pPr>
        <w:spacing w:after="0" w:line="85" w:lineRule="exact"/>
        <w:rPr>
          <w:sz w:val="20"/>
          <w:szCs w:val="20"/>
          <w:color w:val="auto"/>
        </w:rPr>
      </w:pPr>
    </w:p>
    <w:p>
      <w:pPr>
        <w:ind w:left="1720" w:hanging="370"/>
        <w:spacing w:after="0"/>
        <w:tabs>
          <w:tab w:leader="none" w:pos="1720" w:val="left"/>
        </w:tabs>
        <w:numPr>
          <w:ilvl w:val="0"/>
          <w:numId w:val="74"/>
        </w:numPr>
        <w:rPr>
          <w:rFonts w:ascii="Arial" w:cs="Arial" w:eastAsia="Arial" w:hAnsi="Arial"/>
          <w:sz w:val="18"/>
          <w:szCs w:val="18"/>
          <w:color w:val="53C072"/>
        </w:rPr>
      </w:pPr>
      <w:r>
        <w:rPr>
          <w:rFonts w:ascii="Arial" w:cs="Arial" w:eastAsia="Arial" w:hAnsi="Arial"/>
          <w:sz w:val="18"/>
          <w:szCs w:val="18"/>
          <w:color w:val="auto"/>
        </w:rPr>
        <w:t>the firm’s independence and objectivity;</w:t>
      </w:r>
    </w:p>
    <w:p>
      <w:pPr>
        <w:spacing w:after="0" w:line="157" w:lineRule="exact"/>
        <w:rPr>
          <w:rFonts w:ascii="Arial" w:cs="Arial" w:eastAsia="Arial" w:hAnsi="Arial"/>
          <w:sz w:val="18"/>
          <w:szCs w:val="18"/>
          <w:color w:val="53C072"/>
        </w:rPr>
      </w:pPr>
    </w:p>
    <w:p>
      <w:pPr>
        <w:ind w:left="1720" w:right="539" w:hanging="370"/>
        <w:spacing w:after="0" w:line="287" w:lineRule="auto"/>
        <w:tabs>
          <w:tab w:leader="none" w:pos="1720" w:val="left"/>
        </w:tabs>
        <w:numPr>
          <w:ilvl w:val="0"/>
          <w:numId w:val="74"/>
        </w:numPr>
        <w:rPr>
          <w:rFonts w:ascii="Arial" w:cs="Arial" w:eastAsia="Arial" w:hAnsi="Arial"/>
          <w:sz w:val="18"/>
          <w:szCs w:val="18"/>
          <w:color w:val="53C072"/>
        </w:rPr>
      </w:pPr>
      <w:r>
        <w:rPr>
          <w:rFonts w:ascii="Arial" w:cs="Arial" w:eastAsia="Arial" w:hAnsi="Arial"/>
          <w:sz w:val="18"/>
          <w:szCs w:val="18"/>
          <w:color w:val="auto"/>
        </w:rPr>
        <w:t>the firm’s capability and expertise in handling the breadth and complexity of the Company’s global operations, including the expertise and capability of the lead audit partner;</w:t>
      </w:r>
    </w:p>
    <w:p>
      <w:pPr>
        <w:spacing w:after="0" w:line="71" w:lineRule="exact"/>
        <w:rPr>
          <w:rFonts w:ascii="Arial" w:cs="Arial" w:eastAsia="Arial" w:hAnsi="Arial"/>
          <w:sz w:val="18"/>
          <w:szCs w:val="18"/>
          <w:color w:val="53C072"/>
        </w:rPr>
      </w:pPr>
    </w:p>
    <w:p>
      <w:pPr>
        <w:ind w:left="1720" w:right="359" w:hanging="370"/>
        <w:spacing w:after="0" w:line="287" w:lineRule="auto"/>
        <w:tabs>
          <w:tab w:leader="none" w:pos="1720" w:val="left"/>
        </w:tabs>
        <w:numPr>
          <w:ilvl w:val="0"/>
          <w:numId w:val="74"/>
        </w:numPr>
        <w:rPr>
          <w:rFonts w:ascii="Arial" w:cs="Arial" w:eastAsia="Arial" w:hAnsi="Arial"/>
          <w:sz w:val="18"/>
          <w:szCs w:val="18"/>
          <w:color w:val="53C072"/>
        </w:rPr>
      </w:pPr>
      <w:r>
        <w:rPr>
          <w:rFonts w:ascii="Arial" w:cs="Arial" w:eastAsia="Arial" w:hAnsi="Arial"/>
          <w:sz w:val="18"/>
          <w:szCs w:val="18"/>
          <w:color w:val="auto"/>
        </w:rPr>
        <w:t>historical and recent performance, including the extent and quality of the firm’s communications with the Audit Committee, and management’s views of the firm’s overall performance;</w:t>
      </w:r>
    </w:p>
    <w:p>
      <w:pPr>
        <w:spacing w:after="0" w:line="85" w:lineRule="exact"/>
        <w:rPr>
          <w:rFonts w:ascii="Arial" w:cs="Arial" w:eastAsia="Arial" w:hAnsi="Arial"/>
          <w:sz w:val="18"/>
          <w:szCs w:val="18"/>
          <w:color w:val="53C072"/>
        </w:rPr>
      </w:pPr>
    </w:p>
    <w:p>
      <w:pPr>
        <w:ind w:left="1720" w:right="259" w:hanging="370"/>
        <w:spacing w:after="0" w:line="287" w:lineRule="auto"/>
        <w:tabs>
          <w:tab w:leader="none" w:pos="1720" w:val="left"/>
        </w:tabs>
        <w:numPr>
          <w:ilvl w:val="0"/>
          <w:numId w:val="74"/>
        </w:numPr>
        <w:rPr>
          <w:rFonts w:ascii="Arial" w:cs="Arial" w:eastAsia="Arial" w:hAnsi="Arial"/>
          <w:sz w:val="18"/>
          <w:szCs w:val="18"/>
          <w:color w:val="53C072"/>
        </w:rPr>
      </w:pPr>
      <w:r>
        <w:rPr>
          <w:rFonts w:ascii="Arial" w:cs="Arial" w:eastAsia="Arial" w:hAnsi="Arial"/>
          <w:sz w:val="18"/>
          <w:szCs w:val="18"/>
          <w:color w:val="auto"/>
        </w:rPr>
        <w:t>data related to audit quality and performance, including recent Public Company Accounting Oversight Board inspection reports on the firm; and</w:t>
      </w:r>
    </w:p>
    <w:p>
      <w:pPr>
        <w:spacing w:after="0" w:line="85" w:lineRule="exact"/>
        <w:rPr>
          <w:rFonts w:ascii="Arial" w:cs="Arial" w:eastAsia="Arial" w:hAnsi="Arial"/>
          <w:sz w:val="18"/>
          <w:szCs w:val="18"/>
          <w:color w:val="53C072"/>
        </w:rPr>
      </w:pPr>
    </w:p>
    <w:p>
      <w:pPr>
        <w:ind w:left="1720" w:hanging="370"/>
        <w:spacing w:after="0"/>
        <w:tabs>
          <w:tab w:leader="none" w:pos="1720" w:val="left"/>
        </w:tabs>
        <w:numPr>
          <w:ilvl w:val="0"/>
          <w:numId w:val="74"/>
        </w:numPr>
        <w:rPr>
          <w:rFonts w:ascii="Arial" w:cs="Arial" w:eastAsia="Arial" w:hAnsi="Arial"/>
          <w:sz w:val="18"/>
          <w:szCs w:val="18"/>
          <w:color w:val="53C072"/>
        </w:rPr>
      </w:pPr>
      <w:r>
        <w:rPr>
          <w:rFonts w:ascii="Arial" w:cs="Arial" w:eastAsia="Arial" w:hAnsi="Arial"/>
          <w:sz w:val="18"/>
          <w:szCs w:val="18"/>
          <w:color w:val="auto"/>
        </w:rPr>
        <w:t>the appropriateness of the firm’s fees, both on an absolute basis and as compared with its peers.</w:t>
      </w:r>
    </w:p>
    <w:p>
      <w:pPr>
        <w:spacing w:after="0" w:line="144" w:lineRule="exact"/>
        <w:rPr>
          <w:sz w:val="20"/>
          <w:szCs w:val="20"/>
          <w:color w:val="auto"/>
        </w:rPr>
      </w:pPr>
    </w:p>
    <w:p>
      <w:pPr>
        <w:ind w:left="1000" w:right="379"/>
        <w:spacing w:after="0" w:line="268" w:lineRule="auto"/>
        <w:rPr>
          <w:sz w:val="20"/>
          <w:szCs w:val="20"/>
          <w:color w:val="auto"/>
        </w:rPr>
      </w:pPr>
      <w:r>
        <w:rPr>
          <w:rFonts w:ascii="Arial" w:cs="Arial" w:eastAsia="Arial" w:hAnsi="Arial"/>
          <w:sz w:val="18"/>
          <w:szCs w:val="18"/>
          <w:color w:val="auto"/>
        </w:rPr>
        <w:t>KPMG LLP was the Company’s independent registered public accounting firm in fiscal years 2024 and 2025. For a summary of the fees that were paid to KPMG in those years, please see “Principal Accounting Firm Fees.”</w:t>
      </w:r>
    </w:p>
    <w:p>
      <w:pPr>
        <w:spacing w:after="0" w:line="103" w:lineRule="exact"/>
        <w:rPr>
          <w:sz w:val="20"/>
          <w:szCs w:val="20"/>
          <w:color w:val="auto"/>
        </w:rPr>
      </w:pPr>
    </w:p>
    <w:p>
      <w:pPr>
        <w:jc w:val="both"/>
        <w:ind w:left="1000" w:right="199"/>
        <w:spacing w:after="0" w:line="268" w:lineRule="auto"/>
        <w:rPr>
          <w:sz w:val="20"/>
          <w:szCs w:val="20"/>
          <w:color w:val="auto"/>
        </w:rPr>
      </w:pPr>
      <w:r>
        <w:rPr>
          <w:rFonts w:ascii="Arial" w:cs="Arial" w:eastAsia="Arial" w:hAnsi="Arial"/>
          <w:sz w:val="18"/>
          <w:szCs w:val="18"/>
          <w:color w:val="auto"/>
        </w:rPr>
        <w:t>The Company expects that representatives of PwC will be present at the Annual Meeting. The representatives will have an opportunity to make a statement as they may desire and will be available to respond to appropriate questions from shareholders.</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Vote Required For Approval</w:t>
      </w:r>
    </w:p>
    <w:p>
      <w:pPr>
        <w:spacing w:after="0" w:line="148" w:lineRule="exact"/>
        <w:rPr>
          <w:sz w:val="20"/>
          <w:szCs w:val="20"/>
          <w:color w:val="auto"/>
        </w:rPr>
      </w:pPr>
    </w:p>
    <w:p>
      <w:pPr>
        <w:ind w:left="1000" w:right="419"/>
        <w:spacing w:after="0" w:line="262" w:lineRule="auto"/>
        <w:rPr>
          <w:sz w:val="20"/>
          <w:szCs w:val="20"/>
          <w:color w:val="auto"/>
        </w:rPr>
      </w:pPr>
      <w:r>
        <w:rPr>
          <w:rFonts w:ascii="Arial" w:cs="Arial" w:eastAsia="Arial" w:hAnsi="Arial"/>
          <w:sz w:val="18"/>
          <w:szCs w:val="18"/>
          <w:color w:val="auto"/>
        </w:rPr>
        <w:t>For approval, this proposal must receive affirmative votes from a simple majority of shareholder votes cast at the Annual Meeting. Abstentions are not counted in determining the votes cast. Brokers who hold shares of Common Stock as nominees will have discretionary authority to vote such shares if they have not received timely voting instructions from the beneficial owners.</w:t>
      </w:r>
    </w:p>
    <w:p>
      <w:pPr>
        <w:spacing w:after="0" w:line="16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Proxy</w:t>
      </w:r>
    </w:p>
    <w:p>
      <w:pPr>
        <w:spacing w:after="0" w:line="162" w:lineRule="exact"/>
        <w:rPr>
          <w:sz w:val="20"/>
          <w:szCs w:val="20"/>
          <w:color w:val="auto"/>
        </w:rPr>
      </w:pPr>
    </w:p>
    <w:p>
      <w:pPr>
        <w:ind w:left="1000" w:right="239"/>
        <w:spacing w:after="0" w:line="268" w:lineRule="auto"/>
        <w:rPr>
          <w:sz w:val="20"/>
          <w:szCs w:val="20"/>
          <w:color w:val="auto"/>
        </w:rPr>
      </w:pPr>
      <w:r>
        <w:rPr>
          <w:rFonts w:ascii="Arial" w:cs="Arial" w:eastAsia="Arial" w:hAnsi="Arial"/>
          <w:sz w:val="18"/>
          <w:szCs w:val="18"/>
          <w:color w:val="auto"/>
        </w:rPr>
        <w:t>Unless otherwise directed by the shareholder, the persons named as proxies on the proxy card will vote each properly signed and returned proxy card FOR the ratification of PwC as the Company’s independent registered public accounting firm for Fiscal 2026.</w:t>
      </w:r>
    </w:p>
    <w:p>
      <w:pPr>
        <w:sectPr>
          <w:pgSz w:w="11900" w:h="16838" w:orient="portrait"/>
          <w:cols w:equalWidth="0" w:num="1">
            <w:col w:w="9879"/>
          </w:cols>
          <w:pgMar w:left="580" w:top="97" w:right="1440" w:bottom="1440" w:gutter="0" w:footer="0" w:header="0"/>
        </w:sectPr>
      </w:pPr>
    </w:p>
    <w:p>
      <w:pPr>
        <w:spacing w:after="0" w:line="285"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80"/>
        <w:spacing w:after="0"/>
        <w:rPr>
          <w:sz w:val="20"/>
          <w:szCs w:val="20"/>
          <w:color w:val="auto"/>
        </w:rPr>
      </w:pPr>
      <w:r>
        <w:rPr>
          <w:rFonts w:ascii="Arial" w:cs="Arial" w:eastAsia="Arial" w:hAnsi="Arial"/>
          <w:sz w:val="40"/>
          <w:szCs w:val="40"/>
          <w:b w:val="1"/>
          <w:bCs w:val="1"/>
          <w:color w:val="FEFEFE"/>
        </w:rPr>
        <w:t>PRINCIPAL ACCOUNTING FIRM FEES</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ind w:left="1000" w:right="279"/>
        <w:spacing w:after="0" w:line="262" w:lineRule="auto"/>
        <w:rPr>
          <w:sz w:val="20"/>
          <w:szCs w:val="20"/>
          <w:color w:val="auto"/>
        </w:rPr>
      </w:pPr>
      <w:r>
        <w:rPr>
          <w:rFonts w:ascii="Arial" w:cs="Arial" w:eastAsia="Arial" w:hAnsi="Arial"/>
          <w:sz w:val="18"/>
          <w:szCs w:val="18"/>
          <w:color w:val="auto"/>
        </w:rPr>
        <w:t>The table below provides information relating to fees charged for services performed by KPMG, which was the Company’s independent registered public accounting firm in fiscal years 2024 and 2025. All the services described in the table were approved in conformity with the Audit Committee’s pre-approval process for independent registered public accounting firm fees.</w:t>
      </w: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6460" w:type="dxa"/>
            <w:vAlign w:val="bottom"/>
            <w:shd w:val="clear" w:color="auto" w:fill="53C072"/>
          </w:tcPr>
          <w:p>
            <w:pPr>
              <w:spacing w:after="0"/>
              <w:rPr>
                <w:sz w:val="19"/>
                <w:szCs w:val="19"/>
                <w:color w:val="auto"/>
              </w:rPr>
            </w:pPr>
          </w:p>
        </w:tc>
        <w:tc>
          <w:tcPr>
            <w:tcW w:w="1160" w:type="dxa"/>
            <w:vAlign w:val="bottom"/>
            <w:shd w:val="clear" w:color="auto" w:fill="53C072"/>
          </w:tcPr>
          <w:p>
            <w:pPr>
              <w:ind w:left="260"/>
              <w:spacing w:after="0"/>
              <w:rPr>
                <w:sz w:val="20"/>
                <w:szCs w:val="20"/>
                <w:color w:val="auto"/>
              </w:rPr>
            </w:pPr>
            <w:r>
              <w:rPr>
                <w:rFonts w:ascii="Arial" w:cs="Arial" w:eastAsia="Arial" w:hAnsi="Arial"/>
                <w:sz w:val="14"/>
                <w:szCs w:val="14"/>
                <w:b w:val="1"/>
                <w:bCs w:val="1"/>
                <w:color w:val="FEFEFE"/>
              </w:rPr>
              <w:t>Fiscal 2024</w:t>
            </w:r>
          </w:p>
        </w:tc>
        <w:tc>
          <w:tcPr>
            <w:tcW w:w="240" w:type="dxa"/>
            <w:vAlign w:val="bottom"/>
            <w:shd w:val="clear" w:color="auto" w:fill="53C072"/>
          </w:tcPr>
          <w:p>
            <w:pPr>
              <w:spacing w:after="0"/>
              <w:rPr>
                <w:sz w:val="19"/>
                <w:szCs w:val="19"/>
                <w:color w:val="auto"/>
              </w:rPr>
            </w:pPr>
          </w:p>
        </w:tc>
        <w:tc>
          <w:tcPr>
            <w:tcW w:w="900" w:type="dxa"/>
            <w:vAlign w:val="bottom"/>
            <w:shd w:val="clear" w:color="auto" w:fill="53C072"/>
          </w:tcPr>
          <w:p>
            <w:pPr>
              <w:jc w:val="right"/>
              <w:ind w:right="36"/>
              <w:spacing w:after="0"/>
              <w:rPr>
                <w:sz w:val="20"/>
                <w:szCs w:val="20"/>
                <w:color w:val="auto"/>
              </w:rPr>
            </w:pPr>
            <w:r>
              <w:rPr>
                <w:rFonts w:ascii="Arial" w:cs="Arial" w:eastAsia="Arial" w:hAnsi="Arial"/>
                <w:sz w:val="14"/>
                <w:szCs w:val="14"/>
                <w:b w:val="1"/>
                <w:bCs w:val="1"/>
                <w:color w:val="FEFEFE"/>
              </w:rPr>
              <w:t>Fiscal 2025</w:t>
            </w:r>
          </w:p>
        </w:tc>
      </w:tr>
      <w:tr>
        <w:trPr>
          <w:trHeight w:val="256"/>
        </w:trPr>
        <w:tc>
          <w:tcPr>
            <w:tcW w:w="6460" w:type="dxa"/>
            <w:vAlign w:val="bottom"/>
          </w:tcPr>
          <w:p>
            <w:pPr>
              <w:ind w:left="120"/>
              <w:spacing w:after="0"/>
              <w:rPr>
                <w:sz w:val="20"/>
                <w:szCs w:val="20"/>
                <w:color w:val="auto"/>
              </w:rPr>
            </w:pPr>
            <w:r>
              <w:rPr>
                <w:rFonts w:ascii="Arial" w:cs="Arial" w:eastAsia="Arial" w:hAnsi="Arial"/>
                <w:sz w:val="18"/>
                <w:szCs w:val="18"/>
                <w:color w:val="auto"/>
              </w:rPr>
              <w:t>Audit Fees</w:t>
            </w:r>
          </w:p>
        </w:tc>
        <w:tc>
          <w:tcPr>
            <w:tcW w:w="1160" w:type="dxa"/>
            <w:vAlign w:val="bottom"/>
          </w:tcPr>
          <w:p>
            <w:pPr>
              <w:ind w:left="120"/>
              <w:spacing w:after="0"/>
              <w:rPr>
                <w:sz w:val="20"/>
                <w:szCs w:val="20"/>
                <w:color w:val="auto"/>
              </w:rPr>
            </w:pPr>
            <w:r>
              <w:rPr>
                <w:rFonts w:ascii="Arial" w:cs="Arial" w:eastAsia="Arial" w:hAnsi="Arial"/>
                <w:sz w:val="18"/>
                <w:szCs w:val="18"/>
                <w:color w:val="auto"/>
              </w:rPr>
              <w:t>​$6,400,000</w:t>
            </w:r>
          </w:p>
        </w:tc>
        <w:tc>
          <w:tcPr>
            <w:tcW w:w="1140" w:type="dxa"/>
            <w:vAlign w:val="bottom"/>
            <w:gridSpan w:val="2"/>
          </w:tcPr>
          <w:p>
            <w:pPr>
              <w:jc w:val="right"/>
              <w:ind w:right="16"/>
              <w:spacing w:after="0"/>
              <w:rPr>
                <w:sz w:val="20"/>
                <w:szCs w:val="20"/>
                <w:color w:val="auto"/>
              </w:rPr>
            </w:pPr>
            <w:r>
              <w:rPr>
                <w:rFonts w:ascii="Arial" w:cs="Arial" w:eastAsia="Arial" w:hAnsi="Arial"/>
                <w:sz w:val="18"/>
                <w:szCs w:val="18"/>
                <w:color w:val="auto"/>
              </w:rPr>
              <w:t>​$7,007,000</w:t>
            </w:r>
          </w:p>
        </w:tc>
      </w:tr>
      <w:tr>
        <w:trPr>
          <w:trHeight w:val="257"/>
        </w:trPr>
        <w:tc>
          <w:tcPr>
            <w:tcW w:w="6460" w:type="dxa"/>
            <w:vAlign w:val="bottom"/>
            <w:shd w:val="clear" w:color="auto" w:fill="CBECD5"/>
          </w:tcPr>
          <w:p>
            <w:pPr>
              <w:ind w:left="120"/>
              <w:spacing w:after="0"/>
              <w:rPr>
                <w:sz w:val="20"/>
                <w:szCs w:val="20"/>
                <w:color w:val="auto"/>
              </w:rPr>
            </w:pPr>
            <w:r>
              <w:rPr>
                <w:rFonts w:ascii="Arial" w:cs="Arial" w:eastAsia="Arial" w:hAnsi="Arial"/>
                <w:sz w:val="18"/>
                <w:szCs w:val="18"/>
                <w:color w:val="auto"/>
              </w:rPr>
              <w:t>Audit-Related Fees</w:t>
            </w:r>
          </w:p>
        </w:tc>
        <w:tc>
          <w:tcPr>
            <w:tcW w:w="1160" w:type="dxa"/>
            <w:vAlign w:val="bottom"/>
            <w:shd w:val="clear" w:color="auto" w:fill="CBECD5"/>
          </w:tcPr>
          <w:p>
            <w:pPr>
              <w:ind w:left="120"/>
              <w:spacing w:after="0"/>
              <w:rPr>
                <w:sz w:val="20"/>
                <w:szCs w:val="20"/>
                <w:color w:val="auto"/>
              </w:rPr>
            </w:pPr>
            <w:r>
              <w:rPr>
                <w:rFonts w:ascii="Arial" w:cs="Arial" w:eastAsia="Arial" w:hAnsi="Arial"/>
                <w:sz w:val="18"/>
                <w:szCs w:val="18"/>
                <w:color w:val="auto"/>
              </w:rPr>
              <w:t>​$2,572,000</w:t>
            </w:r>
          </w:p>
        </w:tc>
        <w:tc>
          <w:tcPr>
            <w:tcW w:w="240" w:type="dxa"/>
            <w:vAlign w:val="bottom"/>
            <w:shd w:val="clear" w:color="auto" w:fill="CBECD5"/>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BECD5"/>
          </w:tcPr>
          <w:p>
            <w:pPr>
              <w:jc w:val="right"/>
              <w:ind w:right="16"/>
              <w:spacing w:after="0"/>
              <w:rPr>
                <w:sz w:val="20"/>
                <w:szCs w:val="20"/>
                <w:color w:val="auto"/>
              </w:rPr>
            </w:pPr>
            <w:r>
              <w:rPr>
                <w:rFonts w:ascii="Arial" w:cs="Arial" w:eastAsia="Arial" w:hAnsi="Arial"/>
                <w:sz w:val="18"/>
                <w:szCs w:val="18"/>
                <w:color w:val="auto"/>
              </w:rPr>
              <w:t>55,000</w:t>
            </w:r>
          </w:p>
        </w:tc>
      </w:tr>
      <w:tr>
        <w:trPr>
          <w:trHeight w:val="270"/>
        </w:trPr>
        <w:tc>
          <w:tcPr>
            <w:tcW w:w="6460" w:type="dxa"/>
            <w:vAlign w:val="bottom"/>
            <w:tcBorders>
              <w:bottom w:val="single" w:sz="8" w:color="CBECD5"/>
            </w:tcBorders>
          </w:tcPr>
          <w:p>
            <w:pPr>
              <w:ind w:left="120"/>
              <w:spacing w:after="0"/>
              <w:rPr>
                <w:sz w:val="20"/>
                <w:szCs w:val="20"/>
                <w:color w:val="auto"/>
              </w:rPr>
            </w:pPr>
            <w:r>
              <w:rPr>
                <w:rFonts w:ascii="Arial" w:cs="Arial" w:eastAsia="Arial" w:hAnsi="Arial"/>
                <w:sz w:val="18"/>
                <w:szCs w:val="18"/>
                <w:color w:val="auto"/>
              </w:rPr>
              <w:t>Tax Fees</w:t>
            </w:r>
          </w:p>
        </w:tc>
        <w:tc>
          <w:tcPr>
            <w:tcW w:w="1160" w:type="dxa"/>
            <w:vAlign w:val="bottom"/>
            <w:tcBorders>
              <w:bottom w:val="single" w:sz="8" w:color="auto"/>
            </w:tcBorders>
          </w:tcPr>
          <w:p>
            <w:pPr>
              <w:ind w:left="1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332,000</w:t>
            </w:r>
          </w:p>
        </w:tc>
        <w:tc>
          <w:tcPr>
            <w:tcW w:w="240" w:type="dxa"/>
            <w:vAlign w:val="bottom"/>
            <w:tcBorders>
              <w:bottom w:val="single" w:sz="8" w:color="auto"/>
            </w:tcBorders>
          </w:tcPr>
          <w:p>
            <w:pPr>
              <w:ind w:left="100"/>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31"/>
                <w:szCs w:val="31"/>
                <w:color w:val="auto"/>
                <w:vertAlign w:val="superscript"/>
              </w:rPr>
              <w:t>$</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186,000</w:t>
            </w:r>
          </w:p>
        </w:tc>
      </w:tr>
      <w:tr>
        <w:trPr>
          <w:trHeight w:val="298"/>
        </w:trPr>
        <w:tc>
          <w:tcPr>
            <w:tcW w:w="6460" w:type="dxa"/>
            <w:vAlign w:val="bottom"/>
            <w:tcBorders>
              <w:bottom w:val="single" w:sz="8" w:color="53C072"/>
            </w:tcBorders>
            <w:shd w:val="clear" w:color="auto" w:fill="CBECD5"/>
          </w:tcPr>
          <w:p>
            <w:pPr>
              <w:ind w:left="1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53C072"/>
            </w:tcBorders>
            <w:shd w:val="clear" w:color="auto" w:fill="CBECD5"/>
          </w:tcPr>
          <w:p>
            <w:pPr>
              <w:ind w:left="120"/>
              <w:spacing w:after="0" w:line="290"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$9,304,000</w:t>
            </w:r>
          </w:p>
        </w:tc>
        <w:tc>
          <w:tcPr>
            <w:tcW w:w="1140" w:type="dxa"/>
            <w:vAlign w:val="bottom"/>
            <w:tcBorders>
              <w:bottom w:val="single" w:sz="8" w:color="53C072"/>
            </w:tcBorders>
            <w:gridSpan w:val="2"/>
            <w:shd w:val="clear" w:color="auto" w:fill="CBECD5"/>
          </w:tcPr>
          <w:p>
            <w:pPr>
              <w:jc w:val="right"/>
              <w:ind w:right="16"/>
              <w:spacing w:after="0" w:line="290"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$7,248,000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-213995</wp:posOffset>
            </wp:positionV>
            <wp:extent cx="40976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150" w:lineRule="exact"/>
        <w:rPr>
          <w:sz w:val="20"/>
          <w:szCs w:val="20"/>
          <w:color w:val="auto"/>
        </w:rPr>
      </w:pPr>
    </w:p>
    <w:p>
      <w:pPr>
        <w:ind w:left="1000" w:right="299"/>
        <w:spacing w:after="0" w:line="257" w:lineRule="auto"/>
        <w:rPr>
          <w:sz w:val="20"/>
          <w:szCs w:val="20"/>
          <w:color w:val="auto"/>
        </w:rPr>
      </w:pPr>
      <w:r>
        <w:rPr>
          <w:rFonts w:ascii="Arial" w:cs="Arial" w:eastAsia="Arial" w:hAnsi="Arial"/>
          <w:sz w:val="18"/>
          <w:szCs w:val="18"/>
          <w:b w:val="1"/>
          <w:bCs w:val="1"/>
          <w:color w:val="53C072"/>
        </w:rPr>
        <w:t xml:space="preserve">Audit Fees. </w:t>
      </w:r>
      <w:r>
        <w:rPr>
          <w:rFonts w:ascii="Arial" w:cs="Arial" w:eastAsia="Arial" w:hAnsi="Arial"/>
          <w:sz w:val="18"/>
          <w:szCs w:val="18"/>
          <w:color w:val="000000"/>
        </w:rPr>
        <w:t>In both fiscal years, Audit Fees consisted of fees incurred for work performed by KPMG</w:t>
      </w:r>
      <w:r>
        <w:rPr>
          <w:rFonts w:ascii="Arial" w:cs="Arial" w:eastAsia="Arial" w:hAnsi="Arial"/>
          <w:sz w:val="18"/>
          <w:szCs w:val="18"/>
          <w:b w:val="1"/>
          <w:bCs w:val="1"/>
          <w:color w:val="53C072"/>
        </w:rPr>
        <w:t xml:space="preserve"> </w:t>
      </w:r>
      <w:r>
        <w:rPr>
          <w:rFonts w:ascii="Arial" w:cs="Arial" w:eastAsia="Arial" w:hAnsi="Arial"/>
          <w:sz w:val="18"/>
          <w:szCs w:val="18"/>
          <w:color w:val="000000"/>
        </w:rPr>
        <w:t>associated with the audit of the Company’s consolidated financial statements, including reviews performed on the Company’s Form 10-Q filings, certain statutory audits required for the Company’s subsidiaries, and fees in connection with the audit of internal controls over financial reporting pursuant to Section 404 of the Sarbanes-Oxley Act of 2002. Audit fees also included fees in connection with registration statements filed by the Company, including consents.</w:t>
      </w:r>
    </w:p>
    <w:p>
      <w:pPr>
        <w:spacing w:after="0" w:line="101" w:lineRule="exact"/>
        <w:rPr>
          <w:sz w:val="20"/>
          <w:szCs w:val="20"/>
          <w:color w:val="auto"/>
        </w:rPr>
      </w:pPr>
    </w:p>
    <w:p>
      <w:pPr>
        <w:ind w:left="1000" w:right="379"/>
        <w:spacing w:after="0" w:line="268" w:lineRule="auto"/>
        <w:rPr>
          <w:sz w:val="20"/>
          <w:szCs w:val="20"/>
          <w:color w:val="auto"/>
        </w:rPr>
      </w:pPr>
      <w:r>
        <w:rPr>
          <w:rFonts w:ascii="Arial" w:cs="Arial" w:eastAsia="Arial" w:hAnsi="Arial"/>
          <w:sz w:val="18"/>
          <w:szCs w:val="18"/>
          <w:b w:val="1"/>
          <w:bCs w:val="1"/>
          <w:color w:val="53C072"/>
        </w:rPr>
        <w:t xml:space="preserve">Audit-Related Fees. </w:t>
      </w:r>
      <w:r>
        <w:rPr>
          <w:rFonts w:ascii="Arial" w:cs="Arial" w:eastAsia="Arial" w:hAnsi="Arial"/>
          <w:sz w:val="18"/>
          <w:szCs w:val="18"/>
          <w:color w:val="000000"/>
        </w:rPr>
        <w:t>In both fiscal years, Audit-Related Fees included fees in connection with certain</w:t>
      </w:r>
      <w:r>
        <w:rPr>
          <w:rFonts w:ascii="Arial" w:cs="Arial" w:eastAsia="Arial" w:hAnsi="Arial"/>
          <w:sz w:val="18"/>
          <w:szCs w:val="18"/>
          <w:b w:val="1"/>
          <w:bCs w:val="1"/>
          <w:color w:val="53C072"/>
        </w:rPr>
        <w:t xml:space="preserve"> </w:t>
      </w:r>
      <w:r>
        <w:rPr>
          <w:rFonts w:ascii="Arial" w:cs="Arial" w:eastAsia="Arial" w:hAnsi="Arial"/>
          <w:sz w:val="18"/>
          <w:szCs w:val="18"/>
          <w:color w:val="000000"/>
        </w:rPr>
        <w:t>compliance-related services. In fiscal 2024, Audit-Related Fees also included due diligence services to assist with evaluating potential transactions.</w:t>
      </w:r>
    </w:p>
    <w:p>
      <w:pPr>
        <w:spacing w:after="0" w:line="103" w:lineRule="exact"/>
        <w:rPr>
          <w:sz w:val="20"/>
          <w:szCs w:val="20"/>
          <w:color w:val="auto"/>
        </w:rPr>
      </w:pPr>
    </w:p>
    <w:p>
      <w:pPr>
        <w:ind w:left="1000" w:right="159"/>
        <w:spacing w:after="0" w:line="291" w:lineRule="auto"/>
        <w:rPr>
          <w:sz w:val="20"/>
          <w:szCs w:val="20"/>
          <w:color w:val="auto"/>
        </w:rPr>
      </w:pPr>
      <w:r>
        <w:rPr>
          <w:rFonts w:ascii="Arial" w:cs="Arial" w:eastAsia="Arial" w:hAnsi="Arial"/>
          <w:sz w:val="17"/>
          <w:szCs w:val="17"/>
          <w:b w:val="1"/>
          <w:bCs w:val="1"/>
          <w:color w:val="53C072"/>
        </w:rPr>
        <w:t xml:space="preserve">Tax Fees. </w:t>
      </w:r>
      <w:r>
        <w:rPr>
          <w:rFonts w:ascii="Arial" w:cs="Arial" w:eastAsia="Arial" w:hAnsi="Arial"/>
          <w:sz w:val="17"/>
          <w:szCs w:val="17"/>
          <w:color w:val="000000"/>
        </w:rPr>
        <w:t>In both fiscal years, Tax Fees consisted of fees primarily for assistance with global tax compliance</w:t>
      </w:r>
      <w:r>
        <w:rPr>
          <w:rFonts w:ascii="Arial" w:cs="Arial" w:eastAsia="Arial" w:hAnsi="Arial"/>
          <w:sz w:val="17"/>
          <w:szCs w:val="17"/>
          <w:b w:val="1"/>
          <w:bCs w:val="1"/>
          <w:color w:val="53C072"/>
        </w:rPr>
        <w:t xml:space="preserve"> </w:t>
      </w:r>
      <w:r>
        <w:rPr>
          <w:rFonts w:ascii="Arial" w:cs="Arial" w:eastAsia="Arial" w:hAnsi="Arial"/>
          <w:sz w:val="17"/>
          <w:szCs w:val="17"/>
          <w:color w:val="000000"/>
        </w:rPr>
        <w:t>(federal, international, state, and local), tax audits, and tax advice. All services to be provided by the Company’s independent registered public accounting firm are subject to pre-approval by the Audit Committee.</w:t>
      </w:r>
    </w:p>
    <w:p>
      <w:pPr>
        <w:spacing w:after="0" w:line="85" w:lineRule="exact"/>
        <w:rPr>
          <w:sz w:val="20"/>
          <w:szCs w:val="20"/>
          <w:color w:val="auto"/>
        </w:rPr>
      </w:pPr>
    </w:p>
    <w:p>
      <w:pPr>
        <w:ind w:left="1000" w:right="159"/>
        <w:spacing w:after="0" w:line="257" w:lineRule="auto"/>
        <w:rPr>
          <w:sz w:val="20"/>
          <w:szCs w:val="20"/>
          <w:color w:val="auto"/>
        </w:rPr>
      </w:pPr>
      <w:r>
        <w:rPr>
          <w:rFonts w:ascii="Arial" w:cs="Arial" w:eastAsia="Arial" w:hAnsi="Arial"/>
          <w:sz w:val="18"/>
          <w:szCs w:val="18"/>
          <w:color w:val="auto"/>
        </w:rPr>
        <w:t>The Audit Committee has adopted an External Auditor Scope of Services Policy (“Scope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individual projects up to $250,000 with the total for such projects not to exceed $500,000, and must then report them to the full Audit Committee by the next Audit Committee meeting.</w:t>
      </w:r>
    </w:p>
    <w:p>
      <w:pPr>
        <w:spacing w:after="0" w:line="101" w:lineRule="exact"/>
        <w:rPr>
          <w:sz w:val="20"/>
          <w:szCs w:val="20"/>
          <w:color w:val="auto"/>
        </w:rPr>
      </w:pPr>
    </w:p>
    <w:p>
      <w:pPr>
        <w:ind w:left="1000" w:right="279"/>
        <w:spacing w:after="0" w:line="254" w:lineRule="auto"/>
        <w:rPr>
          <w:sz w:val="20"/>
          <w:szCs w:val="20"/>
          <w:color w:val="auto"/>
        </w:rPr>
      </w:pPr>
      <w:r>
        <w:rPr>
          <w:rFonts w:ascii="Arial" w:cs="Arial" w:eastAsia="Arial" w:hAnsi="Arial"/>
          <w:sz w:val="18"/>
          <w:szCs w:val="18"/>
          <w:color w:val="auto"/>
        </w:rPr>
        <w:t>As permitted by the SEC, the Audit Committee has also adopted a pre-approval policy (“Pre-Approval Policy”), whereby certain types of services up to specified cost levels have been pre-approved by the Audit Committee. Management monitors service requests to ensure they are consistent with the types of services approved by the Audit Committee and that the fee limits are not exceeded. Types of services not covered by the Pre-Approval Policy or services exceeding the pre-approved cost levels continue to be subject to pre-approval by the Audit Committee under the Scope Policy. Management provides quarterly reports to the Audit Committee regarding pre-approval requests related to the fees for projects requiring services by KPMG covered by the Scope Policy and regarding the nature and fee amounts for all pre-approved services under the Pre-Approval Policy. All services performed and related fees billed by KPMG during fiscal years 2024 and 2025 were pre-approved by the Audit Committee pursuant to regulations of the SEC.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82     </w:t>
      </w:r>
      <w:r>
        <w:rPr>
          <w:sz w:val="1"/>
          <w:szCs w:val="1"/>
          <w:color w:val="auto"/>
        </w:rPr>
        <w:drawing>
          <wp:inline distT="0" distB="0" distL="0" distR="0">
            <wp:extent cx="1242695" cy="24003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00"/>
        <w:spacing w:after="0"/>
        <w:rPr>
          <w:sz w:val="20"/>
          <w:szCs w:val="20"/>
          <w:color w:val="auto"/>
        </w:rPr>
      </w:pPr>
      <w:r>
        <w:rPr>
          <w:rFonts w:ascii="Arial" w:cs="Arial" w:eastAsia="Arial" w:hAnsi="Arial"/>
          <w:sz w:val="40"/>
          <w:szCs w:val="40"/>
          <w:b w:val="1"/>
          <w:bCs w:val="1"/>
          <w:color w:val="FEFEFE"/>
        </w:rPr>
        <w:t>AUDIT COMMITTEE REPORT</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ind w:left="1000" w:right="159"/>
        <w:spacing w:after="0" w:line="255" w:lineRule="auto"/>
        <w:rPr>
          <w:sz w:val="20"/>
          <w:szCs w:val="20"/>
          <w:color w:val="auto"/>
        </w:rPr>
      </w:pPr>
      <w:r>
        <w:rPr>
          <w:rFonts w:ascii="Arial" w:cs="Arial" w:eastAsia="Arial" w:hAnsi="Arial"/>
          <w:sz w:val="18"/>
          <w:szCs w:val="18"/>
          <w:color w:val="auto"/>
        </w:rPr>
        <w:t xml:space="preserve">The Audit Committee represents and assists the Board in fulfilling its oversight responsibilities with respect to the integrity of the Company’s financial statements, the independence, qualification and performance of the Company’s corporate internal audit function and its independent registered public accounting firm, and compliance with legal and regulatory requirements and certain corporate transactions. The Audit Committee operates under a written charter, which sets forth its purpose, member qualifications, authority, and responsibilities. The Audit Committee evaluates and assesses the effectiveness of the Audit Committee and the adequacy of its charter on an annual basis. The charter is available on the Company’s website at </w:t>
      </w:r>
      <w:r>
        <w:rPr>
          <w:rFonts w:ascii="Arial" w:cs="Arial" w:eastAsia="Arial" w:hAnsi="Arial"/>
          <w:sz w:val="18"/>
          <w:szCs w:val="18"/>
          <w:u w:val="single" w:color="auto"/>
          <w:color w:val="auto"/>
        </w:rPr>
        <w:t>https://ir.avnet.com/corporate-governance/ governance-documents</w:t>
      </w:r>
      <w:r>
        <w:rPr>
          <w:rFonts w:ascii="Arial" w:cs="Arial" w:eastAsia="Arial" w:hAnsi="Arial"/>
          <w:sz w:val="18"/>
          <w:szCs w:val="18"/>
          <w:color w:val="auto"/>
        </w:rPr>
        <w:t>.</w:t>
      </w:r>
    </w:p>
    <w:p>
      <w:pPr>
        <w:spacing w:after="0" w:line="50" w:lineRule="exact"/>
        <w:rPr>
          <w:sz w:val="20"/>
          <w:szCs w:val="20"/>
          <w:color w:val="auto"/>
        </w:rPr>
      </w:pPr>
    </w:p>
    <w:p>
      <w:pPr>
        <w:jc w:val="both"/>
        <w:ind w:left="1000" w:right="139"/>
        <w:spacing w:after="0" w:line="272" w:lineRule="auto"/>
        <w:rPr>
          <w:sz w:val="20"/>
          <w:szCs w:val="20"/>
          <w:color w:val="auto"/>
        </w:rPr>
      </w:pPr>
      <w:r>
        <w:rPr>
          <w:rFonts w:ascii="Arial" w:cs="Arial" w:eastAsia="Arial" w:hAnsi="Arial"/>
          <w:sz w:val="17"/>
          <w:szCs w:val="17"/>
          <w:color w:val="auto"/>
        </w:rPr>
        <w:t>The Audit Committee monitors the activities and performance of the Company’s internal audit function, including scope of reviews, department staffing levels, and reporting and follow-up procedures. The Audit Committee also meets regularly with the Company’s independent registered public accounting firm in executive sessions.</w:t>
      </w:r>
    </w:p>
    <w:p>
      <w:pPr>
        <w:spacing w:after="0" w:line="1" w:lineRule="exact"/>
        <w:rPr>
          <w:sz w:val="20"/>
          <w:szCs w:val="20"/>
          <w:color w:val="auto"/>
        </w:rPr>
      </w:pPr>
    </w:p>
    <w:p>
      <w:pPr>
        <w:ind w:left="1000" w:right="159"/>
        <w:spacing w:after="0" w:line="275" w:lineRule="auto"/>
        <w:rPr>
          <w:sz w:val="20"/>
          <w:szCs w:val="20"/>
          <w:color w:val="auto"/>
        </w:rPr>
      </w:pPr>
      <w:r>
        <w:rPr>
          <w:rFonts w:ascii="Arial" w:cs="Arial" w:eastAsia="Arial" w:hAnsi="Arial"/>
          <w:sz w:val="17"/>
          <w:szCs w:val="17"/>
          <w:color w:val="auto"/>
        </w:rPr>
        <w:t>Management has responsibility for the preparation, presentation, and integrity of the Company’s financial statements and the reporting process, including the system of internal controls. The Audit Committee previously oversaw the policies and results with respect to risk assessment, including risks related to data protection and cybersecurity. These areas were transitioned to the Technology and Risk Committee on January 1, 2025.</w:t>
      </w:r>
    </w:p>
    <w:p>
      <w:pPr>
        <w:spacing w:after="0" w:line="31" w:lineRule="exact"/>
        <w:rPr>
          <w:sz w:val="20"/>
          <w:szCs w:val="20"/>
          <w:color w:val="auto"/>
        </w:rPr>
      </w:pPr>
    </w:p>
    <w:p>
      <w:pPr>
        <w:ind w:left="1000" w:right="199"/>
        <w:spacing w:after="0" w:line="254" w:lineRule="auto"/>
        <w:rPr>
          <w:sz w:val="20"/>
          <w:szCs w:val="20"/>
          <w:color w:val="auto"/>
        </w:rPr>
      </w:pPr>
      <w:r>
        <w:rPr>
          <w:rFonts w:ascii="Arial" w:cs="Arial" w:eastAsia="Arial" w:hAnsi="Arial"/>
          <w:sz w:val="18"/>
          <w:szCs w:val="18"/>
          <w:color w:val="auto"/>
        </w:rPr>
        <w:t>The Audit Committee meets with the independent registered public accounting firm and management to review the Company’s financial results before the Company publishes quarterly earnings press releases and before it files quarterly reports on Form 10-Q and an annual report on Form 10-K. The Audit Committee also monitors the activities and performance of the Company’s independent registered public accounting firm, including audit scope, audit fees, auditor independence, and non-audit services. The independent registered public accounting firm’s services are subject to pre-approval by the Audit Committee. As permitted by the SEC, the Audit Committee has approved a pre-approval policy, whereby certain types of services up to specified cost levels have been pre-approved by the Committee and approval has been delegated to management. Types of services not covered by the policy or services exceeding the pre-approved cost levels continue to be subject to pre-approval by the Audit Committee. Management provides quarterly reports to the Audit Committee on the nature and fee amounts for all such pre-approved services.</w:t>
      </w:r>
    </w:p>
    <w:p>
      <w:pPr>
        <w:spacing w:after="0" w:line="47" w:lineRule="exact"/>
        <w:rPr>
          <w:sz w:val="20"/>
          <w:szCs w:val="20"/>
          <w:color w:val="auto"/>
        </w:rPr>
      </w:pPr>
    </w:p>
    <w:p>
      <w:pPr>
        <w:ind w:left="1000" w:right="159"/>
        <w:spacing w:after="0" w:line="269" w:lineRule="auto"/>
        <w:rPr>
          <w:sz w:val="20"/>
          <w:szCs w:val="20"/>
          <w:color w:val="auto"/>
        </w:rPr>
      </w:pPr>
      <w:r>
        <w:rPr>
          <w:rFonts w:ascii="Arial" w:cs="Arial" w:eastAsia="Arial" w:hAnsi="Arial"/>
          <w:sz w:val="17"/>
          <w:szCs w:val="17"/>
          <w:color w:val="auto"/>
        </w:rPr>
        <w:t>The Audit Committee has reviewed and discussed the audited financial statements for fiscal 2025 with management and KPMG LLP, which was the Company’s independent registered public accounting firm for fiscal 2025. This review included a discussion with KPMG and management of the Company’s accounting principles, the reasonableness of significant estimates and judgments, including disclosure of critical accounting policies, and the conduct of the audit. The Audit Committee has discussed with KPMG the matters required to be discussed under the applicable requirements of the Public Company Accounting Oversight Board (“PCAOB”) and the SEC. The Audit Committee received the written disclosures and the letter from KPMG required by the applicable requirements of the PCAOB regarding KPMG’s communications with the Audit Committee concerning independence and the Audit Committee discussed with KPMG its independence. The Audit Committee has concluded that KPMG is independent from the Company and its management. KPMG also discussed with the Audit Committee its internal quality control procedures. In reliance on this review and these discussions, and the report of KPMG, the Audit Committee has recommended to the Board, and the Board has approved, the inclusion of the audited financial statements in the Company’s Annual Report on Form 10-K for the year ended June 28, 2025, for filing with the Securities and Exchange Commission.</w:t>
      </w:r>
    </w:p>
    <w:p>
      <w:pPr>
        <w:sectPr>
          <w:pgSz w:w="11900" w:h="16838" w:orient="portrait"/>
          <w:cols w:equalWidth="0" w:num="1">
            <w:col w:w="9879"/>
          </w:cols>
          <w:pgMar w:left="580" w:top="97" w:right="1440" w:bottom="1440" w:gutter="0" w:footer="0" w:header="0"/>
        </w:sectPr>
      </w:pPr>
    </w:p>
    <w:p>
      <w:pPr>
        <w:spacing w:after="0" w:line="78"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Ernest E. Maddock, Chair</w:t>
      </w:r>
    </w:p>
    <w:p>
      <w:pPr>
        <w:spacing w:after="0" w:line="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Helmut Gassel</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Virginia L. Henkels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Oleg Khaykin</w:t>
      </w:r>
    </w:p>
    <w:p>
      <w:pPr>
        <w:spacing w:after="0" w:line="200" w:lineRule="exact"/>
        <w:rPr>
          <w:sz w:val="20"/>
          <w:szCs w:val="20"/>
          <w:color w:val="auto"/>
        </w:rPr>
      </w:pPr>
    </w:p>
    <w:p>
      <w:pPr>
        <w:sectPr>
          <w:pgSz w:w="11900" w:h="16838" w:orient="portrait"/>
          <w:cols w:equalWidth="0" w:num="2">
            <w:col w:w="4760" w:space="720"/>
            <w:col w:w="43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6858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860"/>
        <w:spacing w:after="0"/>
        <w:rPr>
          <w:sz w:val="20"/>
          <w:szCs w:val="20"/>
          <w:color w:val="auto"/>
        </w:rPr>
      </w:pPr>
      <w:r>
        <w:rPr>
          <w:rFonts w:ascii="Arial" w:cs="Arial" w:eastAsia="Arial" w:hAnsi="Arial"/>
          <w:sz w:val="40"/>
          <w:szCs w:val="40"/>
          <w:b w:val="1"/>
          <w:bCs w:val="1"/>
          <w:color w:val="FEFEFE"/>
        </w:rPr>
        <w:t>SHAREHOLDER PROPOSALS AND</w:t>
      </w:r>
    </w:p>
    <w:p>
      <w:pPr>
        <w:spacing w:after="0" w:line="53" w:lineRule="exact"/>
        <w:rPr>
          <w:sz w:val="20"/>
          <w:szCs w:val="20"/>
          <w:color w:val="auto"/>
        </w:rPr>
      </w:pPr>
    </w:p>
    <w:p>
      <w:pPr>
        <w:jc w:val="center"/>
        <w:ind w:right="-900"/>
        <w:spacing w:after="0"/>
        <w:rPr>
          <w:sz w:val="20"/>
          <w:szCs w:val="20"/>
          <w:color w:val="auto"/>
        </w:rPr>
      </w:pPr>
      <w:r>
        <w:rPr>
          <w:rFonts w:ascii="Arial" w:cs="Arial" w:eastAsia="Arial" w:hAnsi="Arial"/>
          <w:sz w:val="40"/>
          <w:szCs w:val="40"/>
          <w:b w:val="1"/>
          <w:bCs w:val="1"/>
          <w:color w:val="FEFEFE"/>
        </w:rPr>
        <w:t>NOMINATIONS</w:t>
      </w:r>
      <w:r>
        <w:rPr>
          <w:rFonts w:ascii="Times New Roman" w:cs="Times New Roman" w:eastAsia="Times New Roman" w:hAnsi="Times New Roman"/>
          <w:sz w:val="17"/>
          <w:szCs w:val="17"/>
          <w:color w:val="FEFEFE"/>
        </w:rPr>
        <w:t>​</w:t>
      </w:r>
    </w:p>
    <w:p>
      <w:pPr>
        <w:spacing w:after="0" w:line="379" w:lineRule="exact"/>
        <w:rPr>
          <w:sz w:val="20"/>
          <w:szCs w:val="20"/>
          <w:color w:val="auto"/>
        </w:rPr>
      </w:pPr>
    </w:p>
    <w:p>
      <w:pPr>
        <w:ind w:left="1000" w:right="459"/>
        <w:spacing w:after="0" w:line="268" w:lineRule="auto"/>
        <w:rPr>
          <w:sz w:val="20"/>
          <w:szCs w:val="20"/>
          <w:color w:val="auto"/>
        </w:rPr>
      </w:pPr>
      <w:r>
        <w:rPr>
          <w:rFonts w:ascii="Arial" w:cs="Arial" w:eastAsia="Arial" w:hAnsi="Arial"/>
          <w:sz w:val="18"/>
          <w:szCs w:val="18"/>
          <w:color w:val="auto"/>
        </w:rPr>
        <w:t>The Company did not receive any requests from shareholders for a matter or a Director nominee to be submitted to a vote at the 2025 Annual Meeting or to be included in the Company’s 2025 proxy statement or proxy card.</w:t>
      </w:r>
    </w:p>
    <w:p>
      <w:pPr>
        <w:spacing w:after="0" w:line="103" w:lineRule="exact"/>
        <w:rPr>
          <w:sz w:val="20"/>
          <w:szCs w:val="20"/>
          <w:color w:val="auto"/>
        </w:rPr>
      </w:pPr>
    </w:p>
    <w:p>
      <w:pPr>
        <w:ind w:left="1000" w:right="339"/>
        <w:spacing w:after="0" w:line="262" w:lineRule="auto"/>
        <w:rPr>
          <w:sz w:val="20"/>
          <w:szCs w:val="20"/>
          <w:color w:val="auto"/>
        </w:rPr>
      </w:pPr>
      <w:r>
        <w:rPr>
          <w:rFonts w:ascii="Arial" w:cs="Arial" w:eastAsia="Arial" w:hAnsi="Arial"/>
          <w:sz w:val="18"/>
          <w:szCs w:val="18"/>
          <w:color w:val="auto"/>
        </w:rPr>
        <w:t>Under SEC rules or pursuant to the Company’s By-laws, shareholders may submit proposals or director nominations that they believe should be voted on at an annual shareholder meeting or may recommend persons for nomination to the Board of Directors. There are several alternatives a shareholder may use and a summary of those alternatives follows.</w:t>
      </w:r>
    </w:p>
    <w:p>
      <w:pPr>
        <w:spacing w:after="0" w:line="95" w:lineRule="exact"/>
        <w:rPr>
          <w:sz w:val="20"/>
          <w:szCs w:val="20"/>
          <w:color w:val="auto"/>
        </w:rPr>
      </w:pPr>
    </w:p>
    <w:p>
      <w:pPr>
        <w:ind w:left="1000" w:right="199"/>
        <w:spacing w:after="0" w:line="259" w:lineRule="auto"/>
        <w:rPr>
          <w:sz w:val="20"/>
          <w:szCs w:val="20"/>
          <w:color w:val="auto"/>
        </w:rPr>
      </w:pPr>
      <w:r>
        <w:rPr>
          <w:rFonts w:ascii="Arial" w:cs="Arial" w:eastAsia="Arial" w:hAnsi="Arial"/>
          <w:sz w:val="18"/>
          <w:szCs w:val="18"/>
          <w:color w:val="auto"/>
        </w:rPr>
        <w:t>Under Rule 14a-8 of the Exchange Act, certain shareholder proposals may be eligible to be included in the Company’s 2026 proxy statement. Such shareholder proposals must be submitted, along with proof of ownership of the Company’s Common Stock and other required materials, in accordance with Rule 14a-8(b), to the Company’s Corporate Secretary at: Avnet, Inc., 2211 South 47th Street, Phoenix, Arizona 85034. All shareholder proposals submitted pursuant to Rule 14a-8 must be received by June 9, 2026.</w:t>
      </w:r>
    </w:p>
    <w:p>
      <w:pPr>
        <w:spacing w:after="0" w:line="112" w:lineRule="exact"/>
        <w:rPr>
          <w:sz w:val="20"/>
          <w:szCs w:val="20"/>
          <w:color w:val="auto"/>
        </w:rPr>
      </w:pPr>
    </w:p>
    <w:p>
      <w:pPr>
        <w:ind w:left="1000" w:right="179"/>
        <w:spacing w:after="0" w:line="301" w:lineRule="auto"/>
        <w:rPr>
          <w:sz w:val="20"/>
          <w:szCs w:val="20"/>
          <w:color w:val="auto"/>
        </w:rPr>
      </w:pPr>
      <w:r>
        <w:rPr>
          <w:rFonts w:ascii="Arial" w:cs="Arial" w:eastAsia="Arial" w:hAnsi="Arial"/>
          <w:sz w:val="17"/>
          <w:szCs w:val="17"/>
          <w:color w:val="auto"/>
        </w:rPr>
        <w:t>For information regarding how to nominate a Director candidate for consideration by the Corporate Governance Committee, please see “Corporate Governance — Director Nominations” in this Proxy Statement.</w:t>
      </w:r>
    </w:p>
    <w:p>
      <w:pPr>
        <w:spacing w:after="0" w:line="63" w:lineRule="exact"/>
        <w:rPr>
          <w:sz w:val="20"/>
          <w:szCs w:val="20"/>
          <w:color w:val="auto"/>
        </w:rPr>
      </w:pPr>
    </w:p>
    <w:p>
      <w:pPr>
        <w:ind w:left="1000" w:right="159"/>
        <w:spacing w:after="0" w:line="254" w:lineRule="auto"/>
        <w:rPr>
          <w:sz w:val="20"/>
          <w:szCs w:val="20"/>
          <w:color w:val="auto"/>
        </w:rPr>
      </w:pPr>
      <w:r>
        <w:rPr>
          <w:rFonts w:ascii="Arial" w:cs="Arial" w:eastAsia="Arial" w:hAnsi="Arial"/>
          <w:sz w:val="18"/>
          <w:szCs w:val="18"/>
          <w:color w:val="auto"/>
        </w:rPr>
        <w:t>Alternatively, under the Company’s By-laws, any shareholder wishing to appear at the 2026 Annual Meeting and submit a proposal or nominate a person as a Director candidate must submit the proposal or nomination to the Company’s Corporate Secretary not earlier than June 18, 2026, and not later than July 21, 2026 and comply with the requirements of the Company’s By-laws. Any such shareholder proposal or Director nomination will not appear in the Company’s proxy statement. However, Director nominations may be included on the Company’s proxy card if the additional requirements under Rule 14a-19 of the Exchange Act, known as the Universal Proxy Rule, and the By-laws are complied with. If notice is received by the Company after July 21, 2026, then such notice will be considered untimely. The Company reserves the right to reject, rule out of order, or take other appropriate action with respect to any proposal that does not comply with these and other applicable requirements.</w:t>
      </w:r>
    </w:p>
    <w:p>
      <w:pPr>
        <w:spacing w:after="0" w:line="118" w:lineRule="exact"/>
        <w:rPr>
          <w:sz w:val="20"/>
          <w:szCs w:val="20"/>
          <w:color w:val="auto"/>
        </w:rPr>
      </w:pPr>
    </w:p>
    <w:p>
      <w:pPr>
        <w:ind w:left="1000" w:right="859"/>
        <w:spacing w:after="0" w:line="287" w:lineRule="auto"/>
        <w:rPr>
          <w:sz w:val="20"/>
          <w:szCs w:val="20"/>
          <w:color w:val="auto"/>
        </w:rPr>
      </w:pPr>
      <w:r>
        <w:rPr>
          <w:rFonts w:ascii="Arial" w:cs="Arial" w:eastAsia="Arial" w:hAnsi="Arial"/>
          <w:sz w:val="18"/>
          <w:szCs w:val="18"/>
          <w:color w:val="auto"/>
        </w:rPr>
        <w:t>The persons named as proxies in the proxy materials relating to the 2026 Annual Meeting will use their discretion in voting the proxies when these matters are raised at the meeting.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84     </w:t>
      </w:r>
      <w:r>
        <w:rPr>
          <w:sz w:val="1"/>
          <w:szCs w:val="1"/>
          <w:color w:val="auto"/>
        </w:rPr>
        <w:drawing>
          <wp:inline distT="0" distB="0" distL="0" distR="0">
            <wp:extent cx="1242695" cy="24003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9944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55498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1580" w:right="380"/>
        <w:spacing w:after="0" w:line="269" w:lineRule="auto"/>
        <w:rPr>
          <w:sz w:val="20"/>
          <w:szCs w:val="20"/>
          <w:color w:val="auto"/>
        </w:rPr>
      </w:pPr>
      <w:r>
        <w:rPr>
          <w:rFonts w:ascii="Arial" w:cs="Arial" w:eastAsia="Arial" w:hAnsi="Arial"/>
          <w:sz w:val="40"/>
          <w:szCs w:val="40"/>
          <w:b w:val="1"/>
          <w:bCs w:val="1"/>
          <w:color w:val="FEFEFE"/>
        </w:rPr>
        <w:t>DELIVERY OF DOCUMENTS TO SHAREHOLDERS WITH SAME LAST NAME AND ADDRESS</w:t>
      </w:r>
      <w:r>
        <w:rPr>
          <w:rFonts w:ascii="Times New Roman" w:cs="Times New Roman" w:eastAsia="Times New Roman" w:hAnsi="Times New Roman"/>
          <w:sz w:val="17"/>
          <w:szCs w:val="17"/>
          <w:color w:val="FEFEFE"/>
        </w:rPr>
        <w:t>​</w:t>
      </w:r>
    </w:p>
    <w:p>
      <w:pPr>
        <w:spacing w:after="0" w:line="291" w:lineRule="exact"/>
        <w:rPr>
          <w:sz w:val="20"/>
          <w:szCs w:val="20"/>
          <w:color w:val="auto"/>
        </w:rPr>
      </w:pPr>
    </w:p>
    <w:p>
      <w:pPr>
        <w:ind w:left="1000" w:right="179"/>
        <w:spacing w:after="0" w:line="259" w:lineRule="auto"/>
        <w:rPr>
          <w:sz w:val="20"/>
          <w:szCs w:val="20"/>
          <w:color w:val="auto"/>
        </w:rPr>
      </w:pPr>
      <w:r>
        <w:rPr>
          <w:rFonts w:ascii="Arial" w:cs="Arial" w:eastAsia="Arial" w:hAnsi="Arial"/>
          <w:sz w:val="18"/>
          <w:szCs w:val="18"/>
          <w:color w:val="auto"/>
        </w:rPr>
        <w:t>Pursuant to SEC rules, the Company is sending only a single copy of its proxy materials or Notice of Availability of Proxy Materials, as applicable, to shareholders who share the same last name and address, unless they have notified the Company that they want to continue receiving multiple copies. This practice, known as “householding,” is designed to reduce duplicate mailings and save significant printing and postage costs as well as natural resources.</w:t>
      </w:r>
    </w:p>
    <w:p>
      <w:pPr>
        <w:spacing w:after="0" w:line="112" w:lineRule="exact"/>
        <w:rPr>
          <w:sz w:val="20"/>
          <w:szCs w:val="20"/>
          <w:color w:val="auto"/>
        </w:rPr>
      </w:pPr>
    </w:p>
    <w:p>
      <w:pPr>
        <w:ind w:left="1000" w:right="279"/>
        <w:spacing w:after="0" w:line="262" w:lineRule="auto"/>
        <w:rPr>
          <w:sz w:val="20"/>
          <w:szCs w:val="20"/>
          <w:color w:val="auto"/>
        </w:rPr>
      </w:pPr>
      <w:r>
        <w:rPr>
          <w:rFonts w:ascii="Arial" w:cs="Arial" w:eastAsia="Arial" w:hAnsi="Arial"/>
          <w:sz w:val="18"/>
          <w:szCs w:val="18"/>
          <w:color w:val="auto"/>
        </w:rPr>
        <w:t>Householding for bank and brokerage accounts is limited to accounts within the same bank or brokerage firm. For example, if you and your spouse share the same last name and address, and you and your spouse each have two accounts containing the Company’s Common Stock at two different brokerage firms, your household will receive two copies of the Company’s proxy materials, one from each brokerage firm.</w:t>
      </w:r>
    </w:p>
    <w:p>
      <w:pPr>
        <w:spacing w:after="0" w:line="95" w:lineRule="exact"/>
        <w:rPr>
          <w:sz w:val="20"/>
          <w:szCs w:val="20"/>
          <w:color w:val="auto"/>
        </w:rPr>
      </w:pPr>
    </w:p>
    <w:p>
      <w:pPr>
        <w:ind w:left="1000" w:right="199"/>
        <w:spacing w:after="0" w:line="259" w:lineRule="auto"/>
        <w:rPr>
          <w:sz w:val="20"/>
          <w:szCs w:val="20"/>
          <w:color w:val="auto"/>
        </w:rPr>
      </w:pPr>
      <w:r>
        <w:rPr>
          <w:rFonts w:ascii="Arial" w:cs="Arial" w:eastAsia="Arial" w:hAnsi="Arial"/>
          <w:sz w:val="18"/>
          <w:szCs w:val="18"/>
          <w:color w:val="auto"/>
        </w:rPr>
        <w:t xml:space="preserve">If you received a household mailing this year and you would like to have separate proxy materials mailed to you, or you would like to opt out of this practice for future mailings, please submit your request by mail to Corporate Secretary, Avnet, Inc., 2211 South 47th Street, Phoenix, Arizona 85034 or by email to </w:t>
      </w:r>
      <w:r>
        <w:rPr>
          <w:rFonts w:ascii="Arial" w:cs="Arial" w:eastAsia="Arial" w:hAnsi="Arial"/>
          <w:sz w:val="18"/>
          <w:szCs w:val="18"/>
          <w:u w:val="single" w:color="auto"/>
          <w:color w:val="auto"/>
        </w:rPr>
        <w:t>corporatesecretary@avnet.com</w:t>
      </w:r>
      <w:r>
        <w:rPr>
          <w:rFonts w:ascii="Arial" w:cs="Arial" w:eastAsia="Arial" w:hAnsi="Arial"/>
          <w:sz w:val="18"/>
          <w:szCs w:val="18"/>
          <w:color w:val="auto"/>
        </w:rPr>
        <w:t>. Similarly, you may also contact the Company if you received multiple copies of the proxy materials and would prefer to receive a single copy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151765</wp:posOffset>
            </wp:positionV>
            <wp:extent cx="5554980" cy="3257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39" w:lineRule="exact"/>
        <w:rPr>
          <w:sz w:val="20"/>
          <w:szCs w:val="20"/>
          <w:color w:val="auto"/>
        </w:rPr>
      </w:pPr>
    </w:p>
    <w:p>
      <w:pPr>
        <w:ind w:left="4420"/>
        <w:spacing w:after="0"/>
        <w:rPr>
          <w:sz w:val="20"/>
          <w:szCs w:val="20"/>
          <w:color w:val="auto"/>
        </w:rPr>
      </w:pPr>
      <w:r>
        <w:rPr>
          <w:rFonts w:ascii="Arial" w:cs="Arial" w:eastAsia="Arial" w:hAnsi="Arial"/>
          <w:sz w:val="40"/>
          <w:szCs w:val="40"/>
          <w:b w:val="1"/>
          <w:bCs w:val="1"/>
          <w:color w:val="FEFEFE"/>
        </w:rPr>
        <w:t>GENERAL</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ind w:left="1000" w:right="159"/>
        <w:spacing w:after="0" w:line="257" w:lineRule="auto"/>
        <w:rPr>
          <w:sz w:val="20"/>
          <w:szCs w:val="20"/>
          <w:color w:val="auto"/>
        </w:rPr>
      </w:pPr>
      <w:r>
        <w:rPr>
          <w:rFonts w:ascii="Arial" w:cs="Arial" w:eastAsia="Arial" w:hAnsi="Arial"/>
          <w:sz w:val="18"/>
          <w:szCs w:val="18"/>
          <w:color w:val="auto"/>
        </w:rPr>
        <w:t>Upon written request of any shareholder entitled to receive this Proxy Statement, the Company will provide, without charge, a copy of its Annual Report on Form 10-K, including the consolidated financial statements, the notes thereto and financial statement schedules, as filed with the SEC. Any such request should be addressed to the Corporate Secretary, Avnet, Inc., 2211 South 47th Street, Phoenix, Arizona 85034. This request must include a representation by the shareholder that as of September 22, 2025, the shareholder is entitled to vote at the Annual Meeting.</w:t>
      </w:r>
    </w:p>
    <w:p>
      <w:pPr>
        <w:spacing w:after="0" w:line="11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PLEASE SIGN, DATE AND MAIL YOUR PROXY NOW</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OR SUBMIT YOUR PROXY BY TELEPHONE OR THE INTERNET.</w:t>
      </w:r>
    </w:p>
    <w:p>
      <w:pPr>
        <w:spacing w:after="0" w:line="128" w:lineRule="exact"/>
        <w:rPr>
          <w:sz w:val="20"/>
          <w:szCs w:val="20"/>
          <w:color w:val="auto"/>
        </w:rPr>
      </w:pPr>
    </w:p>
    <w:p>
      <w:pPr>
        <w:ind w:left="2800"/>
        <w:spacing w:after="0"/>
        <w:rPr>
          <w:sz w:val="20"/>
          <w:szCs w:val="20"/>
          <w:color w:val="auto"/>
        </w:rPr>
      </w:pPr>
      <w:r>
        <w:rPr>
          <w:rFonts w:ascii="Arial" w:cs="Arial" w:eastAsia="Arial" w:hAnsi="Arial"/>
          <w:sz w:val="18"/>
          <w:szCs w:val="18"/>
          <w:b w:val="1"/>
          <w:bCs w:val="1"/>
          <w:i w:val="1"/>
          <w:iCs w:val="1"/>
          <w:color w:val="auto"/>
        </w:rPr>
        <w:t>THE COMPANY APPRECIATES YOUR PROMPT RESPONSE!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180"/>
        <w:spacing w:after="0"/>
        <w:rPr>
          <w:sz w:val="20"/>
          <w:szCs w:val="20"/>
          <w:color w:val="auto"/>
        </w:rPr>
      </w:pPr>
      <w:r>
        <w:rPr>
          <w:rFonts w:ascii="Arial" w:cs="Arial" w:eastAsia="Arial" w:hAnsi="Arial"/>
          <w:sz w:val="40"/>
          <w:szCs w:val="40"/>
          <w:b w:val="1"/>
          <w:bCs w:val="1"/>
          <w:color w:val="FEFEFE"/>
        </w:rPr>
        <w:t>APPENDIX A</w:t>
      </w:r>
      <w:r>
        <w:rPr>
          <w:rFonts w:ascii="Times New Roman" w:cs="Times New Roman" w:eastAsia="Times New Roman" w:hAnsi="Times New Roman"/>
          <w:sz w:val="17"/>
          <w:szCs w:val="17"/>
          <w:color w:val="FEFEFE"/>
        </w:rPr>
        <w:t>​</w:t>
      </w:r>
    </w:p>
    <w:p>
      <w:pPr>
        <w:spacing w:after="0" w:line="22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RECONCILIATION OF NON-GAAP MEASURES</w:t>
      </w:r>
    </w:p>
    <w:p>
      <w:pPr>
        <w:spacing w:after="0" w:line="148" w:lineRule="exact"/>
        <w:rPr>
          <w:sz w:val="20"/>
          <w:szCs w:val="20"/>
          <w:color w:val="auto"/>
        </w:rPr>
      </w:pPr>
    </w:p>
    <w:p>
      <w:pPr>
        <w:ind w:left="1000" w:right="139"/>
        <w:spacing w:after="0" w:line="287" w:lineRule="auto"/>
        <w:rPr>
          <w:sz w:val="20"/>
          <w:szCs w:val="20"/>
          <w:color w:val="auto"/>
        </w:rPr>
      </w:pPr>
      <w:r>
        <w:rPr>
          <w:rFonts w:ascii="Arial" w:cs="Arial" w:eastAsia="Arial" w:hAnsi="Arial"/>
          <w:sz w:val="18"/>
          <w:szCs w:val="18"/>
          <w:color w:val="auto"/>
        </w:rPr>
        <w:t>The table below presents a reconciliation of each non-GAAP financial measure included in this Proxy Statement to the most comparable GAAP financial measure for the fiscal years 2023 through 2025.</w:t>
      </w:r>
    </w:p>
    <w:p>
      <w:pPr>
        <w:spacing w:after="0" w:line="145" w:lineRule="exact"/>
        <w:rPr>
          <w:sz w:val="20"/>
          <w:szCs w:val="20"/>
          <w:color w:val="auto"/>
        </w:rPr>
      </w:pPr>
    </w:p>
    <w:tbl>
      <w:tblPr>
        <w:tblLayout w:type="fixed"/>
        <w:tblInd w:w="980" w:type="dxa"/>
        <w:tblCellMar>
          <w:top w:w="0" w:type="dxa"/>
          <w:left w:w="0" w:type="dxa"/>
          <w:bottom w:w="0" w:type="dxa"/>
          <w:right w:w="0" w:type="dxa"/>
        </w:tblCellMar>
      </w:tblPr>
      <w:tr>
        <w:trPr>
          <w:trHeight w:val="228"/>
        </w:trPr>
        <w:tc>
          <w:tcPr>
            <w:tcW w:w="5820" w:type="dxa"/>
            <w:vAlign w:val="bottom"/>
            <w:tcBorders>
              <w:bottom w:val="single" w:sz="8" w:color="53C072"/>
            </w:tcBorders>
            <w:shd w:val="clear" w:color="auto" w:fill="53C072"/>
          </w:tcPr>
          <w:p>
            <w:pPr>
              <w:spacing w:after="0"/>
              <w:rPr>
                <w:sz w:val="19"/>
                <w:szCs w:val="19"/>
                <w:color w:val="auto"/>
              </w:rPr>
            </w:pPr>
          </w:p>
        </w:tc>
        <w:tc>
          <w:tcPr>
            <w:tcW w:w="140" w:type="dxa"/>
            <w:vAlign w:val="bottom"/>
            <w:tcBorders>
              <w:bottom w:val="single" w:sz="8" w:color="53C072"/>
            </w:tcBorders>
            <w:shd w:val="clear" w:color="auto" w:fill="53C072"/>
          </w:tcPr>
          <w:p>
            <w:pPr>
              <w:spacing w:after="0"/>
              <w:rPr>
                <w:sz w:val="19"/>
                <w:szCs w:val="19"/>
                <w:color w:val="auto"/>
              </w:rPr>
            </w:pPr>
          </w:p>
        </w:tc>
        <w:tc>
          <w:tcPr>
            <w:tcW w:w="60" w:type="dxa"/>
            <w:vAlign w:val="bottom"/>
            <w:tcBorders>
              <w:bottom w:val="single" w:sz="8" w:color="auto"/>
            </w:tcBorders>
            <w:shd w:val="clear" w:color="auto" w:fill="53C072"/>
          </w:tcPr>
          <w:p>
            <w:pPr>
              <w:spacing w:after="0"/>
              <w:rPr>
                <w:sz w:val="19"/>
                <w:szCs w:val="19"/>
                <w:color w:val="auto"/>
              </w:rPr>
            </w:pPr>
          </w:p>
        </w:tc>
        <w:tc>
          <w:tcPr>
            <w:tcW w:w="740" w:type="dxa"/>
            <w:vAlign w:val="bottom"/>
            <w:tcBorders>
              <w:bottom w:val="single" w:sz="8" w:color="auto"/>
            </w:tcBorders>
            <w:shd w:val="clear" w:color="auto" w:fill="53C072"/>
          </w:tcPr>
          <w:p>
            <w:pPr>
              <w:spacing w:after="0"/>
              <w:rPr>
                <w:sz w:val="19"/>
                <w:szCs w:val="19"/>
                <w:color w:val="auto"/>
              </w:rPr>
            </w:pPr>
          </w:p>
        </w:tc>
        <w:tc>
          <w:tcPr>
            <w:tcW w:w="1160" w:type="dxa"/>
            <w:vAlign w:val="bottom"/>
            <w:tcBorders>
              <w:bottom w:val="single" w:sz="8" w:color="auto"/>
            </w:tcBorders>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w w:val="99"/>
              </w:rPr>
              <w:t>Fiscal Year 2025</w:t>
            </w:r>
          </w:p>
        </w:tc>
        <w:tc>
          <w:tcPr>
            <w:tcW w:w="720" w:type="dxa"/>
            <w:vAlign w:val="bottom"/>
            <w:tcBorders>
              <w:bottom w:val="single" w:sz="8" w:color="auto"/>
            </w:tcBorders>
            <w:shd w:val="clear" w:color="auto" w:fill="53C072"/>
          </w:tcPr>
          <w:p>
            <w:pPr>
              <w:spacing w:after="0"/>
              <w:rPr>
                <w:sz w:val="19"/>
                <w:szCs w:val="19"/>
                <w:color w:val="auto"/>
              </w:rPr>
            </w:pPr>
          </w:p>
        </w:tc>
        <w:tc>
          <w:tcPr>
            <w:tcW w:w="120" w:type="dxa"/>
            <w:vAlign w:val="bottom"/>
            <w:tcBorders>
              <w:bottom w:val="single" w:sz="8" w:color="53C072"/>
            </w:tcBorders>
            <w:shd w:val="clear" w:color="auto" w:fill="53C072"/>
          </w:tcPr>
          <w:p>
            <w:pPr>
              <w:spacing w:after="0"/>
              <w:rPr>
                <w:sz w:val="19"/>
                <w:szCs w:val="19"/>
                <w:color w:val="auto"/>
              </w:rPr>
            </w:pPr>
          </w:p>
        </w:tc>
      </w:tr>
      <w:tr>
        <w:trPr>
          <w:trHeight w:val="174"/>
        </w:trPr>
        <w:tc>
          <w:tcPr>
            <w:tcW w:w="5820" w:type="dxa"/>
            <w:vAlign w:val="bottom"/>
            <w:shd w:val="clear" w:color="auto" w:fill="53C072"/>
          </w:tcPr>
          <w:p>
            <w:pPr>
              <w:spacing w:after="0"/>
              <w:rPr>
                <w:sz w:val="15"/>
                <w:szCs w:val="15"/>
                <w:color w:val="auto"/>
              </w:rPr>
            </w:pPr>
          </w:p>
        </w:tc>
        <w:tc>
          <w:tcPr>
            <w:tcW w:w="140" w:type="dxa"/>
            <w:vAlign w:val="bottom"/>
            <w:shd w:val="clear" w:color="auto" w:fill="53C072"/>
          </w:tcPr>
          <w:p>
            <w:pPr>
              <w:spacing w:after="0"/>
              <w:rPr>
                <w:sz w:val="15"/>
                <w:szCs w:val="15"/>
                <w:color w:val="auto"/>
              </w:rPr>
            </w:pPr>
          </w:p>
        </w:tc>
        <w:tc>
          <w:tcPr>
            <w:tcW w:w="60" w:type="dxa"/>
            <w:vAlign w:val="bottom"/>
            <w:shd w:val="clear" w:color="auto" w:fill="53C072"/>
          </w:tcPr>
          <w:p>
            <w:pPr>
              <w:spacing w:after="0"/>
              <w:rPr>
                <w:sz w:val="15"/>
                <w:szCs w:val="15"/>
                <w:color w:val="auto"/>
              </w:rPr>
            </w:pPr>
          </w:p>
        </w:tc>
        <w:tc>
          <w:tcPr>
            <w:tcW w:w="740" w:type="dxa"/>
            <w:vAlign w:val="bottom"/>
            <w:shd w:val="clear" w:color="auto" w:fill="53C072"/>
          </w:tcPr>
          <w:p>
            <w:pPr>
              <w:spacing w:after="0"/>
              <w:rPr>
                <w:sz w:val="15"/>
                <w:szCs w:val="15"/>
                <w:color w:val="auto"/>
              </w:rPr>
            </w:pPr>
          </w:p>
        </w:tc>
        <w:tc>
          <w:tcPr>
            <w:tcW w:w="320" w:type="dxa"/>
            <w:vAlign w:val="bottom"/>
            <w:shd w:val="clear" w:color="auto" w:fill="53C072"/>
          </w:tcPr>
          <w:p>
            <w:pPr>
              <w:spacing w:after="0"/>
              <w:rPr>
                <w:sz w:val="15"/>
                <w:szCs w:val="15"/>
                <w:color w:val="auto"/>
              </w:rPr>
            </w:pPr>
          </w:p>
        </w:tc>
        <w:tc>
          <w:tcPr>
            <w:tcW w:w="840" w:type="dxa"/>
            <w:vAlign w:val="bottom"/>
            <w:shd w:val="clear" w:color="auto" w:fill="53C072"/>
          </w:tcPr>
          <w:p>
            <w:pPr>
              <w:spacing w:after="0"/>
              <w:rPr>
                <w:sz w:val="15"/>
                <w:szCs w:val="15"/>
                <w:color w:val="auto"/>
              </w:rPr>
            </w:pPr>
          </w:p>
        </w:tc>
        <w:tc>
          <w:tcPr>
            <w:tcW w:w="840" w:type="dxa"/>
            <w:vAlign w:val="bottom"/>
            <w:gridSpan w:val="2"/>
            <w:shd w:val="clear" w:color="auto" w:fill="53C072"/>
          </w:tcPr>
          <w:p>
            <w:pPr>
              <w:jc w:val="right"/>
              <w:ind w:right="160"/>
              <w:spacing w:after="0"/>
              <w:rPr>
                <w:sz w:val="20"/>
                <w:szCs w:val="20"/>
                <w:color w:val="auto"/>
              </w:rPr>
            </w:pPr>
            <w:r>
              <w:rPr>
                <w:rFonts w:ascii="Arial" w:cs="Arial" w:eastAsia="Arial" w:hAnsi="Arial"/>
                <w:sz w:val="14"/>
                <w:szCs w:val="14"/>
                <w:b w:val="1"/>
                <w:bCs w:val="1"/>
                <w:color w:val="FEFEFE"/>
              </w:rPr>
              <w:t>Diluted</w:t>
            </w:r>
          </w:p>
        </w:tc>
      </w:tr>
      <w:tr>
        <w:trPr>
          <w:trHeight w:val="162"/>
        </w:trPr>
        <w:tc>
          <w:tcPr>
            <w:tcW w:w="5820" w:type="dxa"/>
            <w:vAlign w:val="bottom"/>
            <w:shd w:val="clear" w:color="auto" w:fill="53C072"/>
          </w:tcPr>
          <w:p>
            <w:pPr>
              <w:spacing w:after="0"/>
              <w:rPr>
                <w:sz w:val="14"/>
                <w:szCs w:val="14"/>
                <w:color w:val="auto"/>
              </w:rPr>
            </w:pPr>
          </w:p>
        </w:tc>
        <w:tc>
          <w:tcPr>
            <w:tcW w:w="140" w:type="dxa"/>
            <w:vAlign w:val="bottom"/>
            <w:shd w:val="clear" w:color="auto" w:fill="53C072"/>
          </w:tcPr>
          <w:p>
            <w:pPr>
              <w:spacing w:after="0"/>
              <w:rPr>
                <w:sz w:val="14"/>
                <w:szCs w:val="14"/>
                <w:color w:val="auto"/>
              </w:rPr>
            </w:pPr>
          </w:p>
        </w:tc>
        <w:tc>
          <w:tcPr>
            <w:tcW w:w="60" w:type="dxa"/>
            <w:vAlign w:val="bottom"/>
            <w:shd w:val="clear" w:color="auto" w:fill="53C072"/>
          </w:tcPr>
          <w:p>
            <w:pPr>
              <w:spacing w:after="0"/>
              <w:rPr>
                <w:sz w:val="14"/>
                <w:szCs w:val="14"/>
                <w:color w:val="auto"/>
              </w:rPr>
            </w:pP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w w:val="99"/>
              </w:rPr>
              <w:t>Operating</w:t>
            </w:r>
          </w:p>
        </w:tc>
        <w:tc>
          <w:tcPr>
            <w:tcW w:w="320" w:type="dxa"/>
            <w:vAlign w:val="bottom"/>
            <w:shd w:val="clear" w:color="auto" w:fill="53C072"/>
          </w:tcPr>
          <w:p>
            <w:pPr>
              <w:spacing w:after="0"/>
              <w:rPr>
                <w:sz w:val="14"/>
                <w:szCs w:val="14"/>
                <w:color w:val="auto"/>
              </w:rPr>
            </w:pPr>
          </w:p>
        </w:tc>
        <w:tc>
          <w:tcPr>
            <w:tcW w:w="840" w:type="dxa"/>
            <w:vAlign w:val="bottom"/>
            <w:shd w:val="clear" w:color="auto" w:fill="53C072"/>
          </w:tcPr>
          <w:p>
            <w:pPr>
              <w:jc w:val="right"/>
              <w:ind w:right="135"/>
              <w:spacing w:after="0"/>
              <w:rPr>
                <w:sz w:val="20"/>
                <w:szCs w:val="20"/>
                <w:color w:val="auto"/>
              </w:rPr>
            </w:pPr>
            <w:r>
              <w:rPr>
                <w:rFonts w:ascii="Arial" w:cs="Arial" w:eastAsia="Arial" w:hAnsi="Arial"/>
                <w:sz w:val="14"/>
                <w:szCs w:val="14"/>
                <w:b w:val="1"/>
                <w:bCs w:val="1"/>
                <w:color w:val="FEFEFE"/>
              </w:rPr>
              <w:t>Net</w:t>
            </w:r>
          </w:p>
        </w:tc>
        <w:tc>
          <w:tcPr>
            <w:tcW w:w="840" w:type="dxa"/>
            <w:vAlign w:val="bottom"/>
            <w:gridSpan w:val="2"/>
            <w:shd w:val="clear" w:color="auto" w:fill="53C072"/>
          </w:tcPr>
          <w:p>
            <w:pPr>
              <w:jc w:val="right"/>
              <w:ind w:right="160"/>
              <w:spacing w:after="0"/>
              <w:rPr>
                <w:sz w:val="20"/>
                <w:szCs w:val="20"/>
                <w:color w:val="auto"/>
              </w:rPr>
            </w:pPr>
            <w:r>
              <w:rPr>
                <w:rFonts w:ascii="Arial" w:cs="Arial" w:eastAsia="Arial" w:hAnsi="Arial"/>
                <w:sz w:val="14"/>
                <w:szCs w:val="14"/>
                <w:b w:val="1"/>
                <w:bCs w:val="1"/>
                <w:color w:val="FEFEFE"/>
              </w:rPr>
              <w:t>Earnings</w:t>
            </w:r>
          </w:p>
        </w:tc>
      </w:tr>
      <w:tr>
        <w:trPr>
          <w:trHeight w:val="171"/>
        </w:trPr>
        <w:tc>
          <w:tcPr>
            <w:tcW w:w="5820" w:type="dxa"/>
            <w:vAlign w:val="bottom"/>
            <w:shd w:val="clear" w:color="auto" w:fill="53C072"/>
          </w:tcPr>
          <w:p>
            <w:pPr>
              <w:spacing w:after="0"/>
              <w:rPr>
                <w:sz w:val="14"/>
                <w:szCs w:val="14"/>
                <w:color w:val="auto"/>
              </w:rPr>
            </w:pPr>
          </w:p>
        </w:tc>
        <w:tc>
          <w:tcPr>
            <w:tcW w:w="140" w:type="dxa"/>
            <w:vAlign w:val="bottom"/>
            <w:shd w:val="clear" w:color="auto" w:fill="53C072"/>
          </w:tcPr>
          <w:p>
            <w:pPr>
              <w:spacing w:after="0"/>
              <w:rPr>
                <w:sz w:val="14"/>
                <w:szCs w:val="14"/>
                <w:color w:val="auto"/>
              </w:rPr>
            </w:pPr>
          </w:p>
        </w:tc>
        <w:tc>
          <w:tcPr>
            <w:tcW w:w="60" w:type="dxa"/>
            <w:vAlign w:val="bottom"/>
            <w:shd w:val="clear" w:color="auto" w:fill="53C072"/>
          </w:tcPr>
          <w:p>
            <w:pPr>
              <w:spacing w:after="0"/>
              <w:rPr>
                <w:sz w:val="14"/>
                <w:szCs w:val="14"/>
                <w:color w:val="auto"/>
              </w:rPr>
            </w:pP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Income</w:t>
            </w:r>
          </w:p>
        </w:tc>
        <w:tc>
          <w:tcPr>
            <w:tcW w:w="320" w:type="dxa"/>
            <w:vAlign w:val="bottom"/>
            <w:shd w:val="clear" w:color="auto" w:fill="53C072"/>
          </w:tcPr>
          <w:p>
            <w:pPr>
              <w:spacing w:after="0"/>
              <w:rPr>
                <w:sz w:val="14"/>
                <w:szCs w:val="14"/>
                <w:color w:val="auto"/>
              </w:rPr>
            </w:pPr>
          </w:p>
        </w:tc>
        <w:tc>
          <w:tcPr>
            <w:tcW w:w="840" w:type="dxa"/>
            <w:vAlign w:val="bottom"/>
            <w:shd w:val="clear" w:color="auto" w:fill="53C072"/>
          </w:tcPr>
          <w:p>
            <w:pPr>
              <w:jc w:val="right"/>
              <w:ind w:right="95"/>
              <w:spacing w:after="0"/>
              <w:rPr>
                <w:sz w:val="20"/>
                <w:szCs w:val="20"/>
                <w:color w:val="auto"/>
              </w:rPr>
            </w:pPr>
            <w:r>
              <w:rPr>
                <w:rFonts w:ascii="Arial" w:cs="Arial" w:eastAsia="Arial" w:hAnsi="Arial"/>
                <w:sz w:val="14"/>
                <w:szCs w:val="14"/>
                <w:b w:val="1"/>
                <w:bCs w:val="1"/>
                <w:color w:val="FEFEFE"/>
              </w:rPr>
              <w:t>Income</w:t>
            </w:r>
          </w:p>
        </w:tc>
        <w:tc>
          <w:tcPr>
            <w:tcW w:w="840" w:type="dxa"/>
            <w:vAlign w:val="bottom"/>
            <w:gridSpan w:val="2"/>
            <w:shd w:val="clear" w:color="auto" w:fill="53C072"/>
          </w:tcPr>
          <w:p>
            <w:pPr>
              <w:jc w:val="right"/>
              <w:ind w:right="120"/>
              <w:spacing w:after="0"/>
              <w:rPr>
                <w:sz w:val="20"/>
                <w:szCs w:val="20"/>
                <w:color w:val="auto"/>
              </w:rPr>
            </w:pPr>
            <w:r>
              <w:rPr>
                <w:rFonts w:ascii="Arial" w:cs="Arial" w:eastAsia="Arial" w:hAnsi="Arial"/>
                <w:sz w:val="14"/>
                <w:szCs w:val="14"/>
                <w:b w:val="1"/>
                <w:bCs w:val="1"/>
                <w:color w:val="FEFEFE"/>
              </w:rPr>
              <w:t>Per Share</w:t>
            </w:r>
          </w:p>
        </w:tc>
      </w:tr>
      <w:tr>
        <w:trPr>
          <w:trHeight w:val="216"/>
        </w:trPr>
        <w:tc>
          <w:tcPr>
            <w:tcW w:w="5820" w:type="dxa"/>
            <w:vAlign w:val="bottom"/>
            <w:shd w:val="clear" w:color="auto" w:fill="53C072"/>
          </w:tcPr>
          <w:p>
            <w:pPr>
              <w:spacing w:after="0"/>
              <w:rPr>
                <w:sz w:val="18"/>
                <w:szCs w:val="18"/>
                <w:color w:val="auto"/>
              </w:rPr>
            </w:pPr>
          </w:p>
        </w:tc>
        <w:tc>
          <w:tcPr>
            <w:tcW w:w="140" w:type="dxa"/>
            <w:vAlign w:val="bottom"/>
            <w:shd w:val="clear" w:color="auto" w:fill="53C072"/>
          </w:tcPr>
          <w:p>
            <w:pPr>
              <w:spacing w:after="0"/>
              <w:rPr>
                <w:sz w:val="18"/>
                <w:szCs w:val="18"/>
                <w:color w:val="auto"/>
              </w:rPr>
            </w:pPr>
          </w:p>
        </w:tc>
        <w:tc>
          <w:tcPr>
            <w:tcW w:w="60" w:type="dxa"/>
            <w:vAlign w:val="bottom"/>
            <w:shd w:val="clear" w:color="auto" w:fill="53C072"/>
          </w:tcPr>
          <w:p>
            <w:pPr>
              <w:spacing w:after="0"/>
              <w:rPr>
                <w:sz w:val="18"/>
                <w:szCs w:val="18"/>
                <w:color w:val="auto"/>
              </w:rPr>
            </w:pPr>
          </w:p>
        </w:tc>
        <w:tc>
          <w:tcPr>
            <w:tcW w:w="2740" w:type="dxa"/>
            <w:vAlign w:val="bottom"/>
            <w:gridSpan w:val="5"/>
            <w:shd w:val="clear" w:color="auto" w:fill="53C072"/>
          </w:tcPr>
          <w:p>
            <w:pPr>
              <w:jc w:val="right"/>
              <w:ind w:right="120"/>
              <w:spacing w:after="0"/>
              <w:rPr>
                <w:sz w:val="20"/>
                <w:szCs w:val="20"/>
                <w:color w:val="auto"/>
              </w:rPr>
            </w:pPr>
            <w:r>
              <w:rPr>
                <w:rFonts w:ascii="Arial" w:cs="Arial" w:eastAsia="Arial" w:hAnsi="Arial"/>
                <w:sz w:val="14"/>
                <w:szCs w:val="14"/>
                <w:b w:val="1"/>
                <w:bCs w:val="1"/>
                <w:color w:val="FEFEFE"/>
              </w:rPr>
              <w:t>(thousands except per share data)</w:t>
            </w:r>
          </w:p>
        </w:tc>
      </w:tr>
      <w:tr>
        <w:trPr>
          <w:trHeight w:val="243"/>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GAAP results</w:t>
            </w:r>
          </w:p>
        </w:tc>
        <w:tc>
          <w:tcPr>
            <w:tcW w:w="1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​$514,254</w:t>
            </w:r>
          </w:p>
        </w:tc>
        <w:tc>
          <w:tcPr>
            <w:tcW w:w="1160" w:type="dxa"/>
            <w:vAlign w:val="bottom"/>
            <w:gridSpan w:val="2"/>
          </w:tcPr>
          <w:p>
            <w:pPr>
              <w:jc w:val="right"/>
              <w:ind w:right="95"/>
              <w:spacing w:after="0"/>
              <w:rPr>
                <w:sz w:val="20"/>
                <w:szCs w:val="20"/>
                <w:color w:val="auto"/>
              </w:rPr>
            </w:pPr>
            <w:r>
              <w:rPr>
                <w:rFonts w:ascii="Arial" w:cs="Arial" w:eastAsia="Arial" w:hAnsi="Arial"/>
                <w:sz w:val="18"/>
                <w:szCs w:val="18"/>
                <w:b w:val="1"/>
                <w:bCs w:val="1"/>
                <w:color w:val="auto"/>
              </w:rPr>
              <w:t>​$240,217</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120" w:type="dxa"/>
            <w:vAlign w:val="bottom"/>
          </w:tcPr>
          <w:p>
            <w:pPr>
              <w:spacing w:after="0"/>
              <w:rPr>
                <w:sz w:val="21"/>
                <w:szCs w:val="21"/>
                <w:color w:val="auto"/>
              </w:rPr>
            </w:pPr>
          </w:p>
        </w:tc>
      </w:tr>
      <w:tr>
        <w:trPr>
          <w:trHeight w:val="243"/>
        </w:trPr>
        <w:tc>
          <w:tcPr>
            <w:tcW w:w="58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Restructuring, integration and other expenses</w:t>
            </w:r>
          </w:p>
        </w:tc>
        <w:tc>
          <w:tcPr>
            <w:tcW w:w="140" w:type="dxa"/>
            <w:vAlign w:val="bottom"/>
            <w:shd w:val="clear" w:color="auto" w:fill="CBECD5"/>
          </w:tcPr>
          <w:p>
            <w:pPr>
              <w:spacing w:after="0"/>
              <w:rPr>
                <w:sz w:val="21"/>
                <w:szCs w:val="21"/>
                <w:color w:val="auto"/>
              </w:rPr>
            </w:pPr>
          </w:p>
        </w:tc>
        <w:tc>
          <w:tcPr>
            <w:tcW w:w="800" w:type="dxa"/>
            <w:vAlign w:val="bottom"/>
            <w:gridSpan w:val="2"/>
            <w:shd w:val="clear" w:color="auto" w:fill="CBECD5"/>
          </w:tcPr>
          <w:p>
            <w:pPr>
              <w:jc w:val="right"/>
              <w:spacing w:after="0"/>
              <w:rPr>
                <w:sz w:val="20"/>
                <w:szCs w:val="20"/>
                <w:color w:val="auto"/>
              </w:rPr>
            </w:pPr>
            <w:r>
              <w:rPr>
                <w:rFonts w:ascii="Arial" w:cs="Arial" w:eastAsia="Arial" w:hAnsi="Arial"/>
                <w:sz w:val="18"/>
                <w:szCs w:val="18"/>
                <w:color w:val="auto"/>
              </w:rPr>
              <w:t>​ 108,316</w:t>
            </w:r>
          </w:p>
        </w:tc>
        <w:tc>
          <w:tcPr>
            <w:tcW w:w="320" w:type="dxa"/>
            <w:vAlign w:val="bottom"/>
            <w:shd w:val="clear" w:color="auto" w:fill="CBECD5"/>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95"/>
              <w:spacing w:after="0"/>
              <w:rPr>
                <w:sz w:val="20"/>
                <w:szCs w:val="20"/>
                <w:color w:val="auto"/>
              </w:rPr>
            </w:pPr>
            <w:r>
              <w:rPr>
                <w:rFonts w:ascii="Arial" w:cs="Arial" w:eastAsia="Arial" w:hAnsi="Arial"/>
                <w:sz w:val="18"/>
                <w:szCs w:val="18"/>
                <w:color w:val="auto"/>
              </w:rPr>
              <w:t>87,645</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BECD5"/>
          </w:tcPr>
          <w:p>
            <w:pPr>
              <w:spacing w:after="0"/>
              <w:rPr>
                <w:sz w:val="21"/>
                <w:szCs w:val="21"/>
                <w:color w:val="auto"/>
              </w:rPr>
            </w:pPr>
          </w:p>
        </w:tc>
      </w:tr>
      <w:tr>
        <w:trPr>
          <w:trHeight w:val="243"/>
        </w:trPr>
        <w:tc>
          <w:tcPr>
            <w:tcW w:w="5820" w:type="dxa"/>
            <w:vAlign w:val="bottom"/>
          </w:tcPr>
          <w:p>
            <w:pPr>
              <w:ind w:left="120"/>
              <w:spacing w:after="0"/>
              <w:rPr>
                <w:sz w:val="20"/>
                <w:szCs w:val="20"/>
                <w:color w:val="auto"/>
              </w:rPr>
            </w:pPr>
            <w:r>
              <w:rPr>
                <w:rFonts w:ascii="Arial" w:cs="Arial" w:eastAsia="Arial" w:hAnsi="Arial"/>
                <w:sz w:val="18"/>
                <w:szCs w:val="18"/>
                <w:color w:val="auto"/>
              </w:rPr>
              <w:t>Amortization of intangible assets and other</w:t>
            </w:r>
          </w:p>
        </w:tc>
        <w:tc>
          <w:tcPr>
            <w:tcW w:w="140" w:type="dxa"/>
            <w:vAlign w:val="bottom"/>
          </w:tcPr>
          <w:p>
            <w:pPr>
              <w:spacing w:after="0"/>
              <w:rPr>
                <w:sz w:val="21"/>
                <w:szCs w:val="21"/>
                <w:color w:val="auto"/>
              </w:rPr>
            </w:pP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1,463</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1,117</w:t>
            </w:r>
          </w:p>
        </w:tc>
        <w:tc>
          <w:tcPr>
            <w:tcW w:w="7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r>
      <w:tr>
        <w:trPr>
          <w:trHeight w:val="243"/>
        </w:trPr>
        <w:tc>
          <w:tcPr>
            <w:tcW w:w="58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Foreign currency loss and other, net</w:t>
            </w:r>
          </w:p>
        </w:tc>
        <w:tc>
          <w:tcPr>
            <w:tcW w:w="140" w:type="dxa"/>
            <w:vAlign w:val="bottom"/>
            <w:shd w:val="clear" w:color="auto" w:fill="CBECD5"/>
          </w:tcPr>
          <w:p>
            <w:pPr>
              <w:spacing w:after="0"/>
              <w:rPr>
                <w:sz w:val="21"/>
                <w:szCs w:val="21"/>
                <w:color w:val="auto"/>
              </w:rPr>
            </w:pPr>
          </w:p>
        </w:tc>
        <w:tc>
          <w:tcPr>
            <w:tcW w:w="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BECD5"/>
          </w:tcPr>
          <w:p>
            <w:pPr>
              <w:spacing w:after="0"/>
              <w:rPr>
                <w:sz w:val="21"/>
                <w:szCs w:val="21"/>
                <w:color w:val="auto"/>
              </w:rPr>
            </w:pPr>
          </w:p>
        </w:tc>
        <w:tc>
          <w:tcPr>
            <w:tcW w:w="320" w:type="dxa"/>
            <w:vAlign w:val="bottom"/>
            <w:shd w:val="clear" w:color="auto" w:fill="CBECD5"/>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95"/>
              <w:spacing w:after="0"/>
              <w:rPr>
                <w:sz w:val="20"/>
                <w:szCs w:val="20"/>
                <w:color w:val="auto"/>
              </w:rPr>
            </w:pPr>
            <w:r>
              <w:rPr>
                <w:rFonts w:ascii="Arial" w:cs="Arial" w:eastAsia="Arial" w:hAnsi="Arial"/>
                <w:sz w:val="18"/>
                <w:szCs w:val="18"/>
                <w:color w:val="auto"/>
              </w:rPr>
              <w:t>20,831</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BECD5"/>
          </w:tcPr>
          <w:p>
            <w:pPr>
              <w:spacing w:after="0"/>
              <w:rPr>
                <w:sz w:val="21"/>
                <w:szCs w:val="21"/>
                <w:color w:val="auto"/>
              </w:rPr>
            </w:pPr>
          </w:p>
        </w:tc>
      </w:tr>
      <w:tr>
        <w:trPr>
          <w:trHeight w:val="243"/>
        </w:trPr>
        <w:tc>
          <w:tcPr>
            <w:tcW w:w="5820" w:type="dxa"/>
            <w:vAlign w:val="bottom"/>
          </w:tcPr>
          <w:p>
            <w:pPr>
              <w:ind w:left="120"/>
              <w:spacing w:after="0"/>
              <w:rPr>
                <w:sz w:val="20"/>
                <w:szCs w:val="20"/>
                <w:color w:val="auto"/>
              </w:rPr>
            </w:pPr>
            <w:r>
              <w:rPr>
                <w:rFonts w:ascii="Arial" w:cs="Arial" w:eastAsia="Arial" w:hAnsi="Arial"/>
                <w:sz w:val="18"/>
                <w:szCs w:val="18"/>
                <w:color w:val="auto"/>
              </w:rPr>
              <w:t>Income tax adjustments</w:t>
            </w:r>
          </w:p>
        </w:tc>
        <w:tc>
          <w:tcPr>
            <w:tcW w:w="140" w:type="dxa"/>
            <w:vAlign w:val="bottom"/>
          </w:tcPr>
          <w:p>
            <w:pPr>
              <w:spacing w:after="0"/>
              <w:rPr>
                <w:sz w:val="21"/>
                <w:szCs w:val="21"/>
                <w:color w:val="auto"/>
              </w:rPr>
            </w:pP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(49,527)</w:t>
            </w:r>
          </w:p>
        </w:tc>
        <w:tc>
          <w:tcPr>
            <w:tcW w:w="720" w:type="dxa"/>
            <w:vAlign w:val="bottom"/>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1"/>
                <w:szCs w:val="21"/>
                <w:color w:val="auto"/>
              </w:rPr>
            </w:pPr>
          </w:p>
        </w:tc>
      </w:tr>
      <w:tr>
        <w:trPr>
          <w:trHeight w:val="243"/>
        </w:trPr>
        <w:tc>
          <w:tcPr>
            <w:tcW w:w="58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Total adjustments</w:t>
            </w:r>
          </w:p>
        </w:tc>
        <w:tc>
          <w:tcPr>
            <w:tcW w:w="140" w:type="dxa"/>
            <w:vAlign w:val="bottom"/>
            <w:shd w:val="clear" w:color="auto" w:fill="CBECD5"/>
          </w:tcPr>
          <w:p>
            <w:pPr>
              <w:spacing w:after="0"/>
              <w:rPr>
                <w:sz w:val="21"/>
                <w:szCs w:val="21"/>
                <w:color w:val="auto"/>
              </w:rPr>
            </w:pPr>
          </w:p>
        </w:tc>
        <w:tc>
          <w:tcPr>
            <w:tcW w:w="800" w:type="dxa"/>
            <w:vAlign w:val="bottom"/>
            <w:gridSpan w:val="2"/>
            <w:shd w:val="clear" w:color="auto" w:fill="CBECD5"/>
          </w:tcPr>
          <w:p>
            <w:pPr>
              <w:jc w:val="right"/>
              <w:spacing w:after="0"/>
              <w:rPr>
                <w:sz w:val="20"/>
                <w:szCs w:val="20"/>
                <w:color w:val="auto"/>
              </w:rPr>
            </w:pPr>
            <w:r>
              <w:rPr>
                <w:rFonts w:ascii="Arial" w:cs="Arial" w:eastAsia="Arial" w:hAnsi="Arial"/>
                <w:sz w:val="18"/>
                <w:szCs w:val="18"/>
                <w:color w:val="auto"/>
              </w:rPr>
              <w:t>​ 109,779</w:t>
            </w:r>
          </w:p>
        </w:tc>
        <w:tc>
          <w:tcPr>
            <w:tcW w:w="320" w:type="dxa"/>
            <w:vAlign w:val="bottom"/>
            <w:shd w:val="clear" w:color="auto" w:fill="CBECD5"/>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95"/>
              <w:spacing w:after="0"/>
              <w:rPr>
                <w:sz w:val="20"/>
                <w:szCs w:val="20"/>
                <w:color w:val="auto"/>
              </w:rPr>
            </w:pPr>
            <w:r>
              <w:rPr>
                <w:rFonts w:ascii="Arial" w:cs="Arial" w:eastAsia="Arial" w:hAnsi="Arial"/>
                <w:sz w:val="18"/>
                <w:szCs w:val="18"/>
                <w:color w:val="auto"/>
              </w:rPr>
              <w:t>60,066</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0.69</w:t>
            </w:r>
          </w:p>
        </w:tc>
        <w:tc>
          <w:tcPr>
            <w:tcW w:w="120" w:type="dxa"/>
            <w:vAlign w:val="bottom"/>
            <w:shd w:val="clear" w:color="auto" w:fill="CBECD5"/>
          </w:tcPr>
          <w:p>
            <w:pPr>
              <w:spacing w:after="0"/>
              <w:rPr>
                <w:sz w:val="21"/>
                <w:szCs w:val="21"/>
                <w:color w:val="auto"/>
              </w:rPr>
            </w:pPr>
          </w:p>
        </w:tc>
      </w:tr>
      <w:tr>
        <w:trPr>
          <w:trHeight w:val="291"/>
        </w:trPr>
        <w:tc>
          <w:tcPr>
            <w:tcW w:w="5820" w:type="dxa"/>
            <w:vAlign w:val="bottom"/>
            <w:tcBorders>
              <w:bottom w:val="single" w:sz="8" w:color="53C072"/>
            </w:tcBorders>
          </w:tcPr>
          <w:p>
            <w:pPr>
              <w:ind w:left="120"/>
              <w:spacing w:after="0"/>
              <w:rPr>
                <w:sz w:val="20"/>
                <w:szCs w:val="20"/>
                <w:color w:val="auto"/>
              </w:rPr>
            </w:pPr>
            <w:r>
              <w:rPr>
                <w:rFonts w:ascii="Arial" w:cs="Arial" w:eastAsia="Arial" w:hAnsi="Arial"/>
                <w:sz w:val="18"/>
                <w:szCs w:val="18"/>
                <w:b w:val="1"/>
                <w:bCs w:val="1"/>
                <w:color w:val="auto"/>
              </w:rPr>
              <w:t>Adjusted non-GAAP results</w:t>
            </w:r>
          </w:p>
        </w:tc>
        <w:tc>
          <w:tcPr>
            <w:tcW w:w="140" w:type="dxa"/>
            <w:vAlign w:val="bottom"/>
            <w:tcBorders>
              <w:bottom w:val="single" w:sz="8" w:color="53C072"/>
            </w:tcBorders>
          </w:tcPr>
          <w:p>
            <w:pPr>
              <w:spacing w:after="0"/>
              <w:rPr>
                <w:sz w:val="24"/>
                <w:szCs w:val="24"/>
                <w:color w:val="auto"/>
              </w:rPr>
            </w:pPr>
          </w:p>
        </w:tc>
        <w:tc>
          <w:tcPr>
            <w:tcW w:w="800" w:type="dxa"/>
            <w:vAlign w:val="bottom"/>
            <w:tcBorders>
              <w:bottom w:val="single" w:sz="8" w:color="53C072"/>
            </w:tcBorders>
            <w:gridSpan w:val="2"/>
          </w:tcPr>
          <w:p>
            <w:pPr>
              <w:jc w:val="right"/>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7"/>
                <w:szCs w:val="17"/>
                <w:b w:val="1"/>
                <w:bCs w:val="1"/>
                <w:color w:val="auto"/>
              </w:rPr>
              <w:t>$624,033</w:t>
            </w:r>
          </w:p>
        </w:tc>
        <w:tc>
          <w:tcPr>
            <w:tcW w:w="1160" w:type="dxa"/>
            <w:vAlign w:val="bottom"/>
            <w:tcBorders>
              <w:bottom w:val="single" w:sz="8" w:color="53C072"/>
            </w:tcBorders>
            <w:gridSpan w:val="2"/>
          </w:tcPr>
          <w:p>
            <w:pPr>
              <w:jc w:val="right"/>
              <w:ind w:right="95"/>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7"/>
                <w:szCs w:val="17"/>
                <w:b w:val="1"/>
                <w:bCs w:val="1"/>
                <w:color w:val="auto"/>
              </w:rPr>
              <w:t>$300,283</w:t>
            </w:r>
          </w:p>
        </w:tc>
        <w:tc>
          <w:tcPr>
            <w:tcW w:w="720" w:type="dxa"/>
            <w:vAlign w:val="bottom"/>
            <w:tcBorders>
              <w:bottom w:val="single" w:sz="8" w:color="53C072"/>
            </w:tcBorders>
          </w:tcPr>
          <w:p>
            <w:pPr>
              <w:jc w:val="right"/>
              <w:spacing w:after="0"/>
              <w:rPr>
                <w:sz w:val="20"/>
                <w:szCs w:val="20"/>
                <w:color w:val="auto"/>
              </w:rPr>
            </w:pPr>
            <w:r>
              <w:rPr>
                <w:rFonts w:ascii="Arial" w:cs="Arial" w:eastAsia="Arial" w:hAnsi="Arial"/>
                <w:sz w:val="18"/>
                <w:szCs w:val="18"/>
                <w:b w:val="1"/>
                <w:bCs w:val="1"/>
                <w:color w:val="auto"/>
              </w:rPr>
              <w:t>$3.44</w:t>
            </w:r>
          </w:p>
        </w:tc>
        <w:tc>
          <w:tcPr>
            <w:tcW w:w="120" w:type="dxa"/>
            <w:vAlign w:val="bottom"/>
            <w:tcBorders>
              <w:bottom w:val="single" w:sz="8" w:color="53C072"/>
            </w:tcBorders>
          </w:tcPr>
          <w:p>
            <w:pPr>
              <w:spacing w:after="0"/>
              <w:rPr>
                <w:sz w:val="24"/>
                <w:szCs w:val="24"/>
                <w:color w:val="auto"/>
              </w:rPr>
            </w:pPr>
          </w:p>
        </w:tc>
      </w:tr>
      <w:tr>
        <w:trPr>
          <w:trHeight w:val="135"/>
        </w:trPr>
        <w:tc>
          <w:tcPr>
            <w:tcW w:w="5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28"/>
        </w:trPr>
        <w:tc>
          <w:tcPr>
            <w:tcW w:w="5820" w:type="dxa"/>
            <w:vAlign w:val="bottom"/>
            <w:tcBorders>
              <w:bottom w:val="single" w:sz="8" w:color="53C072"/>
            </w:tcBorders>
            <w:shd w:val="clear" w:color="auto" w:fill="53C072"/>
          </w:tcPr>
          <w:p>
            <w:pPr>
              <w:spacing w:after="0"/>
              <w:rPr>
                <w:sz w:val="19"/>
                <w:szCs w:val="19"/>
                <w:color w:val="auto"/>
              </w:rPr>
            </w:pPr>
          </w:p>
        </w:tc>
        <w:tc>
          <w:tcPr>
            <w:tcW w:w="140" w:type="dxa"/>
            <w:vAlign w:val="bottom"/>
            <w:tcBorders>
              <w:bottom w:val="single" w:sz="8" w:color="53C072"/>
            </w:tcBorders>
            <w:shd w:val="clear" w:color="auto" w:fill="53C072"/>
          </w:tcPr>
          <w:p>
            <w:pPr>
              <w:spacing w:after="0"/>
              <w:rPr>
                <w:sz w:val="19"/>
                <w:szCs w:val="19"/>
                <w:color w:val="auto"/>
              </w:rPr>
            </w:pPr>
          </w:p>
        </w:tc>
        <w:tc>
          <w:tcPr>
            <w:tcW w:w="60" w:type="dxa"/>
            <w:vAlign w:val="bottom"/>
            <w:tcBorders>
              <w:bottom w:val="single" w:sz="8" w:color="auto"/>
            </w:tcBorders>
            <w:shd w:val="clear" w:color="auto" w:fill="53C072"/>
          </w:tcPr>
          <w:p>
            <w:pPr>
              <w:spacing w:after="0"/>
              <w:rPr>
                <w:sz w:val="19"/>
                <w:szCs w:val="19"/>
                <w:color w:val="auto"/>
              </w:rPr>
            </w:pPr>
          </w:p>
        </w:tc>
        <w:tc>
          <w:tcPr>
            <w:tcW w:w="740" w:type="dxa"/>
            <w:vAlign w:val="bottom"/>
            <w:tcBorders>
              <w:bottom w:val="single" w:sz="8" w:color="auto"/>
            </w:tcBorders>
            <w:shd w:val="clear" w:color="auto" w:fill="53C072"/>
          </w:tcPr>
          <w:p>
            <w:pPr>
              <w:spacing w:after="0"/>
              <w:rPr>
                <w:sz w:val="19"/>
                <w:szCs w:val="19"/>
                <w:color w:val="auto"/>
              </w:rPr>
            </w:pPr>
          </w:p>
        </w:tc>
        <w:tc>
          <w:tcPr>
            <w:tcW w:w="1160" w:type="dxa"/>
            <w:vAlign w:val="bottom"/>
            <w:tcBorders>
              <w:bottom w:val="single" w:sz="8" w:color="auto"/>
            </w:tcBorders>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w w:val="99"/>
              </w:rPr>
              <w:t>Fiscal Year 2024</w:t>
            </w:r>
          </w:p>
        </w:tc>
        <w:tc>
          <w:tcPr>
            <w:tcW w:w="720" w:type="dxa"/>
            <w:vAlign w:val="bottom"/>
            <w:tcBorders>
              <w:bottom w:val="single" w:sz="8" w:color="auto"/>
            </w:tcBorders>
            <w:shd w:val="clear" w:color="auto" w:fill="53C072"/>
          </w:tcPr>
          <w:p>
            <w:pPr>
              <w:spacing w:after="0"/>
              <w:rPr>
                <w:sz w:val="19"/>
                <w:szCs w:val="19"/>
                <w:color w:val="auto"/>
              </w:rPr>
            </w:pPr>
          </w:p>
        </w:tc>
        <w:tc>
          <w:tcPr>
            <w:tcW w:w="120" w:type="dxa"/>
            <w:vAlign w:val="bottom"/>
            <w:tcBorders>
              <w:bottom w:val="single" w:sz="8" w:color="53C072"/>
            </w:tcBorders>
            <w:shd w:val="clear" w:color="auto" w:fill="53C072"/>
          </w:tcPr>
          <w:p>
            <w:pPr>
              <w:spacing w:after="0"/>
              <w:rPr>
                <w:sz w:val="19"/>
                <w:szCs w:val="19"/>
                <w:color w:val="auto"/>
              </w:rPr>
            </w:pPr>
          </w:p>
        </w:tc>
      </w:tr>
      <w:tr>
        <w:trPr>
          <w:trHeight w:val="174"/>
        </w:trPr>
        <w:tc>
          <w:tcPr>
            <w:tcW w:w="5820" w:type="dxa"/>
            <w:vAlign w:val="bottom"/>
            <w:shd w:val="clear" w:color="auto" w:fill="53C072"/>
          </w:tcPr>
          <w:p>
            <w:pPr>
              <w:spacing w:after="0"/>
              <w:rPr>
                <w:sz w:val="15"/>
                <w:szCs w:val="15"/>
                <w:color w:val="auto"/>
              </w:rPr>
            </w:pPr>
          </w:p>
        </w:tc>
        <w:tc>
          <w:tcPr>
            <w:tcW w:w="140" w:type="dxa"/>
            <w:vAlign w:val="bottom"/>
            <w:shd w:val="clear" w:color="auto" w:fill="53C072"/>
          </w:tcPr>
          <w:p>
            <w:pPr>
              <w:spacing w:after="0"/>
              <w:rPr>
                <w:sz w:val="15"/>
                <w:szCs w:val="15"/>
                <w:color w:val="auto"/>
              </w:rPr>
            </w:pPr>
          </w:p>
        </w:tc>
        <w:tc>
          <w:tcPr>
            <w:tcW w:w="60" w:type="dxa"/>
            <w:vAlign w:val="bottom"/>
            <w:shd w:val="clear" w:color="auto" w:fill="53C072"/>
          </w:tcPr>
          <w:p>
            <w:pPr>
              <w:spacing w:after="0"/>
              <w:rPr>
                <w:sz w:val="15"/>
                <w:szCs w:val="15"/>
                <w:color w:val="auto"/>
              </w:rPr>
            </w:pPr>
          </w:p>
        </w:tc>
        <w:tc>
          <w:tcPr>
            <w:tcW w:w="740" w:type="dxa"/>
            <w:vAlign w:val="bottom"/>
            <w:shd w:val="clear" w:color="auto" w:fill="53C072"/>
          </w:tcPr>
          <w:p>
            <w:pPr>
              <w:spacing w:after="0"/>
              <w:rPr>
                <w:sz w:val="15"/>
                <w:szCs w:val="15"/>
                <w:color w:val="auto"/>
              </w:rPr>
            </w:pPr>
          </w:p>
        </w:tc>
        <w:tc>
          <w:tcPr>
            <w:tcW w:w="320" w:type="dxa"/>
            <w:vAlign w:val="bottom"/>
            <w:shd w:val="clear" w:color="auto" w:fill="53C072"/>
          </w:tcPr>
          <w:p>
            <w:pPr>
              <w:spacing w:after="0"/>
              <w:rPr>
                <w:sz w:val="15"/>
                <w:szCs w:val="15"/>
                <w:color w:val="auto"/>
              </w:rPr>
            </w:pPr>
          </w:p>
        </w:tc>
        <w:tc>
          <w:tcPr>
            <w:tcW w:w="840" w:type="dxa"/>
            <w:vAlign w:val="bottom"/>
            <w:shd w:val="clear" w:color="auto" w:fill="53C072"/>
          </w:tcPr>
          <w:p>
            <w:pPr>
              <w:spacing w:after="0"/>
              <w:rPr>
                <w:sz w:val="15"/>
                <w:szCs w:val="15"/>
                <w:color w:val="auto"/>
              </w:rPr>
            </w:pPr>
          </w:p>
        </w:tc>
        <w:tc>
          <w:tcPr>
            <w:tcW w:w="840" w:type="dxa"/>
            <w:vAlign w:val="bottom"/>
            <w:gridSpan w:val="2"/>
            <w:shd w:val="clear" w:color="auto" w:fill="53C072"/>
          </w:tcPr>
          <w:p>
            <w:pPr>
              <w:jc w:val="right"/>
              <w:ind w:right="160"/>
              <w:spacing w:after="0"/>
              <w:rPr>
                <w:sz w:val="20"/>
                <w:szCs w:val="20"/>
                <w:color w:val="auto"/>
              </w:rPr>
            </w:pPr>
            <w:r>
              <w:rPr>
                <w:rFonts w:ascii="Arial" w:cs="Arial" w:eastAsia="Arial" w:hAnsi="Arial"/>
                <w:sz w:val="14"/>
                <w:szCs w:val="14"/>
                <w:b w:val="1"/>
                <w:bCs w:val="1"/>
                <w:color w:val="FEFEFE"/>
              </w:rPr>
              <w:t>Diluted</w:t>
            </w:r>
          </w:p>
        </w:tc>
      </w:tr>
      <w:tr>
        <w:trPr>
          <w:trHeight w:val="162"/>
        </w:trPr>
        <w:tc>
          <w:tcPr>
            <w:tcW w:w="5820" w:type="dxa"/>
            <w:vAlign w:val="bottom"/>
            <w:shd w:val="clear" w:color="auto" w:fill="53C072"/>
          </w:tcPr>
          <w:p>
            <w:pPr>
              <w:spacing w:after="0"/>
              <w:rPr>
                <w:sz w:val="14"/>
                <w:szCs w:val="14"/>
                <w:color w:val="auto"/>
              </w:rPr>
            </w:pPr>
          </w:p>
        </w:tc>
        <w:tc>
          <w:tcPr>
            <w:tcW w:w="140" w:type="dxa"/>
            <w:vAlign w:val="bottom"/>
            <w:shd w:val="clear" w:color="auto" w:fill="53C072"/>
          </w:tcPr>
          <w:p>
            <w:pPr>
              <w:spacing w:after="0"/>
              <w:rPr>
                <w:sz w:val="14"/>
                <w:szCs w:val="14"/>
                <w:color w:val="auto"/>
              </w:rPr>
            </w:pPr>
          </w:p>
        </w:tc>
        <w:tc>
          <w:tcPr>
            <w:tcW w:w="60" w:type="dxa"/>
            <w:vAlign w:val="bottom"/>
            <w:shd w:val="clear" w:color="auto" w:fill="53C072"/>
          </w:tcPr>
          <w:p>
            <w:pPr>
              <w:spacing w:after="0"/>
              <w:rPr>
                <w:sz w:val="14"/>
                <w:szCs w:val="14"/>
                <w:color w:val="auto"/>
              </w:rPr>
            </w:pP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w w:val="99"/>
              </w:rPr>
              <w:t>Operating</w:t>
            </w:r>
          </w:p>
        </w:tc>
        <w:tc>
          <w:tcPr>
            <w:tcW w:w="320" w:type="dxa"/>
            <w:vAlign w:val="bottom"/>
            <w:shd w:val="clear" w:color="auto" w:fill="53C072"/>
          </w:tcPr>
          <w:p>
            <w:pPr>
              <w:spacing w:after="0"/>
              <w:rPr>
                <w:sz w:val="14"/>
                <w:szCs w:val="14"/>
                <w:color w:val="auto"/>
              </w:rPr>
            </w:pPr>
          </w:p>
        </w:tc>
        <w:tc>
          <w:tcPr>
            <w:tcW w:w="840" w:type="dxa"/>
            <w:vAlign w:val="bottom"/>
            <w:shd w:val="clear" w:color="auto" w:fill="53C072"/>
          </w:tcPr>
          <w:p>
            <w:pPr>
              <w:jc w:val="right"/>
              <w:ind w:right="135"/>
              <w:spacing w:after="0"/>
              <w:rPr>
                <w:sz w:val="20"/>
                <w:szCs w:val="20"/>
                <w:color w:val="auto"/>
              </w:rPr>
            </w:pPr>
            <w:r>
              <w:rPr>
                <w:rFonts w:ascii="Arial" w:cs="Arial" w:eastAsia="Arial" w:hAnsi="Arial"/>
                <w:sz w:val="14"/>
                <w:szCs w:val="14"/>
                <w:b w:val="1"/>
                <w:bCs w:val="1"/>
                <w:color w:val="FEFEFE"/>
              </w:rPr>
              <w:t>Net</w:t>
            </w:r>
          </w:p>
        </w:tc>
        <w:tc>
          <w:tcPr>
            <w:tcW w:w="840" w:type="dxa"/>
            <w:vAlign w:val="bottom"/>
            <w:gridSpan w:val="2"/>
            <w:shd w:val="clear" w:color="auto" w:fill="53C072"/>
          </w:tcPr>
          <w:p>
            <w:pPr>
              <w:jc w:val="right"/>
              <w:ind w:right="160"/>
              <w:spacing w:after="0"/>
              <w:rPr>
                <w:sz w:val="20"/>
                <w:szCs w:val="20"/>
                <w:color w:val="auto"/>
              </w:rPr>
            </w:pPr>
            <w:r>
              <w:rPr>
                <w:rFonts w:ascii="Arial" w:cs="Arial" w:eastAsia="Arial" w:hAnsi="Arial"/>
                <w:sz w:val="14"/>
                <w:szCs w:val="14"/>
                <w:b w:val="1"/>
                <w:bCs w:val="1"/>
                <w:color w:val="FEFEFE"/>
              </w:rPr>
              <w:t>Earnings</w:t>
            </w:r>
          </w:p>
        </w:tc>
      </w:tr>
      <w:tr>
        <w:trPr>
          <w:trHeight w:val="171"/>
        </w:trPr>
        <w:tc>
          <w:tcPr>
            <w:tcW w:w="5820" w:type="dxa"/>
            <w:vAlign w:val="bottom"/>
            <w:shd w:val="clear" w:color="auto" w:fill="53C072"/>
          </w:tcPr>
          <w:p>
            <w:pPr>
              <w:spacing w:after="0"/>
              <w:rPr>
                <w:sz w:val="14"/>
                <w:szCs w:val="14"/>
                <w:color w:val="auto"/>
              </w:rPr>
            </w:pPr>
          </w:p>
        </w:tc>
        <w:tc>
          <w:tcPr>
            <w:tcW w:w="140" w:type="dxa"/>
            <w:vAlign w:val="bottom"/>
            <w:shd w:val="clear" w:color="auto" w:fill="53C072"/>
          </w:tcPr>
          <w:p>
            <w:pPr>
              <w:spacing w:after="0"/>
              <w:rPr>
                <w:sz w:val="14"/>
                <w:szCs w:val="14"/>
                <w:color w:val="auto"/>
              </w:rPr>
            </w:pPr>
          </w:p>
        </w:tc>
        <w:tc>
          <w:tcPr>
            <w:tcW w:w="60" w:type="dxa"/>
            <w:vAlign w:val="bottom"/>
            <w:shd w:val="clear" w:color="auto" w:fill="53C072"/>
          </w:tcPr>
          <w:p>
            <w:pPr>
              <w:spacing w:after="0"/>
              <w:rPr>
                <w:sz w:val="14"/>
                <w:szCs w:val="14"/>
                <w:color w:val="auto"/>
              </w:rPr>
            </w:pP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Income</w:t>
            </w:r>
          </w:p>
        </w:tc>
        <w:tc>
          <w:tcPr>
            <w:tcW w:w="320" w:type="dxa"/>
            <w:vAlign w:val="bottom"/>
            <w:shd w:val="clear" w:color="auto" w:fill="53C072"/>
          </w:tcPr>
          <w:p>
            <w:pPr>
              <w:spacing w:after="0"/>
              <w:rPr>
                <w:sz w:val="14"/>
                <w:szCs w:val="14"/>
                <w:color w:val="auto"/>
              </w:rPr>
            </w:pPr>
          </w:p>
        </w:tc>
        <w:tc>
          <w:tcPr>
            <w:tcW w:w="840" w:type="dxa"/>
            <w:vAlign w:val="bottom"/>
            <w:shd w:val="clear" w:color="auto" w:fill="53C072"/>
          </w:tcPr>
          <w:p>
            <w:pPr>
              <w:jc w:val="right"/>
              <w:ind w:right="95"/>
              <w:spacing w:after="0"/>
              <w:rPr>
                <w:sz w:val="20"/>
                <w:szCs w:val="20"/>
                <w:color w:val="auto"/>
              </w:rPr>
            </w:pPr>
            <w:r>
              <w:rPr>
                <w:rFonts w:ascii="Arial" w:cs="Arial" w:eastAsia="Arial" w:hAnsi="Arial"/>
                <w:sz w:val="14"/>
                <w:szCs w:val="14"/>
                <w:b w:val="1"/>
                <w:bCs w:val="1"/>
                <w:color w:val="FEFEFE"/>
              </w:rPr>
              <w:t>Income</w:t>
            </w:r>
          </w:p>
        </w:tc>
        <w:tc>
          <w:tcPr>
            <w:tcW w:w="840" w:type="dxa"/>
            <w:vAlign w:val="bottom"/>
            <w:gridSpan w:val="2"/>
            <w:shd w:val="clear" w:color="auto" w:fill="53C072"/>
          </w:tcPr>
          <w:p>
            <w:pPr>
              <w:jc w:val="right"/>
              <w:ind w:right="120"/>
              <w:spacing w:after="0"/>
              <w:rPr>
                <w:sz w:val="20"/>
                <w:szCs w:val="20"/>
                <w:color w:val="auto"/>
              </w:rPr>
            </w:pPr>
            <w:r>
              <w:rPr>
                <w:rFonts w:ascii="Arial" w:cs="Arial" w:eastAsia="Arial" w:hAnsi="Arial"/>
                <w:sz w:val="14"/>
                <w:szCs w:val="14"/>
                <w:b w:val="1"/>
                <w:bCs w:val="1"/>
                <w:color w:val="FEFEFE"/>
              </w:rPr>
              <w:t>Per Share</w:t>
            </w:r>
          </w:p>
        </w:tc>
      </w:tr>
      <w:tr>
        <w:trPr>
          <w:trHeight w:val="216"/>
        </w:trPr>
        <w:tc>
          <w:tcPr>
            <w:tcW w:w="5820" w:type="dxa"/>
            <w:vAlign w:val="bottom"/>
            <w:shd w:val="clear" w:color="auto" w:fill="53C072"/>
          </w:tcPr>
          <w:p>
            <w:pPr>
              <w:spacing w:after="0"/>
              <w:rPr>
                <w:sz w:val="18"/>
                <w:szCs w:val="18"/>
                <w:color w:val="auto"/>
              </w:rPr>
            </w:pPr>
          </w:p>
        </w:tc>
        <w:tc>
          <w:tcPr>
            <w:tcW w:w="140" w:type="dxa"/>
            <w:vAlign w:val="bottom"/>
            <w:shd w:val="clear" w:color="auto" w:fill="53C072"/>
          </w:tcPr>
          <w:p>
            <w:pPr>
              <w:spacing w:after="0"/>
              <w:rPr>
                <w:sz w:val="18"/>
                <w:szCs w:val="18"/>
                <w:color w:val="auto"/>
              </w:rPr>
            </w:pPr>
          </w:p>
        </w:tc>
        <w:tc>
          <w:tcPr>
            <w:tcW w:w="60" w:type="dxa"/>
            <w:vAlign w:val="bottom"/>
            <w:shd w:val="clear" w:color="auto" w:fill="53C072"/>
          </w:tcPr>
          <w:p>
            <w:pPr>
              <w:spacing w:after="0"/>
              <w:rPr>
                <w:sz w:val="18"/>
                <w:szCs w:val="18"/>
                <w:color w:val="auto"/>
              </w:rPr>
            </w:pPr>
          </w:p>
        </w:tc>
        <w:tc>
          <w:tcPr>
            <w:tcW w:w="2740" w:type="dxa"/>
            <w:vAlign w:val="bottom"/>
            <w:gridSpan w:val="5"/>
            <w:shd w:val="clear" w:color="auto" w:fill="53C072"/>
          </w:tcPr>
          <w:p>
            <w:pPr>
              <w:jc w:val="right"/>
              <w:ind w:right="120"/>
              <w:spacing w:after="0"/>
              <w:rPr>
                <w:sz w:val="20"/>
                <w:szCs w:val="20"/>
                <w:color w:val="auto"/>
              </w:rPr>
            </w:pPr>
            <w:r>
              <w:rPr>
                <w:rFonts w:ascii="Arial" w:cs="Arial" w:eastAsia="Arial" w:hAnsi="Arial"/>
                <w:sz w:val="14"/>
                <w:szCs w:val="14"/>
                <w:b w:val="1"/>
                <w:bCs w:val="1"/>
                <w:color w:val="FEFEFE"/>
              </w:rPr>
              <w:t>(thousands except per share data)</w:t>
            </w:r>
          </w:p>
        </w:tc>
      </w:tr>
      <w:tr>
        <w:trPr>
          <w:trHeight w:val="243"/>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GAAP results</w:t>
            </w:r>
          </w:p>
        </w:tc>
        <w:tc>
          <w:tcPr>
            <w:tcW w:w="1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​$844,367</w:t>
            </w:r>
          </w:p>
        </w:tc>
        <w:tc>
          <w:tcPr>
            <w:tcW w:w="1160" w:type="dxa"/>
            <w:vAlign w:val="bottom"/>
            <w:gridSpan w:val="2"/>
          </w:tcPr>
          <w:p>
            <w:pPr>
              <w:jc w:val="right"/>
              <w:ind w:right="95"/>
              <w:spacing w:after="0"/>
              <w:rPr>
                <w:sz w:val="20"/>
                <w:szCs w:val="20"/>
                <w:color w:val="auto"/>
              </w:rPr>
            </w:pPr>
            <w:r>
              <w:rPr>
                <w:rFonts w:ascii="Arial" w:cs="Arial" w:eastAsia="Arial" w:hAnsi="Arial"/>
                <w:sz w:val="18"/>
                <w:szCs w:val="18"/>
                <w:b w:val="1"/>
                <w:bCs w:val="1"/>
                <w:color w:val="auto"/>
              </w:rPr>
              <w:t>​$498,699</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$5.43</w:t>
            </w:r>
          </w:p>
        </w:tc>
        <w:tc>
          <w:tcPr>
            <w:tcW w:w="120" w:type="dxa"/>
            <w:vAlign w:val="bottom"/>
          </w:tcPr>
          <w:p>
            <w:pPr>
              <w:spacing w:after="0"/>
              <w:rPr>
                <w:sz w:val="21"/>
                <w:szCs w:val="21"/>
                <w:color w:val="auto"/>
              </w:rPr>
            </w:pPr>
          </w:p>
        </w:tc>
      </w:tr>
      <w:tr>
        <w:trPr>
          <w:trHeight w:val="243"/>
        </w:trPr>
        <w:tc>
          <w:tcPr>
            <w:tcW w:w="58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Restructuring, integration and other expenses</w:t>
            </w:r>
          </w:p>
        </w:tc>
        <w:tc>
          <w:tcPr>
            <w:tcW w:w="140" w:type="dxa"/>
            <w:vAlign w:val="bottom"/>
            <w:shd w:val="clear" w:color="auto" w:fill="CBECD5"/>
          </w:tcPr>
          <w:p>
            <w:pPr>
              <w:spacing w:after="0"/>
              <w:rPr>
                <w:sz w:val="21"/>
                <w:szCs w:val="21"/>
                <w:color w:val="auto"/>
              </w:rPr>
            </w:pPr>
          </w:p>
        </w:tc>
        <w:tc>
          <w:tcPr>
            <w:tcW w:w="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52,550</w:t>
            </w:r>
          </w:p>
        </w:tc>
        <w:tc>
          <w:tcPr>
            <w:tcW w:w="320" w:type="dxa"/>
            <w:vAlign w:val="bottom"/>
            <w:shd w:val="clear" w:color="auto" w:fill="CBECD5"/>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95"/>
              <w:spacing w:after="0"/>
              <w:rPr>
                <w:sz w:val="20"/>
                <w:szCs w:val="20"/>
                <w:color w:val="auto"/>
              </w:rPr>
            </w:pPr>
            <w:r>
              <w:rPr>
                <w:rFonts w:ascii="Arial" w:cs="Arial" w:eastAsia="Arial" w:hAnsi="Arial"/>
                <w:sz w:val="18"/>
                <w:szCs w:val="18"/>
                <w:color w:val="auto"/>
              </w:rPr>
              <w:t>39,550</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BECD5"/>
          </w:tcPr>
          <w:p>
            <w:pPr>
              <w:spacing w:after="0"/>
              <w:rPr>
                <w:sz w:val="21"/>
                <w:szCs w:val="21"/>
                <w:color w:val="auto"/>
              </w:rPr>
            </w:pPr>
          </w:p>
        </w:tc>
      </w:tr>
      <w:tr>
        <w:trPr>
          <w:trHeight w:val="243"/>
        </w:trPr>
        <w:tc>
          <w:tcPr>
            <w:tcW w:w="5820" w:type="dxa"/>
            <w:vAlign w:val="bottom"/>
          </w:tcPr>
          <w:p>
            <w:pPr>
              <w:ind w:left="120"/>
              <w:spacing w:after="0"/>
              <w:rPr>
                <w:sz w:val="20"/>
                <w:szCs w:val="20"/>
                <w:color w:val="auto"/>
              </w:rPr>
            </w:pPr>
            <w:r>
              <w:rPr>
                <w:rFonts w:ascii="Arial" w:cs="Arial" w:eastAsia="Arial" w:hAnsi="Arial"/>
                <w:sz w:val="18"/>
                <w:szCs w:val="18"/>
                <w:color w:val="auto"/>
              </w:rPr>
              <w:t>Amortization of intangible assets and other</w:t>
            </w:r>
          </w:p>
        </w:tc>
        <w:tc>
          <w:tcPr>
            <w:tcW w:w="140" w:type="dxa"/>
            <w:vAlign w:val="bottom"/>
          </w:tcPr>
          <w:p>
            <w:pPr>
              <w:spacing w:after="0"/>
              <w:rPr>
                <w:sz w:val="21"/>
                <w:szCs w:val="21"/>
                <w:color w:val="auto"/>
              </w:rPr>
            </w:pP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3,130</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2,430</w:t>
            </w:r>
          </w:p>
        </w:tc>
        <w:tc>
          <w:tcPr>
            <w:tcW w:w="72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r>
      <w:tr>
        <w:trPr>
          <w:trHeight w:val="257"/>
        </w:trPr>
        <w:tc>
          <w:tcPr>
            <w:tcW w:w="58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Gain on legal settlements and other</w:t>
            </w:r>
          </w:p>
        </w:tc>
        <w:tc>
          <w:tcPr>
            <w:tcW w:w="140" w:type="dxa"/>
            <w:vAlign w:val="bottom"/>
            <w:shd w:val="clear" w:color="auto" w:fill="CBECD5"/>
          </w:tcPr>
          <w:p>
            <w:pPr>
              <w:spacing w:after="0"/>
              <w:rPr>
                <w:sz w:val="22"/>
                <w:szCs w:val="22"/>
                <w:color w:val="auto"/>
              </w:rPr>
            </w:pPr>
          </w:p>
        </w:tc>
        <w:tc>
          <w:tcPr>
            <w:tcW w:w="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BECD5"/>
          </w:tcPr>
          <w:p>
            <w:pPr>
              <w:spacing w:after="0"/>
              <w:rPr>
                <w:sz w:val="22"/>
                <w:szCs w:val="22"/>
                <w:color w:val="auto"/>
              </w:rPr>
            </w:pPr>
          </w:p>
        </w:tc>
        <w:tc>
          <w:tcPr>
            <w:tcW w:w="320" w:type="dxa"/>
            <w:vAlign w:val="bottom"/>
            <w:shd w:val="clear" w:color="auto" w:fill="CBECD5"/>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35"/>
              <w:spacing w:after="0"/>
              <w:rPr>
                <w:sz w:val="20"/>
                <w:szCs w:val="20"/>
                <w:color w:val="auto"/>
              </w:rPr>
            </w:pPr>
            <w:r>
              <w:rPr>
                <w:rFonts w:ascii="Arial" w:cs="Arial" w:eastAsia="Arial" w:hAnsi="Arial"/>
                <w:sz w:val="18"/>
                <w:szCs w:val="18"/>
                <w:color w:val="auto"/>
              </w:rPr>
              <w:t>(66,065)</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BECD5"/>
          </w:tcPr>
          <w:p>
            <w:pPr>
              <w:spacing w:after="0"/>
              <w:rPr>
                <w:sz w:val="22"/>
                <w:szCs w:val="22"/>
                <w:color w:val="auto"/>
              </w:rPr>
            </w:pPr>
          </w:p>
        </w:tc>
      </w:tr>
      <w:tr>
        <w:trPr>
          <w:trHeight w:val="257"/>
        </w:trPr>
        <w:tc>
          <w:tcPr>
            <w:tcW w:w="5820" w:type="dxa"/>
            <w:vAlign w:val="bottom"/>
          </w:tcPr>
          <w:p>
            <w:pPr>
              <w:ind w:left="120"/>
              <w:spacing w:after="0"/>
              <w:rPr>
                <w:sz w:val="20"/>
                <w:szCs w:val="20"/>
                <w:color w:val="auto"/>
              </w:rPr>
            </w:pPr>
            <w:r>
              <w:rPr>
                <w:rFonts w:ascii="Arial" w:cs="Arial" w:eastAsia="Arial" w:hAnsi="Arial"/>
                <w:sz w:val="18"/>
                <w:szCs w:val="18"/>
                <w:color w:val="auto"/>
              </w:rPr>
              <w:t>Foreign currency loss and other, net</w:t>
            </w:r>
          </w:p>
        </w:tc>
        <w:tc>
          <w:tcPr>
            <w:tcW w:w="140" w:type="dxa"/>
            <w:vAlign w:val="bottom"/>
          </w:tcPr>
          <w:p>
            <w:pPr>
              <w:spacing w:after="0"/>
              <w:rPr>
                <w:sz w:val="22"/>
                <w:szCs w:val="22"/>
                <w:color w:val="auto"/>
              </w:rPr>
            </w:pP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2"/>
                <w:szCs w:val="22"/>
                <w:color w:val="auto"/>
              </w:rPr>
            </w:pP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20,357</w:t>
            </w:r>
          </w:p>
        </w:tc>
        <w:tc>
          <w:tcPr>
            <w:tcW w:w="72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2"/>
                <w:szCs w:val="22"/>
                <w:color w:val="auto"/>
              </w:rPr>
            </w:pPr>
          </w:p>
        </w:tc>
      </w:tr>
      <w:tr>
        <w:trPr>
          <w:trHeight w:val="256"/>
        </w:trPr>
        <w:tc>
          <w:tcPr>
            <w:tcW w:w="58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Income tax adjustments</w:t>
            </w:r>
          </w:p>
        </w:tc>
        <w:tc>
          <w:tcPr>
            <w:tcW w:w="140" w:type="dxa"/>
            <w:vAlign w:val="bottom"/>
            <w:shd w:val="clear" w:color="auto" w:fill="CBECD5"/>
          </w:tcPr>
          <w:p>
            <w:pPr>
              <w:spacing w:after="0"/>
              <w:rPr>
                <w:sz w:val="22"/>
                <w:szCs w:val="22"/>
                <w:color w:val="auto"/>
              </w:rPr>
            </w:pPr>
          </w:p>
        </w:tc>
        <w:tc>
          <w:tcPr>
            <w:tcW w:w="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BECD5"/>
          </w:tcPr>
          <w:p>
            <w:pPr>
              <w:spacing w:after="0"/>
              <w:rPr>
                <w:sz w:val="22"/>
                <w:szCs w:val="22"/>
                <w:color w:val="auto"/>
              </w:rPr>
            </w:pPr>
          </w:p>
        </w:tc>
        <w:tc>
          <w:tcPr>
            <w:tcW w:w="320" w:type="dxa"/>
            <w:vAlign w:val="bottom"/>
            <w:shd w:val="clear" w:color="auto" w:fill="CBECD5"/>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35"/>
              <w:spacing w:after="0"/>
              <w:rPr>
                <w:sz w:val="20"/>
                <w:szCs w:val="20"/>
                <w:color w:val="auto"/>
              </w:rPr>
            </w:pPr>
            <w:r>
              <w:rPr>
                <w:rFonts w:ascii="Arial" w:cs="Arial" w:eastAsia="Arial" w:hAnsi="Arial"/>
                <w:sz w:val="18"/>
                <w:szCs w:val="18"/>
                <w:color w:val="auto"/>
              </w:rPr>
              <w:t>(4,992)</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BECD5"/>
          </w:tcPr>
          <w:p>
            <w:pPr>
              <w:spacing w:after="0"/>
              <w:rPr>
                <w:sz w:val="22"/>
                <w:szCs w:val="22"/>
                <w:color w:val="auto"/>
              </w:rPr>
            </w:pPr>
          </w:p>
        </w:tc>
      </w:tr>
      <w:tr>
        <w:trPr>
          <w:trHeight w:val="257"/>
        </w:trPr>
        <w:tc>
          <w:tcPr>
            <w:tcW w:w="5820" w:type="dxa"/>
            <w:vAlign w:val="bottom"/>
          </w:tcPr>
          <w:p>
            <w:pPr>
              <w:ind w:left="120"/>
              <w:spacing w:after="0"/>
              <w:rPr>
                <w:sz w:val="20"/>
                <w:szCs w:val="20"/>
                <w:color w:val="auto"/>
              </w:rPr>
            </w:pPr>
            <w:r>
              <w:rPr>
                <w:rFonts w:ascii="Arial" w:cs="Arial" w:eastAsia="Arial" w:hAnsi="Arial"/>
                <w:sz w:val="18"/>
                <w:szCs w:val="18"/>
                <w:color w:val="auto"/>
              </w:rPr>
              <w:t>Total adjustments</w:t>
            </w:r>
          </w:p>
        </w:tc>
        <w:tc>
          <w:tcPr>
            <w:tcW w:w="140" w:type="dxa"/>
            <w:vAlign w:val="bottom"/>
          </w:tcPr>
          <w:p>
            <w:pPr>
              <w:spacing w:after="0"/>
              <w:rPr>
                <w:sz w:val="22"/>
                <w:szCs w:val="22"/>
                <w:color w:val="auto"/>
              </w:rPr>
            </w:pP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55,680</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(8,720)</w:t>
            </w:r>
          </w:p>
        </w:tc>
        <w:tc>
          <w:tcPr>
            <w:tcW w:w="72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2"/>
                <w:szCs w:val="22"/>
                <w:color w:val="auto"/>
              </w:rPr>
            </w:pPr>
          </w:p>
        </w:tc>
      </w:tr>
      <w:tr>
        <w:trPr>
          <w:trHeight w:val="304"/>
        </w:trPr>
        <w:tc>
          <w:tcPr>
            <w:tcW w:w="5820" w:type="dxa"/>
            <w:vAlign w:val="bottom"/>
            <w:tcBorders>
              <w:bottom w:val="single" w:sz="8" w:color="53C072"/>
            </w:tcBorders>
            <w:shd w:val="clear" w:color="auto" w:fill="CBECD5"/>
          </w:tcPr>
          <w:p>
            <w:pPr>
              <w:ind w:left="120"/>
              <w:spacing w:after="0"/>
              <w:rPr>
                <w:sz w:val="20"/>
                <w:szCs w:val="20"/>
                <w:color w:val="auto"/>
              </w:rPr>
            </w:pPr>
            <w:r>
              <w:rPr>
                <w:rFonts w:ascii="Arial" w:cs="Arial" w:eastAsia="Arial" w:hAnsi="Arial"/>
                <w:sz w:val="18"/>
                <w:szCs w:val="18"/>
                <w:b w:val="1"/>
                <w:bCs w:val="1"/>
                <w:color w:val="auto"/>
              </w:rPr>
              <w:t>Adjusted non-GAAP results</w:t>
            </w:r>
          </w:p>
        </w:tc>
        <w:tc>
          <w:tcPr>
            <w:tcW w:w="140" w:type="dxa"/>
            <w:vAlign w:val="bottom"/>
            <w:tcBorders>
              <w:bottom w:val="single" w:sz="8" w:color="53C072"/>
            </w:tcBorders>
            <w:shd w:val="clear" w:color="auto" w:fill="CBECD5"/>
          </w:tcPr>
          <w:p>
            <w:pPr>
              <w:spacing w:after="0"/>
              <w:rPr>
                <w:sz w:val="24"/>
                <w:szCs w:val="24"/>
                <w:color w:val="auto"/>
              </w:rPr>
            </w:pPr>
          </w:p>
        </w:tc>
        <w:tc>
          <w:tcPr>
            <w:tcW w:w="800" w:type="dxa"/>
            <w:vAlign w:val="bottom"/>
            <w:tcBorders>
              <w:bottom w:val="single" w:sz="8" w:color="53C072"/>
            </w:tcBorders>
            <w:gridSpan w:val="2"/>
            <w:shd w:val="clear" w:color="auto" w:fill="CBECD5"/>
          </w:tcPr>
          <w:p>
            <w:pPr>
              <w:jc w:val="right"/>
              <w:spacing w:after="0" w:line="297" w:lineRule="exact"/>
              <w:rPr>
                <w:sz w:val="20"/>
                <w:szCs w:val="20"/>
                <w:color w:val="auto"/>
              </w:rPr>
            </w:pPr>
            <w:r>
              <w:rPr>
                <w:rFonts w:ascii="Arial" w:cs="Arial" w:eastAsia="Arial" w:hAnsi="Arial"/>
                <w:sz w:val="34"/>
                <w:szCs w:val="34"/>
                <w:b w:val="1"/>
                <w:bCs w:val="1"/>
                <w:color w:val="auto"/>
                <w:vertAlign w:val="subscript"/>
              </w:rPr>
              <w:t>​</w:t>
            </w:r>
            <w:r>
              <w:rPr>
                <w:rFonts w:ascii="Arial" w:cs="Arial" w:eastAsia="Arial" w:hAnsi="Arial"/>
                <w:sz w:val="18"/>
                <w:szCs w:val="18"/>
                <w:b w:val="1"/>
                <w:bCs w:val="1"/>
                <w:color w:val="auto"/>
              </w:rPr>
              <w:t>$900,047</w:t>
            </w:r>
          </w:p>
        </w:tc>
        <w:tc>
          <w:tcPr>
            <w:tcW w:w="1160" w:type="dxa"/>
            <w:vAlign w:val="bottom"/>
            <w:tcBorders>
              <w:bottom w:val="single" w:sz="8" w:color="53C072"/>
            </w:tcBorders>
            <w:gridSpan w:val="2"/>
            <w:shd w:val="clear" w:color="auto" w:fill="CBECD5"/>
          </w:tcPr>
          <w:p>
            <w:pPr>
              <w:jc w:val="right"/>
              <w:ind w:right="95"/>
              <w:spacing w:after="0" w:line="297" w:lineRule="exact"/>
              <w:rPr>
                <w:sz w:val="20"/>
                <w:szCs w:val="20"/>
                <w:color w:val="auto"/>
              </w:rPr>
            </w:pPr>
            <w:r>
              <w:rPr>
                <w:rFonts w:ascii="Arial" w:cs="Arial" w:eastAsia="Arial" w:hAnsi="Arial"/>
                <w:sz w:val="34"/>
                <w:szCs w:val="34"/>
                <w:b w:val="1"/>
                <w:bCs w:val="1"/>
                <w:color w:val="auto"/>
                <w:vertAlign w:val="subscript"/>
              </w:rPr>
              <w:t>​</w:t>
            </w:r>
            <w:r>
              <w:rPr>
                <w:rFonts w:ascii="Arial" w:cs="Arial" w:eastAsia="Arial" w:hAnsi="Arial"/>
                <w:sz w:val="18"/>
                <w:szCs w:val="18"/>
                <w:b w:val="1"/>
                <w:bCs w:val="1"/>
                <w:color w:val="auto"/>
              </w:rPr>
              <w:t>$489,979</w:t>
            </w:r>
          </w:p>
        </w:tc>
        <w:tc>
          <w:tcPr>
            <w:tcW w:w="72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8"/>
                <w:szCs w:val="18"/>
                <w:b w:val="1"/>
                <w:bCs w:val="1"/>
                <w:color w:val="auto"/>
              </w:rPr>
              <w:t>$5.34</w:t>
            </w:r>
          </w:p>
        </w:tc>
        <w:tc>
          <w:tcPr>
            <w:tcW w:w="120" w:type="dxa"/>
            <w:vAlign w:val="bottom"/>
            <w:tcBorders>
              <w:bottom w:val="single" w:sz="8" w:color="53C072"/>
            </w:tcBorders>
            <w:shd w:val="clear" w:color="auto" w:fill="CBECD5"/>
          </w:tcPr>
          <w:p>
            <w:pPr>
              <w:spacing w:after="0"/>
              <w:rPr>
                <w:sz w:val="24"/>
                <w:szCs w:val="24"/>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gridSpan w:val="3"/>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28"/>
        </w:trPr>
        <w:tc>
          <w:tcPr>
            <w:tcW w:w="5820" w:type="dxa"/>
            <w:vAlign w:val="bottom"/>
            <w:tcBorders>
              <w:bottom w:val="single" w:sz="8" w:color="53C072"/>
            </w:tcBorders>
            <w:shd w:val="clear" w:color="auto" w:fill="53C072"/>
          </w:tcPr>
          <w:p>
            <w:pPr>
              <w:spacing w:after="0"/>
              <w:rPr>
                <w:sz w:val="19"/>
                <w:szCs w:val="19"/>
                <w:color w:val="auto"/>
              </w:rPr>
            </w:pPr>
          </w:p>
        </w:tc>
        <w:tc>
          <w:tcPr>
            <w:tcW w:w="140" w:type="dxa"/>
            <w:vAlign w:val="bottom"/>
            <w:tcBorders>
              <w:bottom w:val="single" w:sz="8" w:color="auto"/>
            </w:tcBorders>
            <w:shd w:val="clear" w:color="auto" w:fill="53C072"/>
          </w:tcPr>
          <w:p>
            <w:pPr>
              <w:spacing w:after="0"/>
              <w:rPr>
                <w:sz w:val="19"/>
                <w:szCs w:val="19"/>
                <w:color w:val="auto"/>
              </w:rPr>
            </w:pPr>
          </w:p>
        </w:tc>
        <w:tc>
          <w:tcPr>
            <w:tcW w:w="60" w:type="dxa"/>
            <w:vAlign w:val="bottom"/>
            <w:tcBorders>
              <w:bottom w:val="single" w:sz="8" w:color="auto"/>
            </w:tcBorders>
            <w:shd w:val="clear" w:color="auto" w:fill="53C072"/>
          </w:tcPr>
          <w:p>
            <w:pPr>
              <w:spacing w:after="0"/>
              <w:rPr>
                <w:sz w:val="19"/>
                <w:szCs w:val="19"/>
                <w:color w:val="auto"/>
              </w:rPr>
            </w:pPr>
          </w:p>
        </w:tc>
        <w:tc>
          <w:tcPr>
            <w:tcW w:w="1900" w:type="dxa"/>
            <w:vAlign w:val="bottom"/>
            <w:tcBorders>
              <w:bottom w:val="single" w:sz="8" w:color="auto"/>
            </w:tcBorders>
            <w:gridSpan w:val="3"/>
            <w:shd w:val="clear" w:color="auto" w:fill="53C072"/>
          </w:tcPr>
          <w:p>
            <w:pPr>
              <w:jc w:val="right"/>
              <w:ind w:right="55"/>
              <w:spacing w:after="0"/>
              <w:rPr>
                <w:sz w:val="20"/>
                <w:szCs w:val="20"/>
                <w:color w:val="auto"/>
              </w:rPr>
            </w:pPr>
            <w:r>
              <w:rPr>
                <w:rFonts w:ascii="Arial" w:cs="Arial" w:eastAsia="Arial" w:hAnsi="Arial"/>
                <w:sz w:val="14"/>
                <w:szCs w:val="14"/>
                <w:b w:val="1"/>
                <w:bCs w:val="1"/>
                <w:color w:val="FEFEFE"/>
              </w:rPr>
              <w:t>Fiscal Year 2023</w:t>
            </w:r>
          </w:p>
        </w:tc>
        <w:tc>
          <w:tcPr>
            <w:tcW w:w="720" w:type="dxa"/>
            <w:vAlign w:val="bottom"/>
            <w:tcBorders>
              <w:bottom w:val="single" w:sz="8" w:color="auto"/>
            </w:tcBorders>
            <w:shd w:val="clear" w:color="auto" w:fill="53C072"/>
          </w:tcPr>
          <w:p>
            <w:pPr>
              <w:spacing w:after="0"/>
              <w:rPr>
                <w:sz w:val="19"/>
                <w:szCs w:val="19"/>
                <w:color w:val="auto"/>
              </w:rPr>
            </w:pPr>
          </w:p>
        </w:tc>
        <w:tc>
          <w:tcPr>
            <w:tcW w:w="120" w:type="dxa"/>
            <w:vAlign w:val="bottom"/>
            <w:tcBorders>
              <w:bottom w:val="single" w:sz="8" w:color="53C072"/>
            </w:tcBorders>
            <w:shd w:val="clear" w:color="auto" w:fill="53C072"/>
          </w:tcPr>
          <w:p>
            <w:pPr>
              <w:spacing w:after="0"/>
              <w:rPr>
                <w:sz w:val="19"/>
                <w:szCs w:val="19"/>
                <w:color w:val="auto"/>
              </w:rPr>
            </w:pPr>
          </w:p>
        </w:tc>
      </w:tr>
      <w:tr>
        <w:trPr>
          <w:trHeight w:val="174"/>
        </w:trPr>
        <w:tc>
          <w:tcPr>
            <w:tcW w:w="5820" w:type="dxa"/>
            <w:vAlign w:val="bottom"/>
            <w:shd w:val="clear" w:color="auto" w:fill="53C072"/>
          </w:tcPr>
          <w:p>
            <w:pPr>
              <w:spacing w:after="0"/>
              <w:rPr>
                <w:sz w:val="15"/>
                <w:szCs w:val="15"/>
                <w:color w:val="auto"/>
              </w:rPr>
            </w:pPr>
          </w:p>
        </w:tc>
        <w:tc>
          <w:tcPr>
            <w:tcW w:w="140" w:type="dxa"/>
            <w:vAlign w:val="bottom"/>
            <w:shd w:val="clear" w:color="auto" w:fill="53C072"/>
          </w:tcPr>
          <w:p>
            <w:pPr>
              <w:spacing w:after="0"/>
              <w:rPr>
                <w:sz w:val="15"/>
                <w:szCs w:val="15"/>
                <w:color w:val="auto"/>
              </w:rPr>
            </w:pPr>
          </w:p>
        </w:tc>
        <w:tc>
          <w:tcPr>
            <w:tcW w:w="60" w:type="dxa"/>
            <w:vAlign w:val="bottom"/>
            <w:shd w:val="clear" w:color="auto" w:fill="53C072"/>
          </w:tcPr>
          <w:p>
            <w:pPr>
              <w:spacing w:after="0"/>
              <w:rPr>
                <w:sz w:val="15"/>
                <w:szCs w:val="15"/>
                <w:color w:val="auto"/>
              </w:rPr>
            </w:pPr>
          </w:p>
        </w:tc>
        <w:tc>
          <w:tcPr>
            <w:tcW w:w="740" w:type="dxa"/>
            <w:vAlign w:val="bottom"/>
            <w:shd w:val="clear" w:color="auto" w:fill="53C072"/>
          </w:tcPr>
          <w:p>
            <w:pPr>
              <w:spacing w:after="0"/>
              <w:rPr>
                <w:sz w:val="15"/>
                <w:szCs w:val="15"/>
                <w:color w:val="auto"/>
              </w:rPr>
            </w:pPr>
          </w:p>
        </w:tc>
        <w:tc>
          <w:tcPr>
            <w:tcW w:w="320" w:type="dxa"/>
            <w:vAlign w:val="bottom"/>
            <w:shd w:val="clear" w:color="auto" w:fill="53C072"/>
          </w:tcPr>
          <w:p>
            <w:pPr>
              <w:spacing w:after="0"/>
              <w:rPr>
                <w:sz w:val="15"/>
                <w:szCs w:val="15"/>
                <w:color w:val="auto"/>
              </w:rPr>
            </w:pPr>
          </w:p>
        </w:tc>
        <w:tc>
          <w:tcPr>
            <w:tcW w:w="840" w:type="dxa"/>
            <w:vAlign w:val="bottom"/>
            <w:shd w:val="clear" w:color="auto" w:fill="53C072"/>
          </w:tcPr>
          <w:p>
            <w:pPr>
              <w:spacing w:after="0"/>
              <w:rPr>
                <w:sz w:val="15"/>
                <w:szCs w:val="15"/>
                <w:color w:val="auto"/>
              </w:rPr>
            </w:pPr>
          </w:p>
        </w:tc>
        <w:tc>
          <w:tcPr>
            <w:tcW w:w="840" w:type="dxa"/>
            <w:vAlign w:val="bottom"/>
            <w:gridSpan w:val="2"/>
            <w:shd w:val="clear" w:color="auto" w:fill="53C072"/>
          </w:tcPr>
          <w:p>
            <w:pPr>
              <w:jc w:val="right"/>
              <w:ind w:right="160"/>
              <w:spacing w:after="0"/>
              <w:rPr>
                <w:sz w:val="20"/>
                <w:szCs w:val="20"/>
                <w:color w:val="auto"/>
              </w:rPr>
            </w:pPr>
            <w:r>
              <w:rPr>
                <w:rFonts w:ascii="Arial" w:cs="Arial" w:eastAsia="Arial" w:hAnsi="Arial"/>
                <w:sz w:val="14"/>
                <w:szCs w:val="14"/>
                <w:b w:val="1"/>
                <w:bCs w:val="1"/>
                <w:color w:val="FEFEFE"/>
              </w:rPr>
              <w:t>Diluted</w:t>
            </w:r>
          </w:p>
        </w:tc>
      </w:tr>
      <w:tr>
        <w:trPr>
          <w:trHeight w:val="162"/>
        </w:trPr>
        <w:tc>
          <w:tcPr>
            <w:tcW w:w="5820" w:type="dxa"/>
            <w:vAlign w:val="bottom"/>
            <w:shd w:val="clear" w:color="auto" w:fill="53C072"/>
          </w:tcPr>
          <w:p>
            <w:pPr>
              <w:spacing w:after="0"/>
              <w:rPr>
                <w:sz w:val="14"/>
                <w:szCs w:val="14"/>
                <w:color w:val="auto"/>
              </w:rPr>
            </w:pPr>
          </w:p>
        </w:tc>
        <w:tc>
          <w:tcPr>
            <w:tcW w:w="140" w:type="dxa"/>
            <w:vAlign w:val="bottom"/>
            <w:shd w:val="clear" w:color="auto" w:fill="53C072"/>
          </w:tcPr>
          <w:p>
            <w:pPr>
              <w:spacing w:after="0"/>
              <w:rPr>
                <w:sz w:val="14"/>
                <w:szCs w:val="14"/>
                <w:color w:val="auto"/>
              </w:rPr>
            </w:pPr>
          </w:p>
        </w:tc>
        <w:tc>
          <w:tcPr>
            <w:tcW w:w="60" w:type="dxa"/>
            <w:vAlign w:val="bottom"/>
            <w:shd w:val="clear" w:color="auto" w:fill="53C072"/>
          </w:tcPr>
          <w:p>
            <w:pPr>
              <w:spacing w:after="0"/>
              <w:rPr>
                <w:sz w:val="14"/>
                <w:szCs w:val="14"/>
                <w:color w:val="auto"/>
              </w:rPr>
            </w:pP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w w:val="99"/>
              </w:rPr>
              <w:t>Operating</w:t>
            </w:r>
          </w:p>
        </w:tc>
        <w:tc>
          <w:tcPr>
            <w:tcW w:w="320" w:type="dxa"/>
            <w:vAlign w:val="bottom"/>
            <w:shd w:val="clear" w:color="auto" w:fill="53C072"/>
          </w:tcPr>
          <w:p>
            <w:pPr>
              <w:spacing w:after="0"/>
              <w:rPr>
                <w:sz w:val="14"/>
                <w:szCs w:val="14"/>
                <w:color w:val="auto"/>
              </w:rPr>
            </w:pPr>
          </w:p>
        </w:tc>
        <w:tc>
          <w:tcPr>
            <w:tcW w:w="840" w:type="dxa"/>
            <w:vAlign w:val="bottom"/>
            <w:shd w:val="clear" w:color="auto" w:fill="53C072"/>
          </w:tcPr>
          <w:p>
            <w:pPr>
              <w:jc w:val="right"/>
              <w:ind w:right="135"/>
              <w:spacing w:after="0"/>
              <w:rPr>
                <w:sz w:val="20"/>
                <w:szCs w:val="20"/>
                <w:color w:val="auto"/>
              </w:rPr>
            </w:pPr>
            <w:r>
              <w:rPr>
                <w:rFonts w:ascii="Arial" w:cs="Arial" w:eastAsia="Arial" w:hAnsi="Arial"/>
                <w:sz w:val="14"/>
                <w:szCs w:val="14"/>
                <w:b w:val="1"/>
                <w:bCs w:val="1"/>
                <w:color w:val="FEFEFE"/>
              </w:rPr>
              <w:t>Net</w:t>
            </w:r>
          </w:p>
        </w:tc>
        <w:tc>
          <w:tcPr>
            <w:tcW w:w="840" w:type="dxa"/>
            <w:vAlign w:val="bottom"/>
            <w:gridSpan w:val="2"/>
            <w:shd w:val="clear" w:color="auto" w:fill="53C072"/>
          </w:tcPr>
          <w:p>
            <w:pPr>
              <w:jc w:val="right"/>
              <w:ind w:right="160"/>
              <w:spacing w:after="0"/>
              <w:rPr>
                <w:sz w:val="20"/>
                <w:szCs w:val="20"/>
                <w:color w:val="auto"/>
              </w:rPr>
            </w:pPr>
            <w:r>
              <w:rPr>
                <w:rFonts w:ascii="Arial" w:cs="Arial" w:eastAsia="Arial" w:hAnsi="Arial"/>
                <w:sz w:val="14"/>
                <w:szCs w:val="14"/>
                <w:b w:val="1"/>
                <w:bCs w:val="1"/>
                <w:color w:val="FEFEFE"/>
              </w:rPr>
              <w:t>Earnings</w:t>
            </w:r>
          </w:p>
        </w:tc>
      </w:tr>
      <w:tr>
        <w:trPr>
          <w:trHeight w:val="171"/>
        </w:trPr>
        <w:tc>
          <w:tcPr>
            <w:tcW w:w="5820" w:type="dxa"/>
            <w:vAlign w:val="bottom"/>
            <w:shd w:val="clear" w:color="auto" w:fill="53C072"/>
          </w:tcPr>
          <w:p>
            <w:pPr>
              <w:spacing w:after="0"/>
              <w:rPr>
                <w:sz w:val="14"/>
                <w:szCs w:val="14"/>
                <w:color w:val="auto"/>
              </w:rPr>
            </w:pPr>
          </w:p>
        </w:tc>
        <w:tc>
          <w:tcPr>
            <w:tcW w:w="140" w:type="dxa"/>
            <w:vAlign w:val="bottom"/>
            <w:shd w:val="clear" w:color="auto" w:fill="53C072"/>
          </w:tcPr>
          <w:p>
            <w:pPr>
              <w:spacing w:after="0"/>
              <w:rPr>
                <w:sz w:val="14"/>
                <w:szCs w:val="14"/>
                <w:color w:val="auto"/>
              </w:rPr>
            </w:pPr>
          </w:p>
        </w:tc>
        <w:tc>
          <w:tcPr>
            <w:tcW w:w="60" w:type="dxa"/>
            <w:vAlign w:val="bottom"/>
            <w:shd w:val="clear" w:color="auto" w:fill="53C072"/>
          </w:tcPr>
          <w:p>
            <w:pPr>
              <w:spacing w:after="0"/>
              <w:rPr>
                <w:sz w:val="14"/>
                <w:szCs w:val="14"/>
                <w:color w:val="auto"/>
              </w:rPr>
            </w:pP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Income</w:t>
            </w:r>
          </w:p>
        </w:tc>
        <w:tc>
          <w:tcPr>
            <w:tcW w:w="320" w:type="dxa"/>
            <w:vAlign w:val="bottom"/>
            <w:shd w:val="clear" w:color="auto" w:fill="53C072"/>
          </w:tcPr>
          <w:p>
            <w:pPr>
              <w:spacing w:after="0"/>
              <w:rPr>
                <w:sz w:val="14"/>
                <w:szCs w:val="14"/>
                <w:color w:val="auto"/>
              </w:rPr>
            </w:pPr>
          </w:p>
        </w:tc>
        <w:tc>
          <w:tcPr>
            <w:tcW w:w="840" w:type="dxa"/>
            <w:vAlign w:val="bottom"/>
            <w:shd w:val="clear" w:color="auto" w:fill="53C072"/>
          </w:tcPr>
          <w:p>
            <w:pPr>
              <w:jc w:val="right"/>
              <w:ind w:right="95"/>
              <w:spacing w:after="0"/>
              <w:rPr>
                <w:sz w:val="20"/>
                <w:szCs w:val="20"/>
                <w:color w:val="auto"/>
              </w:rPr>
            </w:pPr>
            <w:r>
              <w:rPr>
                <w:rFonts w:ascii="Arial" w:cs="Arial" w:eastAsia="Arial" w:hAnsi="Arial"/>
                <w:sz w:val="14"/>
                <w:szCs w:val="14"/>
                <w:b w:val="1"/>
                <w:bCs w:val="1"/>
                <w:color w:val="FEFEFE"/>
              </w:rPr>
              <w:t>Income</w:t>
            </w:r>
          </w:p>
        </w:tc>
        <w:tc>
          <w:tcPr>
            <w:tcW w:w="840" w:type="dxa"/>
            <w:vAlign w:val="bottom"/>
            <w:gridSpan w:val="2"/>
            <w:shd w:val="clear" w:color="auto" w:fill="53C072"/>
          </w:tcPr>
          <w:p>
            <w:pPr>
              <w:jc w:val="right"/>
              <w:ind w:right="120"/>
              <w:spacing w:after="0"/>
              <w:rPr>
                <w:sz w:val="20"/>
                <w:szCs w:val="20"/>
                <w:color w:val="auto"/>
              </w:rPr>
            </w:pPr>
            <w:r>
              <w:rPr>
                <w:rFonts w:ascii="Arial" w:cs="Arial" w:eastAsia="Arial" w:hAnsi="Arial"/>
                <w:sz w:val="14"/>
                <w:szCs w:val="14"/>
                <w:b w:val="1"/>
                <w:bCs w:val="1"/>
                <w:color w:val="FEFEFE"/>
              </w:rPr>
              <w:t>Per Share</w:t>
            </w:r>
          </w:p>
        </w:tc>
      </w:tr>
      <w:tr>
        <w:trPr>
          <w:trHeight w:val="216"/>
        </w:trPr>
        <w:tc>
          <w:tcPr>
            <w:tcW w:w="5820" w:type="dxa"/>
            <w:vAlign w:val="bottom"/>
            <w:shd w:val="clear" w:color="auto" w:fill="53C072"/>
          </w:tcPr>
          <w:p>
            <w:pPr>
              <w:spacing w:after="0"/>
              <w:rPr>
                <w:sz w:val="18"/>
                <w:szCs w:val="18"/>
                <w:color w:val="auto"/>
              </w:rPr>
            </w:pPr>
          </w:p>
        </w:tc>
        <w:tc>
          <w:tcPr>
            <w:tcW w:w="140" w:type="dxa"/>
            <w:vAlign w:val="bottom"/>
            <w:shd w:val="clear" w:color="auto" w:fill="53C072"/>
          </w:tcPr>
          <w:p>
            <w:pPr>
              <w:spacing w:after="0"/>
              <w:rPr>
                <w:sz w:val="18"/>
                <w:szCs w:val="18"/>
                <w:color w:val="auto"/>
              </w:rPr>
            </w:pPr>
          </w:p>
        </w:tc>
        <w:tc>
          <w:tcPr>
            <w:tcW w:w="60" w:type="dxa"/>
            <w:vAlign w:val="bottom"/>
            <w:shd w:val="clear" w:color="auto" w:fill="53C072"/>
          </w:tcPr>
          <w:p>
            <w:pPr>
              <w:spacing w:after="0"/>
              <w:rPr>
                <w:sz w:val="18"/>
                <w:szCs w:val="18"/>
                <w:color w:val="auto"/>
              </w:rPr>
            </w:pPr>
          </w:p>
        </w:tc>
        <w:tc>
          <w:tcPr>
            <w:tcW w:w="2740" w:type="dxa"/>
            <w:vAlign w:val="bottom"/>
            <w:gridSpan w:val="5"/>
            <w:shd w:val="clear" w:color="auto" w:fill="53C072"/>
          </w:tcPr>
          <w:p>
            <w:pPr>
              <w:jc w:val="right"/>
              <w:ind w:right="120"/>
              <w:spacing w:after="0"/>
              <w:rPr>
                <w:sz w:val="20"/>
                <w:szCs w:val="20"/>
                <w:color w:val="auto"/>
              </w:rPr>
            </w:pPr>
            <w:r>
              <w:rPr>
                <w:rFonts w:ascii="Arial" w:cs="Arial" w:eastAsia="Arial" w:hAnsi="Arial"/>
                <w:sz w:val="14"/>
                <w:szCs w:val="14"/>
                <w:b w:val="1"/>
                <w:bCs w:val="1"/>
                <w:color w:val="FEFEFE"/>
              </w:rPr>
              <w:t>(thousands except per share data)</w:t>
            </w:r>
          </w:p>
        </w:tc>
      </w:tr>
      <w:tr>
        <w:trPr>
          <w:trHeight w:val="243"/>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GAAP results</w:t>
            </w: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​$1,186,800</w:t>
            </w:r>
          </w:p>
        </w:tc>
        <w:tc>
          <w:tcPr>
            <w:tcW w:w="1160" w:type="dxa"/>
            <w:vAlign w:val="bottom"/>
            <w:gridSpan w:val="2"/>
          </w:tcPr>
          <w:p>
            <w:pPr>
              <w:jc w:val="right"/>
              <w:ind w:right="95"/>
              <w:spacing w:after="0"/>
              <w:rPr>
                <w:sz w:val="20"/>
                <w:szCs w:val="20"/>
                <w:color w:val="auto"/>
              </w:rPr>
            </w:pPr>
            <w:r>
              <w:rPr>
                <w:rFonts w:ascii="Arial" w:cs="Arial" w:eastAsia="Arial" w:hAnsi="Arial"/>
                <w:sz w:val="18"/>
                <w:szCs w:val="18"/>
                <w:b w:val="1"/>
                <w:bCs w:val="1"/>
                <w:color w:val="auto"/>
              </w:rPr>
              <w:t>​$770,828</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$8.26</w:t>
            </w:r>
          </w:p>
        </w:tc>
        <w:tc>
          <w:tcPr>
            <w:tcW w:w="120" w:type="dxa"/>
            <w:vAlign w:val="bottom"/>
          </w:tcPr>
          <w:p>
            <w:pPr>
              <w:spacing w:after="0"/>
              <w:rPr>
                <w:sz w:val="21"/>
                <w:szCs w:val="21"/>
                <w:color w:val="auto"/>
              </w:rPr>
            </w:pPr>
          </w:p>
        </w:tc>
      </w:tr>
      <w:tr>
        <w:trPr>
          <w:trHeight w:val="243"/>
        </w:trPr>
        <w:tc>
          <w:tcPr>
            <w:tcW w:w="58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Restructuring, integration and other expenses</w:t>
            </w: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28,038</w:t>
            </w:r>
          </w:p>
        </w:tc>
        <w:tc>
          <w:tcPr>
            <w:tcW w:w="320" w:type="dxa"/>
            <w:vAlign w:val="bottom"/>
            <w:shd w:val="clear" w:color="auto" w:fill="CBECD5"/>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95"/>
              <w:spacing w:after="0"/>
              <w:rPr>
                <w:sz w:val="20"/>
                <w:szCs w:val="20"/>
                <w:color w:val="auto"/>
              </w:rPr>
            </w:pPr>
            <w:r>
              <w:rPr>
                <w:rFonts w:ascii="Arial" w:cs="Arial" w:eastAsia="Arial" w:hAnsi="Arial"/>
                <w:sz w:val="18"/>
                <w:szCs w:val="18"/>
                <w:color w:val="auto"/>
              </w:rPr>
              <w:t>22,031</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BECD5"/>
          </w:tcPr>
          <w:p>
            <w:pPr>
              <w:spacing w:after="0"/>
              <w:rPr>
                <w:sz w:val="21"/>
                <w:szCs w:val="21"/>
                <w:color w:val="auto"/>
              </w:rPr>
            </w:pPr>
          </w:p>
        </w:tc>
      </w:tr>
      <w:tr>
        <w:trPr>
          <w:trHeight w:val="243"/>
        </w:trPr>
        <w:tc>
          <w:tcPr>
            <w:tcW w:w="5820" w:type="dxa"/>
            <w:vAlign w:val="bottom"/>
          </w:tcPr>
          <w:p>
            <w:pPr>
              <w:ind w:left="120"/>
              <w:spacing w:after="0"/>
              <w:rPr>
                <w:sz w:val="20"/>
                <w:szCs w:val="20"/>
                <w:color w:val="auto"/>
              </w:rPr>
            </w:pPr>
            <w:r>
              <w:rPr>
                <w:rFonts w:ascii="Arial" w:cs="Arial" w:eastAsia="Arial" w:hAnsi="Arial"/>
                <w:sz w:val="18"/>
                <w:szCs w:val="18"/>
                <w:color w:val="auto"/>
              </w:rPr>
              <w:t>Amortization of intangible assets and other</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6,053</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4,693</w:t>
            </w:r>
          </w:p>
        </w:tc>
        <w:tc>
          <w:tcPr>
            <w:tcW w:w="72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r>
      <w:tr>
        <w:trPr>
          <w:trHeight w:val="243"/>
        </w:trPr>
        <w:tc>
          <w:tcPr>
            <w:tcW w:w="58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Gain on legal settlements and other</w:t>
            </w: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35"/>
              <w:spacing w:after="0"/>
              <w:rPr>
                <w:sz w:val="20"/>
                <w:szCs w:val="20"/>
                <w:color w:val="auto"/>
              </w:rPr>
            </w:pPr>
            <w:r>
              <w:rPr>
                <w:rFonts w:ascii="Arial" w:cs="Arial" w:eastAsia="Arial" w:hAnsi="Arial"/>
                <w:sz w:val="18"/>
                <w:szCs w:val="18"/>
                <w:color w:val="auto"/>
              </w:rPr>
              <w:t>(28,325)</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BECD5"/>
          </w:tcPr>
          <w:p>
            <w:pPr>
              <w:spacing w:after="0"/>
              <w:rPr>
                <w:sz w:val="21"/>
                <w:szCs w:val="21"/>
                <w:color w:val="auto"/>
              </w:rPr>
            </w:pPr>
          </w:p>
        </w:tc>
      </w:tr>
      <w:tr>
        <w:trPr>
          <w:trHeight w:val="243"/>
        </w:trPr>
        <w:tc>
          <w:tcPr>
            <w:tcW w:w="5820" w:type="dxa"/>
            <w:vAlign w:val="bottom"/>
          </w:tcPr>
          <w:p>
            <w:pPr>
              <w:ind w:left="120"/>
              <w:spacing w:after="0"/>
              <w:rPr>
                <w:sz w:val="20"/>
                <w:szCs w:val="20"/>
                <w:color w:val="auto"/>
              </w:rPr>
            </w:pPr>
            <w:r>
              <w:rPr>
                <w:rFonts w:ascii="Arial" w:cs="Arial" w:eastAsia="Arial" w:hAnsi="Arial"/>
                <w:sz w:val="18"/>
                <w:szCs w:val="18"/>
                <w:color w:val="auto"/>
              </w:rPr>
              <w:t>Income tax adjustments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(16,453)</w:t>
            </w:r>
          </w:p>
        </w:tc>
        <w:tc>
          <w:tcPr>
            <w:tcW w:w="72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r>
      <w:tr>
        <w:trPr>
          <w:trHeight w:val="243"/>
        </w:trPr>
        <w:tc>
          <w:tcPr>
            <w:tcW w:w="58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Total adjustments</w:t>
            </w: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34,091</w:t>
            </w:r>
          </w:p>
        </w:tc>
        <w:tc>
          <w:tcPr>
            <w:tcW w:w="320" w:type="dxa"/>
            <w:vAlign w:val="bottom"/>
            <w:shd w:val="clear" w:color="auto" w:fill="CBECD5"/>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35"/>
              <w:spacing w:after="0"/>
              <w:rPr>
                <w:sz w:val="20"/>
                <w:szCs w:val="20"/>
                <w:color w:val="auto"/>
              </w:rPr>
            </w:pPr>
            <w:r>
              <w:rPr>
                <w:rFonts w:ascii="Arial" w:cs="Arial" w:eastAsia="Arial" w:hAnsi="Arial"/>
                <w:sz w:val="18"/>
                <w:szCs w:val="18"/>
                <w:color w:val="auto"/>
              </w:rPr>
              <w:t>(18,054)</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BECD5"/>
          </w:tcPr>
          <w:p>
            <w:pPr>
              <w:spacing w:after="0"/>
              <w:rPr>
                <w:sz w:val="21"/>
                <w:szCs w:val="21"/>
                <w:color w:val="auto"/>
              </w:rPr>
            </w:pPr>
          </w:p>
        </w:tc>
      </w:tr>
      <w:tr>
        <w:trPr>
          <w:trHeight w:val="290"/>
        </w:trPr>
        <w:tc>
          <w:tcPr>
            <w:tcW w:w="5820" w:type="dxa"/>
            <w:vAlign w:val="bottom"/>
            <w:tcBorders>
              <w:bottom w:val="single" w:sz="8" w:color="53C072"/>
            </w:tcBorders>
          </w:tcPr>
          <w:p>
            <w:pPr>
              <w:ind w:left="120"/>
              <w:spacing w:after="0"/>
              <w:rPr>
                <w:sz w:val="20"/>
                <w:szCs w:val="20"/>
                <w:color w:val="auto"/>
              </w:rPr>
            </w:pPr>
            <w:r>
              <w:rPr>
                <w:rFonts w:ascii="Arial" w:cs="Arial" w:eastAsia="Arial" w:hAnsi="Arial"/>
                <w:sz w:val="18"/>
                <w:szCs w:val="18"/>
                <w:b w:val="1"/>
                <w:bCs w:val="1"/>
                <w:color w:val="auto"/>
              </w:rPr>
              <w:t>Adjusted non-GAAP results</w:t>
            </w:r>
          </w:p>
        </w:tc>
        <w:tc>
          <w:tcPr>
            <w:tcW w:w="940" w:type="dxa"/>
            <w:vAlign w:val="bottom"/>
            <w:tcBorders>
              <w:bottom w:val="single" w:sz="8" w:color="53C072"/>
            </w:tcBorders>
            <w:gridSpan w:val="3"/>
          </w:tcPr>
          <w:p>
            <w:pPr>
              <w:jc w:val="right"/>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7"/>
                <w:szCs w:val="17"/>
                <w:b w:val="1"/>
                <w:bCs w:val="1"/>
                <w:color w:val="auto"/>
              </w:rPr>
              <w:t>$1,220,891</w:t>
            </w:r>
          </w:p>
        </w:tc>
        <w:tc>
          <w:tcPr>
            <w:tcW w:w="1160" w:type="dxa"/>
            <w:vAlign w:val="bottom"/>
            <w:tcBorders>
              <w:bottom w:val="single" w:sz="8" w:color="53C072"/>
            </w:tcBorders>
            <w:gridSpan w:val="2"/>
          </w:tcPr>
          <w:p>
            <w:pPr>
              <w:jc w:val="right"/>
              <w:ind w:right="95"/>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7"/>
                <w:szCs w:val="17"/>
                <w:b w:val="1"/>
                <w:bCs w:val="1"/>
                <w:color w:val="auto"/>
              </w:rPr>
              <w:t>$752,774</w:t>
            </w:r>
          </w:p>
        </w:tc>
        <w:tc>
          <w:tcPr>
            <w:tcW w:w="720" w:type="dxa"/>
            <w:vAlign w:val="bottom"/>
            <w:tcBorders>
              <w:bottom w:val="single" w:sz="8" w:color="53C072"/>
            </w:tcBorders>
          </w:tcPr>
          <w:p>
            <w:pPr>
              <w:jc w:val="right"/>
              <w:spacing w:after="0"/>
              <w:rPr>
                <w:sz w:val="20"/>
                <w:szCs w:val="20"/>
                <w:color w:val="auto"/>
              </w:rPr>
            </w:pPr>
            <w:r>
              <w:rPr>
                <w:rFonts w:ascii="Arial" w:cs="Arial" w:eastAsia="Arial" w:hAnsi="Arial"/>
                <w:sz w:val="18"/>
                <w:szCs w:val="18"/>
                <w:b w:val="1"/>
                <w:bCs w:val="1"/>
                <w:color w:val="auto"/>
              </w:rPr>
              <w:t>$8.06</w:t>
            </w:r>
          </w:p>
        </w:tc>
        <w:tc>
          <w:tcPr>
            <w:tcW w:w="120" w:type="dxa"/>
            <w:vAlign w:val="bottom"/>
            <w:tcBorders>
              <w:bottom w:val="single" w:sz="8" w:color="53C072"/>
            </w:tcBorders>
          </w:tcPr>
          <w:p>
            <w:pPr>
              <w:spacing w:after="0"/>
              <w:rPr>
                <w:sz w:val="24"/>
                <w:szCs w:val="24"/>
                <w:color w:val="auto"/>
              </w:rPr>
            </w:pPr>
          </w:p>
        </w:tc>
      </w:tr>
    </w:tbl>
    <w:p>
      <w:pPr>
        <w:spacing w:after="0" w:line="19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86     </w:t>
      </w:r>
      <w:r>
        <w:rPr>
          <w:sz w:val="1"/>
          <w:szCs w:val="1"/>
          <w:color w:val="auto"/>
        </w:rPr>
        <w:drawing>
          <wp:inline distT="0" distB="0" distL="0" distR="0">
            <wp:extent cx="1242695" cy="24003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680" w:type="dxa"/>
            <w:vAlign w:val="bottom"/>
          </w:tcPr>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tc>
        <w:tc>
          <w:tcPr>
            <w:tcW w:w="4060" w:type="dxa"/>
            <w:vAlign w:val="bottom"/>
            <w:vMerge w:val="restart"/>
          </w:tcPr>
          <w:p>
            <w:pPr>
              <w:ind w:left="3340"/>
              <w:spacing w:after="0"/>
              <w:rPr>
                <w:sz w:val="20"/>
                <w:szCs w:val="20"/>
                <w:color w:val="auto"/>
              </w:rPr>
            </w:pPr>
            <w:r>
              <w:rPr>
                <w:rFonts w:ascii="Arial" w:cs="Arial" w:eastAsia="Arial" w:hAnsi="Arial"/>
                <w:sz w:val="14"/>
                <w:szCs w:val="14"/>
                <w:color w:val="auto"/>
                <w:w w:val="97"/>
              </w:rPr>
              <w:t>Appendix A</w:t>
            </w:r>
          </w:p>
        </w:tc>
        <w:tc>
          <w:tcPr>
            <w:tcW w:w="0" w:type="dxa"/>
            <w:vAlign w:val="bottom"/>
          </w:tcPr>
          <w:p>
            <w:pPr>
              <w:spacing w:after="0"/>
              <w:rPr>
                <w:sz w:val="1"/>
                <w:szCs w:val="1"/>
                <w:color w:val="auto"/>
              </w:rPr>
            </w:pPr>
          </w:p>
        </w:tc>
      </w:tr>
      <w:tr>
        <w:trPr>
          <w:trHeight w:val="88"/>
        </w:trPr>
        <w:tc>
          <w:tcPr>
            <w:tcW w:w="568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680" w:type="dxa"/>
            <w:vAlign w:val="bottom"/>
            <w:vMerge w:val="continue"/>
          </w:tcPr>
          <w:p>
            <w:pPr>
              <w:spacing w:after="0"/>
              <w:rPr>
                <w:sz w:val="11"/>
                <w:szCs w:val="11"/>
                <w:color w:val="auto"/>
              </w:rPr>
            </w:pPr>
          </w:p>
        </w:tc>
        <w:tc>
          <w:tcPr>
            <w:tcW w:w="4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239"/>
        <w:spacing w:after="0" w:line="257" w:lineRule="auto"/>
        <w:rPr>
          <w:sz w:val="20"/>
          <w:szCs w:val="20"/>
          <w:color w:val="auto"/>
        </w:rPr>
      </w:pPr>
      <w:r>
        <w:rPr>
          <w:rFonts w:ascii="Arial" w:cs="Arial" w:eastAsia="Arial" w:hAnsi="Arial"/>
          <w:sz w:val="18"/>
          <w:szCs w:val="18"/>
          <w:color w:val="auto"/>
        </w:rPr>
        <w:t>The Company believes that operating income adjusted for the impact of the items identified above is a useful measure to help shareholders better assess and understand the Company’s operating performance, especially when comparing results with previous periods, primarily because management views the excluded items to be outside of the Company’s normal operating results or non-cash in nature. The Company analyzes operating income without the impact of these items as an indicator of ongoing margin performance and underlying trends in the business.</w:t>
      </w:r>
    </w:p>
    <w:p>
      <w:pPr>
        <w:spacing w:after="0" w:line="115" w:lineRule="exact"/>
        <w:rPr>
          <w:sz w:val="20"/>
          <w:szCs w:val="20"/>
          <w:color w:val="auto"/>
        </w:rPr>
      </w:pPr>
    </w:p>
    <w:p>
      <w:pPr>
        <w:ind w:left="1000" w:right="319"/>
        <w:spacing w:after="0" w:line="257" w:lineRule="auto"/>
        <w:rPr>
          <w:sz w:val="20"/>
          <w:szCs w:val="20"/>
          <w:color w:val="auto"/>
        </w:rPr>
      </w:pPr>
      <w:r>
        <w:rPr>
          <w:rFonts w:ascii="Arial" w:cs="Arial" w:eastAsia="Arial" w:hAnsi="Arial"/>
          <w:sz w:val="18"/>
          <w:szCs w:val="18"/>
          <w:color w:val="auto"/>
        </w:rPr>
        <w:t>The Company believes net income and diluted earnings per share, as adjusted for the impact of the items identified above, are useful measures to shareholders because they provide a measure of the Company’s net profitability on a more comparable basis to historical periods. Additionally, because of management’s focus on generating shareholder value, of which net profitability is a primary driver, management believes net income and diluted earnings per share, excluding the impact of these items, provide an important measure of the Company’s net results of operations.</w:t>
      </w:r>
    </w:p>
    <w:p>
      <w:pPr>
        <w:spacing w:after="0" w:line="115" w:lineRule="exact"/>
        <w:rPr>
          <w:sz w:val="20"/>
          <w:szCs w:val="20"/>
          <w:color w:val="auto"/>
        </w:rPr>
      </w:pPr>
    </w:p>
    <w:p>
      <w:pPr>
        <w:ind w:left="1000" w:right="299"/>
        <w:spacing w:after="0" w:line="262" w:lineRule="auto"/>
        <w:rPr>
          <w:sz w:val="20"/>
          <w:szCs w:val="20"/>
          <w:color w:val="auto"/>
        </w:rPr>
      </w:pPr>
      <w:r>
        <w:rPr>
          <w:rFonts w:ascii="Arial" w:cs="Arial" w:eastAsia="Arial" w:hAnsi="Arial"/>
          <w:sz w:val="18"/>
          <w:szCs w:val="18"/>
          <w:color w:val="auto"/>
        </w:rPr>
        <w:t>For a detailed description of the items adjusting the GAAP results in the table above, refer to the respective fiscal year’s Annual Report on Form 10-K filed with the Securities and Exchange Commission. Any analysis of results on a non-GAAP basis should be used as a complement to, and in conjunction with, data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199"/>
        <w:spacing w:after="0"/>
        <w:rPr>
          <w:sz w:val="20"/>
          <w:szCs w:val="20"/>
          <w:color w:val="auto"/>
        </w:rPr>
      </w:pPr>
      <w:r>
        <w:rPr>
          <w:sz w:val="1"/>
          <w:szCs w:val="1"/>
          <w:color w:val="auto"/>
        </w:rPr>
        <w:drawing>
          <wp:inline distT="0" distB="0" distL="0" distR="0">
            <wp:extent cx="1243330" cy="24003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180"/>
        <w:spacing w:after="0"/>
        <w:rPr>
          <w:sz w:val="20"/>
          <w:szCs w:val="20"/>
          <w:color w:val="auto"/>
        </w:rPr>
      </w:pPr>
      <w:r>
        <w:rPr>
          <w:rFonts w:ascii="Arial" w:cs="Arial" w:eastAsia="Arial" w:hAnsi="Arial"/>
          <w:sz w:val="40"/>
          <w:szCs w:val="40"/>
          <w:b w:val="1"/>
          <w:bCs w:val="1"/>
          <w:color w:val="FEFEFE"/>
        </w:rPr>
        <w:t>APPENDIX B</w:t>
      </w:r>
      <w:r>
        <w:rPr>
          <w:rFonts w:ascii="Times New Roman" w:cs="Times New Roman" w:eastAsia="Times New Roman" w:hAnsi="Times New Roman"/>
          <w:sz w:val="17"/>
          <w:szCs w:val="17"/>
          <w:color w:val="FEFEFE"/>
        </w:rPr>
        <w:t>​</w:t>
      </w:r>
    </w:p>
    <w:p>
      <w:pPr>
        <w:spacing w:after="0" w:line="22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AVNET, INC.</w:t>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2025 STOCK COMPENSATION AND INCENTIVE PLAN</w:t>
      </w:r>
    </w:p>
    <w:p>
      <w:pPr>
        <w:spacing w:after="0" w:line="121" w:lineRule="exact"/>
        <w:rPr>
          <w:sz w:val="20"/>
          <w:szCs w:val="20"/>
          <w:color w:val="auto"/>
        </w:rPr>
      </w:pPr>
    </w:p>
    <w:p>
      <w:pPr>
        <w:jc w:val="center"/>
        <w:ind w:right="-800"/>
        <w:spacing w:after="0"/>
        <w:rPr>
          <w:sz w:val="20"/>
          <w:szCs w:val="20"/>
          <w:color w:val="auto"/>
        </w:rPr>
      </w:pPr>
      <w:r>
        <w:rPr>
          <w:rFonts w:ascii="Arial" w:cs="Arial" w:eastAsia="Arial" w:hAnsi="Arial"/>
          <w:sz w:val="20"/>
          <w:szCs w:val="20"/>
          <w:b w:val="1"/>
          <w:bCs w:val="1"/>
          <w:color w:val="auto"/>
        </w:rPr>
        <w:t>ARTICLE 1</w:t>
      </w:r>
    </w:p>
    <w:p>
      <w:pPr>
        <w:spacing w:after="0" w:line="6"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PURPOSE OF THE PLAN</w:t>
      </w:r>
    </w:p>
    <w:p>
      <w:pPr>
        <w:spacing w:after="0" w:line="133" w:lineRule="exact"/>
        <w:rPr>
          <w:sz w:val="20"/>
          <w:szCs w:val="20"/>
          <w:color w:val="auto"/>
        </w:rPr>
      </w:pPr>
    </w:p>
    <w:p>
      <w:pPr>
        <w:ind w:left="1000" w:right="319"/>
        <w:spacing w:after="0" w:line="252" w:lineRule="auto"/>
        <w:rPr>
          <w:sz w:val="20"/>
          <w:szCs w:val="20"/>
          <w:color w:val="auto"/>
        </w:rPr>
      </w:pPr>
      <w:r>
        <w:rPr>
          <w:rFonts w:ascii="Arial" w:cs="Arial" w:eastAsia="Arial" w:hAnsi="Arial"/>
          <w:sz w:val="18"/>
          <w:szCs w:val="18"/>
          <w:color w:val="auto"/>
        </w:rPr>
        <w:t>The 2025 Stock Compensation and Incentive Plan is intended to advance Avnet’s interests by helping Avnet and its subsidiaries to attract, retain, and motivate high caliber talent to serve as Eligible Employees and Non-Employee Directors, and by providing incentives that are consistent with the shareholders’ interest in maximizing the value of Avnet’s stock.</w:t>
      </w:r>
    </w:p>
    <w:p>
      <w:pPr>
        <w:spacing w:after="0" w:line="98"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ARTICLE 2</w:t>
      </w:r>
    </w:p>
    <w:p>
      <w:pPr>
        <w:spacing w:after="0" w:line="6"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DEFINITIONS</w:t>
      </w:r>
    </w:p>
    <w:p>
      <w:pPr>
        <w:spacing w:after="0" w:line="13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terms, when used in capitalized form, shall have the meanings set forth below:</w:t>
      </w:r>
    </w:p>
    <w:p>
      <w:pPr>
        <w:spacing w:after="0" w:line="14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Administrator</w:t>
      </w:r>
      <w:r>
        <w:rPr>
          <w:rFonts w:ascii="Arial" w:cs="Arial" w:eastAsia="Arial" w:hAnsi="Arial"/>
          <w:sz w:val="18"/>
          <w:szCs w:val="18"/>
          <w:color w:val="auto"/>
        </w:rPr>
        <w:t xml:space="preserve"> means —</w:t>
      </w:r>
    </w:p>
    <w:p>
      <w:pPr>
        <w:spacing w:after="0" w:line="158" w:lineRule="exact"/>
        <w:rPr>
          <w:sz w:val="20"/>
          <w:szCs w:val="20"/>
          <w:color w:val="auto"/>
        </w:rPr>
      </w:pPr>
    </w:p>
    <w:p>
      <w:pPr>
        <w:ind w:left="1720" w:hanging="370"/>
        <w:spacing w:after="0"/>
        <w:tabs>
          <w:tab w:leader="none" w:pos="1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Committee, with respect to each Award granted to an Eligible Employee; and</w:t>
      </w:r>
    </w:p>
    <w:p>
      <w:pPr>
        <w:spacing w:after="0" w:line="157" w:lineRule="exact"/>
        <w:rPr>
          <w:rFonts w:ascii="Arial" w:cs="Arial" w:eastAsia="Arial" w:hAnsi="Arial"/>
          <w:sz w:val="18"/>
          <w:szCs w:val="18"/>
          <w:color w:val="auto"/>
        </w:rPr>
      </w:pPr>
    </w:p>
    <w:p>
      <w:pPr>
        <w:ind w:left="1720" w:hanging="370"/>
        <w:spacing w:after="0"/>
        <w:tabs>
          <w:tab w:leader="none" w:pos="1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Independent Directors, with respect to each Award granted to a Non-Employee Director.</w:t>
      </w:r>
    </w:p>
    <w:p>
      <w:pPr>
        <w:spacing w:after="0" w:line="144" w:lineRule="exact"/>
        <w:rPr>
          <w:sz w:val="20"/>
          <w:szCs w:val="20"/>
          <w:color w:val="auto"/>
        </w:rPr>
      </w:pPr>
    </w:p>
    <w:p>
      <w:pPr>
        <w:ind w:left="1000" w:right="159"/>
        <w:spacing w:after="0" w:line="261"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Agreement</w:t>
      </w:r>
      <w:r>
        <w:rPr>
          <w:rFonts w:ascii="Arial" w:cs="Arial" w:eastAsia="Arial" w:hAnsi="Arial"/>
          <w:sz w:val="18"/>
          <w:szCs w:val="18"/>
          <w:color w:val="auto"/>
        </w:rPr>
        <w:t xml:space="preserve"> means the document (written or electronic) that evidences an Award granted hereunder and sets forth the material terms thereof, including any addendum thereto. Each Agreement shall be in such form as prescribed or approved by the Administrator.</w:t>
      </w:r>
    </w:p>
    <w:p>
      <w:pPr>
        <w:spacing w:after="0" w:line="9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Avnet</w:t>
      </w:r>
      <w:r>
        <w:rPr>
          <w:rFonts w:ascii="Arial" w:cs="Arial" w:eastAsia="Arial" w:hAnsi="Arial"/>
          <w:sz w:val="18"/>
          <w:szCs w:val="18"/>
          <w:color w:val="auto"/>
        </w:rPr>
        <w:t xml:space="preserve"> means Avnet, Inc.</w:t>
      </w:r>
    </w:p>
    <w:p>
      <w:pPr>
        <w:spacing w:after="0" w:line="158" w:lineRule="exact"/>
        <w:rPr>
          <w:sz w:val="20"/>
          <w:szCs w:val="20"/>
          <w:color w:val="auto"/>
        </w:rPr>
      </w:pPr>
    </w:p>
    <w:p>
      <w:pPr>
        <w:ind w:left="1000" w:right="239"/>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Award</w:t>
      </w:r>
      <w:r>
        <w:rPr>
          <w:rFonts w:ascii="Arial" w:cs="Arial" w:eastAsia="Arial" w:hAnsi="Arial"/>
          <w:sz w:val="18"/>
          <w:szCs w:val="18"/>
          <w:color w:val="auto"/>
        </w:rPr>
        <w:t xml:space="preserve"> means a grant under the Plan of an Option, Stock Appreciation Right, Restricted Stock, Restricted Stock Unit, Performance Share Unit, Other Stock Unit Award, or Executive Incentive Performance Award, as evidenced by an Agreement.</w:t>
      </w:r>
    </w:p>
    <w:p>
      <w:pPr>
        <w:spacing w:after="0" w:line="90" w:lineRule="exact"/>
        <w:rPr>
          <w:sz w:val="20"/>
          <w:szCs w:val="20"/>
          <w:color w:val="auto"/>
        </w:rPr>
      </w:pPr>
    </w:p>
    <w:p>
      <w:pPr>
        <w:ind w:left="1000" w:right="579"/>
        <w:spacing w:after="0" w:line="28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Board of Directors</w:t>
      </w:r>
      <w:r>
        <w:rPr>
          <w:rFonts w:ascii="Arial" w:cs="Arial" w:eastAsia="Arial" w:hAnsi="Arial"/>
          <w:sz w:val="18"/>
          <w:szCs w:val="18"/>
          <w:color w:val="auto"/>
        </w:rPr>
        <w:t xml:space="preserve"> and </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mean, respectively, the Board of Directors of Avnet and any member thereof.</w:t>
      </w:r>
    </w:p>
    <w:p>
      <w:pPr>
        <w:spacing w:after="0" w:line="8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Change in Control</w:t>
      </w:r>
      <w:r>
        <w:rPr>
          <w:rFonts w:ascii="Arial" w:cs="Arial" w:eastAsia="Arial" w:hAnsi="Arial"/>
          <w:sz w:val="18"/>
          <w:szCs w:val="18"/>
          <w:color w:val="auto"/>
        </w:rPr>
        <w:t xml:space="preserve"> means the happening of any of the following:</w:t>
      </w:r>
    </w:p>
    <w:p>
      <w:pPr>
        <w:spacing w:after="0" w:line="158" w:lineRule="exact"/>
        <w:rPr>
          <w:sz w:val="20"/>
          <w:szCs w:val="20"/>
          <w:color w:val="auto"/>
        </w:rPr>
      </w:pPr>
    </w:p>
    <w:p>
      <w:pPr>
        <w:ind w:left="1340" w:right="279" w:firstLine="10"/>
        <w:spacing w:after="0" w:line="268" w:lineRule="auto"/>
        <w:tabs>
          <w:tab w:leader="none" w:pos="1702"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Exchange Act (a “Person”)) of beneficial ownership (within the meaning of Rule 13d-3 promulgated under the Exchange Act) of more than 30% of either: (A) the then outstanding shares of Stock or (B) the combined voting power of the then outstanding voting securities of Avnet entitled to vote generally in the election of Directors; provided, however, that the following transactions shall not constitute a Change in Control under this subsection (a): (i) any acquisition directly from Avnet (excluding an acquisition by virtue of the exercise of a conversion privilege), (ii) any acquisition by Avnet or an entity controlled by Avnet, or</w:t>
      </w:r>
    </w:p>
    <w:p>
      <w:pPr>
        <w:spacing w:after="0" w:line="2" w:lineRule="exact"/>
        <w:rPr>
          <w:rFonts w:ascii="Arial" w:cs="Arial" w:eastAsia="Arial" w:hAnsi="Arial"/>
          <w:sz w:val="17"/>
          <w:szCs w:val="17"/>
          <w:color w:val="auto"/>
        </w:rPr>
      </w:pPr>
    </w:p>
    <w:p>
      <w:pPr>
        <w:ind w:left="1340" w:right="239" w:firstLine="10"/>
        <w:spacing w:after="0" w:line="266" w:lineRule="auto"/>
        <w:tabs>
          <w:tab w:leader="none" w:pos="1622"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acquisition by any employee benefit plan (or related trust) sponsored or maintained by Avnet or any entity controlled by Avnet; or</w:t>
      </w:r>
    </w:p>
    <w:p>
      <w:pPr>
        <w:spacing w:after="0" w:line="90" w:lineRule="exact"/>
        <w:rPr>
          <w:rFonts w:ascii="Arial" w:cs="Arial" w:eastAsia="Arial" w:hAnsi="Arial"/>
          <w:sz w:val="18"/>
          <w:szCs w:val="18"/>
          <w:color w:val="auto"/>
        </w:rPr>
      </w:pPr>
    </w:p>
    <w:p>
      <w:pPr>
        <w:ind w:left="1340" w:right="279" w:firstLine="10"/>
        <w:spacing w:after="0" w:line="270" w:lineRule="auto"/>
        <w:tabs>
          <w:tab w:leader="none" w:pos="1702"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individuals who, as of the date of the 2025 annual meeting of Avnet’s stockholders (the “Determination Date”) constitute the Board of Directors (the “Incumbent Board”) cease for any reason to constitute at least a majority of the Board of Directors; provided, however, that an individual who becomes a Director subsequent to the Determination Date shall be treated as a member of the Incumbent Board if</w:t>
      </w:r>
    </w:p>
    <w:p>
      <w:pPr>
        <w:spacing w:after="0" w:line="2" w:lineRule="exact"/>
        <w:rPr>
          <w:rFonts w:ascii="Arial" w:cs="Arial" w:eastAsia="Arial" w:hAnsi="Arial"/>
          <w:sz w:val="17"/>
          <w:szCs w:val="17"/>
          <w:color w:val="auto"/>
        </w:rPr>
      </w:pPr>
    </w:p>
    <w:p>
      <w:pPr>
        <w:ind w:left="1340" w:right="259" w:firstLine="10"/>
        <w:spacing w:after="0" w:line="296" w:lineRule="auto"/>
        <w:tabs>
          <w:tab w:leader="none" w:pos="1544" w:val="left"/>
        </w:tabs>
        <w:numPr>
          <w:ilvl w:val="0"/>
          <w:numId w:val="79"/>
        </w:numPr>
        <w:rPr>
          <w:rFonts w:ascii="Arial" w:cs="Arial" w:eastAsia="Arial" w:hAnsi="Arial"/>
          <w:sz w:val="17"/>
          <w:szCs w:val="17"/>
          <w:color w:val="auto"/>
        </w:rPr>
      </w:pPr>
      <w:r>
        <w:rPr>
          <w:rFonts w:ascii="Arial" w:cs="Arial" w:eastAsia="Arial" w:hAnsi="Arial"/>
          <w:sz w:val="17"/>
          <w:szCs w:val="17"/>
          <w:color w:val="auto"/>
        </w:rPr>
        <w:t>his election, or nomination for election by Avnet’s stockholders, was approved by a vote of at least a majority of the Directors then comprising the Incumbent Board, and (ii) his initial assumption of office does</w:t>
      </w:r>
    </w:p>
    <w:p>
      <w:pPr>
        <w:spacing w:after="0" w:line="10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88     </w:t>
      </w:r>
      <w:r>
        <w:rPr>
          <w:sz w:val="1"/>
          <w:szCs w:val="1"/>
          <w:color w:val="auto"/>
        </w:rPr>
        <w:drawing>
          <wp:inline distT="0" distB="0" distL="0" distR="0">
            <wp:extent cx="1242695" cy="24003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180" w:lineRule="exact"/>
        <w:rPr>
          <w:sz w:val="20"/>
          <w:szCs w:val="20"/>
          <w:color w:val="auto"/>
        </w:rPr>
      </w:pPr>
    </w:p>
    <w:p>
      <w:pPr>
        <w:jc w:val="right"/>
        <w:ind w:right="139"/>
        <w:spacing w:after="0"/>
        <w:tabs>
          <w:tab w:leader="none" w:pos="840" w:val="left"/>
        </w:tabs>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r>
        <w:rPr>
          <w:sz w:val="20"/>
          <w:szCs w:val="20"/>
          <w:color w:val="auto"/>
        </w:rPr>
        <w:tab/>
      </w:r>
      <w:r>
        <w:rPr>
          <w:rFonts w:ascii="Arial" w:cs="Arial" w:eastAsia="Arial" w:hAnsi="Arial"/>
          <w:sz w:val="21"/>
          <w:szCs w:val="21"/>
          <w:color w:val="auto"/>
          <w:vertAlign w:val="subscript"/>
        </w:rPr>
        <w:t>APPENDIX B</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340" w:right="659"/>
        <w:spacing w:after="0" w:line="271" w:lineRule="auto"/>
        <w:rPr>
          <w:sz w:val="20"/>
          <w:szCs w:val="20"/>
          <w:color w:val="auto"/>
        </w:rPr>
      </w:pPr>
      <w:r>
        <w:rPr>
          <w:rFonts w:ascii="Arial" w:cs="Arial" w:eastAsia="Arial" w:hAnsi="Arial"/>
          <w:sz w:val="18"/>
          <w:szCs w:val="18"/>
          <w:color w:val="auto"/>
        </w:rPr>
        <w:t>not occur as a result of an actual or threatened solicitation of proxies or consents by or on behalf of a Person other than a majority of the then Incumbent Board; or</w:t>
      </w:r>
    </w:p>
    <w:p>
      <w:pPr>
        <w:spacing w:after="0" w:line="86" w:lineRule="exact"/>
        <w:rPr>
          <w:sz w:val="20"/>
          <w:szCs w:val="20"/>
          <w:color w:val="auto"/>
        </w:rPr>
      </w:pPr>
    </w:p>
    <w:p>
      <w:pPr>
        <w:ind w:left="1340" w:right="339" w:firstLine="10"/>
        <w:spacing w:after="0" w:line="271" w:lineRule="auto"/>
        <w:tabs>
          <w:tab w:leader="none" w:pos="169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complete liquidation or dissolution of Avnet, or the sale or other disposition of all or substantially all the assets of Avnet (in one or more transactions).</w:t>
      </w:r>
    </w:p>
    <w:p>
      <w:pPr>
        <w:spacing w:after="0" w:line="86" w:lineRule="exact"/>
        <w:rPr>
          <w:sz w:val="20"/>
          <w:szCs w:val="20"/>
          <w:color w:val="auto"/>
        </w:rPr>
      </w:pPr>
    </w:p>
    <w:p>
      <w:pPr>
        <w:ind w:left="1000" w:right="239"/>
        <w:spacing w:after="0" w:line="245" w:lineRule="auto"/>
        <w:rPr>
          <w:sz w:val="20"/>
          <w:szCs w:val="20"/>
          <w:color w:val="auto"/>
        </w:rPr>
      </w:pPr>
      <w:r>
        <w:rPr>
          <w:rFonts w:ascii="Arial" w:cs="Arial" w:eastAsia="Arial" w:hAnsi="Arial"/>
          <w:sz w:val="18"/>
          <w:szCs w:val="18"/>
          <w:color w:val="auto"/>
        </w:rPr>
        <w:t>Solely with respect to any Award that constitutes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Section 1.409A-3(i)(5), but only to the extent necessary to establish a time or form of payment that complies with Section 409A of the Code, without altering the definition of Change in Control for purposes of determining whether a Participant’s rights to such Award become vested or otherwise unconditional upon the Change in Control.</w:t>
      </w:r>
    </w:p>
    <w:p>
      <w:pPr>
        <w:spacing w:after="0" w:line="1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i w:val="1"/>
          <w:iCs w:val="1"/>
          <w:color w:val="auto"/>
        </w:rPr>
        <w:t>CEO</w:t>
      </w:r>
      <w:r>
        <w:rPr>
          <w:rFonts w:ascii="Arial" w:cs="Arial" w:eastAsia="Arial" w:hAnsi="Arial"/>
          <w:sz w:val="18"/>
          <w:szCs w:val="18"/>
          <w:color w:val="auto"/>
        </w:rPr>
        <w:t xml:space="preserve"> means the Chief Executive Officer of Avnet.</w:t>
      </w:r>
    </w:p>
    <w:p>
      <w:pPr>
        <w:spacing w:after="0" w:line="14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Code</w:t>
      </w:r>
      <w:r>
        <w:rPr>
          <w:rFonts w:ascii="Arial" w:cs="Arial" w:eastAsia="Arial" w:hAnsi="Arial"/>
          <w:sz w:val="18"/>
          <w:szCs w:val="18"/>
          <w:color w:val="auto"/>
        </w:rPr>
        <w:t xml:space="preserve"> means the Internal Revenue Code of 1986, as amended.</w:t>
      </w:r>
    </w:p>
    <w:p>
      <w:pPr>
        <w:spacing w:after="0" w:line="158" w:lineRule="exact"/>
        <w:rPr>
          <w:sz w:val="20"/>
          <w:szCs w:val="20"/>
          <w:color w:val="auto"/>
        </w:rPr>
      </w:pPr>
    </w:p>
    <w:p>
      <w:pPr>
        <w:ind w:left="1000" w:right="219"/>
        <w:spacing w:after="0" w:line="261"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means the Compensation and Leadership Development Committee of the Board of Directors, which shall consist of three or more Non-Employee Directors appointed by the Board of Directors. Only Non-Employee Directors, within the meaning of Rule 16b-3, may serve on the Committee.</w:t>
      </w:r>
    </w:p>
    <w:p>
      <w:pPr>
        <w:spacing w:after="0" w:line="9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means Avnet and all its Subsidiaries.</w:t>
      </w:r>
    </w:p>
    <w:p>
      <w:pPr>
        <w:spacing w:after="0" w:line="14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i w:val="1"/>
          <w:iCs w:val="1"/>
          <w:color w:val="auto"/>
        </w:rPr>
        <w:t>Disability</w:t>
      </w:r>
      <w:r>
        <w:rPr>
          <w:rFonts w:ascii="Arial" w:cs="Arial" w:eastAsia="Arial" w:hAnsi="Arial"/>
          <w:sz w:val="18"/>
          <w:szCs w:val="18"/>
          <w:color w:val="auto"/>
        </w:rPr>
        <w:t xml:space="preserve"> means a “permanent and total disability” as defined by Code section 22(e)(3).</w:t>
      </w:r>
    </w:p>
    <w:p>
      <w:pPr>
        <w:spacing w:after="0" w:line="158" w:lineRule="exact"/>
        <w:rPr>
          <w:sz w:val="20"/>
          <w:szCs w:val="20"/>
          <w:color w:val="auto"/>
        </w:rPr>
      </w:pPr>
    </w:p>
    <w:p>
      <w:pPr>
        <w:ind w:left="1000" w:right="459"/>
        <w:spacing w:after="0" w:line="271"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i w:val="1"/>
          <w:iCs w:val="1"/>
          <w:color w:val="auto"/>
        </w:rPr>
        <w:t>Eligible Employee</w:t>
      </w:r>
      <w:r>
        <w:rPr>
          <w:rFonts w:ascii="Arial" w:cs="Arial" w:eastAsia="Arial" w:hAnsi="Arial"/>
          <w:sz w:val="17"/>
          <w:szCs w:val="17"/>
          <w:color w:val="auto"/>
        </w:rPr>
        <w:t xml:space="preserve"> means an employee of Avnet or of any of its Subsidiaries. Eligible Employee shall also include an individual retained by Avnet or any of its Subsidiaries to render services as a consultant or advisor other than services in connection with the offer or sale of securities in a capital-raising transaction or services that directly or indirectly promote or maintain a market for Avnet’s securities.</w:t>
      </w:r>
    </w:p>
    <w:p>
      <w:pPr>
        <w:spacing w:after="0" w:line="8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i w:val="1"/>
          <w:iCs w:val="1"/>
          <w:color w:val="auto"/>
        </w:rPr>
        <w:t>Exchange Act</w:t>
      </w:r>
      <w:r>
        <w:rPr>
          <w:rFonts w:ascii="Arial" w:cs="Arial" w:eastAsia="Arial" w:hAnsi="Arial"/>
          <w:sz w:val="18"/>
          <w:szCs w:val="18"/>
          <w:color w:val="auto"/>
        </w:rPr>
        <w:t xml:space="preserve"> means the Securities Exchange Act of 1934, as amended.</w:t>
      </w:r>
    </w:p>
    <w:p>
      <w:pPr>
        <w:spacing w:after="0" w:line="158" w:lineRule="exact"/>
        <w:rPr>
          <w:sz w:val="20"/>
          <w:szCs w:val="20"/>
          <w:color w:val="auto"/>
        </w:rPr>
      </w:pPr>
    </w:p>
    <w:p>
      <w:pPr>
        <w:ind w:left="1000" w:right="139"/>
        <w:spacing w:after="0" w:line="271"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i w:val="1"/>
          <w:iCs w:val="1"/>
          <w:color w:val="auto"/>
        </w:rPr>
        <w:t>Executive Incentive Performance Award</w:t>
      </w:r>
      <w:r>
        <w:rPr>
          <w:rFonts w:ascii="Arial" w:cs="Arial" w:eastAsia="Arial" w:hAnsi="Arial"/>
          <w:sz w:val="18"/>
          <w:szCs w:val="18"/>
          <w:color w:val="auto"/>
        </w:rPr>
        <w:t xml:space="preserve"> or </w:t>
      </w:r>
      <w:r>
        <w:rPr>
          <w:rFonts w:ascii="Arial" w:cs="Arial" w:eastAsia="Arial" w:hAnsi="Arial"/>
          <w:sz w:val="18"/>
          <w:szCs w:val="18"/>
          <w:i w:val="1"/>
          <w:iCs w:val="1"/>
          <w:color w:val="auto"/>
        </w:rPr>
        <w:t>EIP Award</w:t>
      </w:r>
      <w:r>
        <w:rPr>
          <w:rFonts w:ascii="Arial" w:cs="Arial" w:eastAsia="Arial" w:hAnsi="Arial"/>
          <w:sz w:val="18"/>
          <w:szCs w:val="18"/>
          <w:color w:val="auto"/>
        </w:rPr>
        <w:t xml:space="preserve"> means a performance-based cash award granted pursuant to Article 11.</w:t>
      </w:r>
    </w:p>
    <w:p>
      <w:pPr>
        <w:spacing w:after="0" w:line="8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i w:val="1"/>
          <w:iCs w:val="1"/>
          <w:color w:val="auto"/>
        </w:rPr>
        <w:t>Executive Officer</w:t>
      </w:r>
      <w:r>
        <w:rPr>
          <w:rFonts w:ascii="Arial" w:cs="Arial" w:eastAsia="Arial" w:hAnsi="Arial"/>
          <w:sz w:val="18"/>
          <w:szCs w:val="18"/>
          <w:color w:val="auto"/>
        </w:rPr>
        <w:t xml:space="preserve"> means an employee designated by Avnet as an executive officer under Rule 16b-3.</w:t>
      </w:r>
    </w:p>
    <w:p>
      <w:pPr>
        <w:spacing w:after="0" w:line="158" w:lineRule="exact"/>
        <w:rPr>
          <w:sz w:val="20"/>
          <w:szCs w:val="20"/>
          <w:color w:val="auto"/>
        </w:rPr>
      </w:pPr>
    </w:p>
    <w:p>
      <w:pPr>
        <w:ind w:left="1000" w:right="239"/>
        <w:spacing w:after="0" w:line="252"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i w:val="1"/>
          <w:iCs w:val="1"/>
          <w:color w:val="auto"/>
        </w:rPr>
        <w:t>Fair Market Value</w:t>
      </w:r>
      <w:r>
        <w:rPr>
          <w:rFonts w:ascii="Arial" w:cs="Arial" w:eastAsia="Arial" w:hAnsi="Arial"/>
          <w:sz w:val="18"/>
          <w:szCs w:val="18"/>
          <w:color w:val="auto"/>
        </w:rPr>
        <w:t xml:space="preserve"> means, with respect to any date, the closing price (as reported for the Nasdaq Composite Index) at which shares of Stock have been sold on such date (or, if such date is a date for which no trading is so reported, on the next preceding date for which trading is so reported), or such other price as determined by the Committee in accordance with applicable law.</w:t>
      </w:r>
    </w:p>
    <w:p>
      <w:pPr>
        <w:spacing w:after="0" w:line="103" w:lineRule="exact"/>
        <w:rPr>
          <w:sz w:val="20"/>
          <w:szCs w:val="20"/>
          <w:color w:val="auto"/>
        </w:rPr>
      </w:pPr>
    </w:p>
    <w:p>
      <w:pPr>
        <w:ind w:left="1000" w:right="279"/>
        <w:spacing w:after="0" w:line="243"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i w:val="1"/>
          <w:iCs w:val="1"/>
          <w:color w:val="auto"/>
        </w:rPr>
        <w:t>Grant Date</w:t>
      </w:r>
      <w:r>
        <w:rPr>
          <w:rFonts w:ascii="Arial" w:cs="Arial" w:eastAsia="Arial" w:hAnsi="Arial"/>
          <w:sz w:val="18"/>
          <w:szCs w:val="18"/>
          <w:color w:val="auto"/>
        </w:rPr>
        <w:t xml:space="preserve"> means, with respect to granting an Award or modification of an outstanding Award, the date on which the material terms of the Award (including, as applicable, the number of shares covered by the Awards and the exercise price) are established and all action constituting the making or modification of such Award is completed, without regard to (a) the date on which the applicable Agreement is executed or</w:t>
      </w:r>
    </w:p>
    <w:p>
      <w:pPr>
        <w:spacing w:after="0" w:line="3" w:lineRule="exact"/>
        <w:rPr>
          <w:sz w:val="20"/>
          <w:szCs w:val="20"/>
          <w:color w:val="auto"/>
        </w:rPr>
      </w:pPr>
    </w:p>
    <w:p>
      <w:pPr>
        <w:ind w:left="1000" w:right="239" w:hanging="10"/>
        <w:spacing w:after="0" w:line="250" w:lineRule="auto"/>
        <w:tabs>
          <w:tab w:leader="none" w:pos="12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whether such Award or modification is subject to future shareholder approval or other conditions. The Grant Date for any Award shall not occur before the recipient of the Award becomes an Eligible Employee or Non-Employee Director, as applicable.</w:t>
      </w:r>
    </w:p>
    <w:p>
      <w:pPr>
        <w:spacing w:after="0" w:line="105" w:lineRule="exact"/>
        <w:rPr>
          <w:sz w:val="20"/>
          <w:szCs w:val="20"/>
          <w:color w:val="auto"/>
        </w:rPr>
      </w:pPr>
    </w:p>
    <w:p>
      <w:pPr>
        <w:ind w:left="1000" w:right="639"/>
        <w:spacing w:after="0" w:line="271"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i w:val="1"/>
          <w:iCs w:val="1"/>
          <w:color w:val="auto"/>
        </w:rPr>
        <w:t>Independent Directors</w:t>
      </w:r>
      <w:r>
        <w:rPr>
          <w:rFonts w:ascii="Arial" w:cs="Arial" w:eastAsia="Arial" w:hAnsi="Arial"/>
          <w:sz w:val="18"/>
          <w:szCs w:val="18"/>
          <w:color w:val="auto"/>
        </w:rPr>
        <w:t xml:space="preserve"> means members of the Board of Directors acting as a group, each of whom satisfies Avnet’s Director independence standards.</w:t>
      </w:r>
    </w:p>
    <w:p>
      <w:pPr>
        <w:spacing w:after="0" w:line="8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i w:val="1"/>
          <w:iCs w:val="1"/>
          <w:color w:val="auto"/>
        </w:rPr>
        <w:t>Non-Employee Director</w:t>
      </w:r>
      <w:r>
        <w:rPr>
          <w:rFonts w:ascii="Arial" w:cs="Arial" w:eastAsia="Arial" w:hAnsi="Arial"/>
          <w:sz w:val="18"/>
          <w:szCs w:val="18"/>
          <w:color w:val="auto"/>
        </w:rPr>
        <w:t xml:space="preserve"> means a Director who is not an Eligible Employee.</w:t>
      </w:r>
    </w:p>
    <w:p>
      <w:pPr>
        <w:spacing w:after="0" w:line="158" w:lineRule="exact"/>
        <w:rPr>
          <w:sz w:val="20"/>
          <w:szCs w:val="20"/>
          <w:color w:val="auto"/>
        </w:rPr>
      </w:pPr>
    </w:p>
    <w:p>
      <w:pPr>
        <w:jc w:val="both"/>
        <w:ind w:left="1000" w:right="199"/>
        <w:spacing w:after="0" w:line="253"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i w:val="1"/>
          <w:iCs w:val="1"/>
          <w:color w:val="auto"/>
        </w:rPr>
        <w:t>Option</w:t>
      </w:r>
      <w:r>
        <w:rPr>
          <w:rFonts w:ascii="Arial" w:cs="Arial" w:eastAsia="Arial" w:hAnsi="Arial"/>
          <w:sz w:val="18"/>
          <w:szCs w:val="18"/>
          <w:color w:val="auto"/>
        </w:rPr>
        <w:t xml:space="preserve"> means an Award granted pursuant to Article 5. In general, an Option gives the recipient the right to purchase a specified number of shares, which may be vested shares or Restricted Stock, at a specified price during a specified term, subject to the terms and conditions of the applicable Agreement.</w:t>
      </w:r>
    </w:p>
    <w:p>
      <w:pPr>
        <w:sectPr>
          <w:pgSz w:w="11900" w:h="16838" w:orient="portrait"/>
          <w:cols w:equalWidth="0" w:num="1">
            <w:col w:w="9879"/>
          </w:cols>
          <w:pgMar w:left="580" w:top="97" w:right="1440" w:bottom="1440" w:gutter="0" w:footer="0" w:header="0"/>
        </w:sectPr>
      </w:pPr>
    </w:p>
    <w:p>
      <w:pPr>
        <w:spacing w:after="0" w:line="108"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180" w:lineRule="exact"/>
        <w:rPr>
          <w:sz w:val="20"/>
          <w:szCs w:val="20"/>
          <w:color w:val="auto"/>
        </w:rPr>
      </w:pPr>
    </w:p>
    <w:p>
      <w:pPr>
        <w:jc w:val="right"/>
        <w:ind w:right="139"/>
        <w:spacing w:after="0"/>
        <w:tabs>
          <w:tab w:leader="none" w:pos="840" w:val="left"/>
        </w:tabs>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r>
        <w:rPr>
          <w:sz w:val="20"/>
          <w:szCs w:val="20"/>
          <w:color w:val="auto"/>
        </w:rPr>
        <w:tab/>
      </w:r>
      <w:r>
        <w:rPr>
          <w:rFonts w:ascii="Arial" w:cs="Arial" w:eastAsia="Arial" w:hAnsi="Arial"/>
          <w:sz w:val="21"/>
          <w:szCs w:val="21"/>
          <w:color w:val="auto"/>
          <w:vertAlign w:val="subscript"/>
        </w:rPr>
        <w:t>APPENDIX B</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000" w:right="159"/>
        <w:spacing w:after="0" w:line="268"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i w:val="1"/>
          <w:iCs w:val="1"/>
          <w:color w:val="auto"/>
        </w:rPr>
        <w:t>Optionee</w:t>
      </w:r>
      <w:r>
        <w:rPr>
          <w:rFonts w:ascii="Arial" w:cs="Arial" w:eastAsia="Arial" w:hAnsi="Arial"/>
          <w:sz w:val="18"/>
          <w:szCs w:val="18"/>
          <w:color w:val="auto"/>
        </w:rPr>
        <w:t xml:space="preserve"> means a person who, at the time in question, holds an Option that then remains unexercised in whole or in part, has not been surrendered, and has not expired or terminated. The term “Optionee” also includes any Successor Optionee.</w:t>
      </w:r>
    </w:p>
    <w:p>
      <w:pPr>
        <w:spacing w:after="0" w:line="90" w:lineRule="exact"/>
        <w:rPr>
          <w:sz w:val="20"/>
          <w:szCs w:val="20"/>
          <w:color w:val="auto"/>
        </w:rPr>
      </w:pPr>
    </w:p>
    <w:p>
      <w:pPr>
        <w:ind w:left="1000" w:right="159"/>
        <w:spacing w:after="0" w:line="287"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i w:val="1"/>
          <w:iCs w:val="1"/>
          <w:color w:val="auto"/>
        </w:rPr>
        <w:t>Other Stock Unit Award</w:t>
      </w:r>
      <w:r>
        <w:rPr>
          <w:rFonts w:ascii="Arial" w:cs="Arial" w:eastAsia="Arial" w:hAnsi="Arial"/>
          <w:sz w:val="18"/>
          <w:szCs w:val="18"/>
          <w:color w:val="auto"/>
        </w:rPr>
        <w:t xml:space="preserve"> means a full value Award (</w:t>
      </w:r>
      <w:r>
        <w:rPr>
          <w:rFonts w:ascii="Arial" w:cs="Arial" w:eastAsia="Arial" w:hAnsi="Arial"/>
          <w:sz w:val="18"/>
          <w:szCs w:val="18"/>
          <w:i w:val="1"/>
          <w:iCs w:val="1"/>
          <w:color w:val="auto"/>
        </w:rPr>
        <w:t>i.e.</w:t>
      </w:r>
      <w:r>
        <w:rPr>
          <w:rFonts w:ascii="Arial" w:cs="Arial" w:eastAsia="Arial" w:hAnsi="Arial"/>
          <w:sz w:val="18"/>
          <w:szCs w:val="18"/>
          <w:color w:val="auto"/>
        </w:rPr>
        <w:t>, not an Option, SAR, or other appreciation award) granted pursuant to Article 10.</w:t>
      </w:r>
    </w:p>
    <w:p>
      <w:pPr>
        <w:spacing w:after="0" w:line="85" w:lineRule="exact"/>
        <w:rPr>
          <w:sz w:val="20"/>
          <w:szCs w:val="20"/>
          <w:color w:val="auto"/>
        </w:rPr>
      </w:pPr>
    </w:p>
    <w:p>
      <w:pPr>
        <w:ind w:left="1000" w:right="519"/>
        <w:spacing w:after="0" w:line="287"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i w:val="1"/>
          <w:iCs w:val="1"/>
          <w:color w:val="auto"/>
        </w:rPr>
        <w:t>Participant</w:t>
      </w:r>
      <w:r>
        <w:rPr>
          <w:rFonts w:ascii="Arial" w:cs="Arial" w:eastAsia="Arial" w:hAnsi="Arial"/>
          <w:sz w:val="18"/>
          <w:szCs w:val="18"/>
          <w:color w:val="auto"/>
        </w:rPr>
        <w:t xml:space="preserve"> means an Eligible Employee or Non-Employee Director who has been granted an Award hereunder.</w:t>
      </w:r>
    </w:p>
    <w:p>
      <w:pPr>
        <w:spacing w:after="0" w:line="85" w:lineRule="exact"/>
        <w:rPr>
          <w:sz w:val="20"/>
          <w:szCs w:val="20"/>
          <w:color w:val="auto"/>
        </w:rPr>
      </w:pPr>
    </w:p>
    <w:p>
      <w:pPr>
        <w:ind w:left="1000" w:right="619"/>
        <w:spacing w:after="0" w:line="28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i w:val="1"/>
          <w:iCs w:val="1"/>
          <w:color w:val="auto"/>
        </w:rPr>
        <w:t>Performance Criteria</w:t>
      </w:r>
      <w:r>
        <w:rPr>
          <w:rFonts w:ascii="Arial" w:cs="Arial" w:eastAsia="Arial" w:hAnsi="Arial"/>
          <w:sz w:val="18"/>
          <w:szCs w:val="18"/>
          <w:color w:val="auto"/>
        </w:rPr>
        <w:t xml:space="preserve"> means any of the following criteria as related to Avnet, any Subsidiary, or any division or other area of Avnet or a Subsidiary:</w:t>
      </w:r>
    </w:p>
    <w:p>
      <w:pPr>
        <w:spacing w:after="0" w:line="72" w:lineRule="exact"/>
        <w:rPr>
          <w:sz w:val="20"/>
          <w:szCs w:val="20"/>
          <w:color w:val="auto"/>
        </w:rPr>
      </w:pPr>
    </w:p>
    <w:p>
      <w:pPr>
        <w:ind w:left="1340" w:right="159" w:firstLine="10"/>
        <w:spacing w:after="0" w:line="259" w:lineRule="auto"/>
        <w:tabs>
          <w:tab w:leader="none" w:pos="1702" w:val="left"/>
        </w:tabs>
        <w:numPr>
          <w:ilvl w:val="0"/>
          <w:numId w:val="82"/>
        </w:numPr>
        <w:rPr>
          <w:rFonts w:ascii="Arial" w:cs="Arial" w:eastAsia="Arial" w:hAnsi="Arial"/>
          <w:sz w:val="18"/>
          <w:szCs w:val="18"/>
          <w:color w:val="auto"/>
        </w:rPr>
      </w:pPr>
      <w:r>
        <w:rPr>
          <w:rFonts w:ascii="Arial" w:cs="Arial" w:eastAsia="Arial" w:hAnsi="Arial"/>
          <w:sz w:val="18"/>
          <w:szCs w:val="18"/>
          <w:color w:val="auto"/>
        </w:rPr>
        <w:t>Economic profit; economic value added; price of Stock; total stockholder return; revenues; sales; sales productivity; sales growth; net income; operating income; gross profit; earnings per share; return on equity; return on investment; return on capital employed; cash flow; operating margin; gross margin; operating unit contribution; achievement of annual operating profit plans; debt level; market share; net worth; or other similar financial performance measures as may be determined by the Committee; or</w:t>
      </w:r>
    </w:p>
    <w:p>
      <w:pPr>
        <w:spacing w:after="0" w:line="111" w:lineRule="exact"/>
        <w:rPr>
          <w:rFonts w:ascii="Arial" w:cs="Arial" w:eastAsia="Arial" w:hAnsi="Arial"/>
          <w:sz w:val="18"/>
          <w:szCs w:val="18"/>
          <w:color w:val="auto"/>
        </w:rPr>
      </w:pPr>
    </w:p>
    <w:p>
      <w:pPr>
        <w:ind w:left="1340" w:right="159" w:firstLine="10"/>
        <w:spacing w:after="0" w:line="271" w:lineRule="auto"/>
        <w:tabs>
          <w:tab w:leader="none" w:pos="1702" w:val="left"/>
        </w:tabs>
        <w:numPr>
          <w:ilvl w:val="0"/>
          <w:numId w:val="82"/>
        </w:numPr>
        <w:rPr>
          <w:rFonts w:ascii="Arial" w:cs="Arial" w:eastAsia="Arial" w:hAnsi="Arial"/>
          <w:sz w:val="17"/>
          <w:szCs w:val="17"/>
          <w:color w:val="auto"/>
        </w:rPr>
      </w:pPr>
      <w:r>
        <w:rPr>
          <w:rFonts w:ascii="Arial" w:cs="Arial" w:eastAsia="Arial" w:hAnsi="Arial"/>
          <w:sz w:val="17"/>
          <w:szCs w:val="17"/>
          <w:color w:val="auto"/>
        </w:rPr>
        <w:t>Strategic business criteria consisting of one or more objectives based on meeting specified market penetration or market share; geographic business expansion; objective customer satisfaction goals; objective goals relating to divestitures, joint ventures, mergers, acquisitions, and similar transactions; implementation or completion of specified projects or processes strategic or critical to the Company’s business operations; individual business objectives; objective measures of brand recognition/acceptance; performance achievements on designated projects or objectives; objective measures of regulatory compliance; objective measures of environmental, social and corporate governance; successful completion of internal or external audits; successful integration of business units; successful hiring, , retention of talent, or other succession planning; or objective measures of employee engagement and satisfaction.</w:t>
      </w:r>
    </w:p>
    <w:p>
      <w:pPr>
        <w:spacing w:after="0" w:line="10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addition, Performance Criteria may include any other criteria selected by the Committee.</w:t>
      </w:r>
    </w:p>
    <w:p>
      <w:pPr>
        <w:spacing w:after="0" w:line="144" w:lineRule="exact"/>
        <w:rPr>
          <w:sz w:val="20"/>
          <w:szCs w:val="20"/>
          <w:color w:val="auto"/>
        </w:rPr>
      </w:pPr>
    </w:p>
    <w:p>
      <w:pPr>
        <w:ind w:left="1000" w:right="159"/>
        <w:spacing w:after="0" w:line="262"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i w:val="1"/>
          <w:iCs w:val="1"/>
          <w:color w:val="auto"/>
        </w:rPr>
        <w:t>Performance Objectives</w:t>
      </w:r>
      <w:r>
        <w:rPr>
          <w:rFonts w:ascii="Arial" w:cs="Arial" w:eastAsia="Arial" w:hAnsi="Arial"/>
          <w:sz w:val="18"/>
          <w:szCs w:val="18"/>
          <w:color w:val="auto"/>
        </w:rPr>
        <w:t xml:space="preserve"> mean, for any Award that is contingent in whole or in part on achievement of performance objectives, the objectives or other performance levels with respect to specified Performance Criteria that are measured over a Performance Period for the purpose of determining the amount of such Award and/or whether such Award is granted or vested.</w:t>
      </w:r>
    </w:p>
    <w:p>
      <w:pPr>
        <w:spacing w:after="0" w:line="109" w:lineRule="exact"/>
        <w:rPr>
          <w:sz w:val="20"/>
          <w:szCs w:val="20"/>
          <w:color w:val="auto"/>
        </w:rPr>
      </w:pPr>
    </w:p>
    <w:p>
      <w:pPr>
        <w:ind w:left="1000" w:right="339"/>
        <w:spacing w:after="0" w:line="287"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i w:val="1"/>
          <w:iCs w:val="1"/>
          <w:color w:val="auto"/>
        </w:rPr>
        <w:t>Performance Period</w:t>
      </w:r>
      <w:r>
        <w:rPr>
          <w:rFonts w:ascii="Arial" w:cs="Arial" w:eastAsia="Arial" w:hAnsi="Arial"/>
          <w:sz w:val="18"/>
          <w:szCs w:val="18"/>
          <w:color w:val="auto"/>
        </w:rPr>
        <w:t xml:space="preserve"> means a period over which achievement of Performance Objectives is measured, as set forth in the applicable Agreement.</w:t>
      </w:r>
    </w:p>
    <w:p>
      <w:pPr>
        <w:spacing w:after="0" w:line="72" w:lineRule="exact"/>
        <w:rPr>
          <w:sz w:val="20"/>
          <w:szCs w:val="20"/>
          <w:color w:val="auto"/>
        </w:rPr>
      </w:pPr>
    </w:p>
    <w:p>
      <w:pPr>
        <w:ind w:left="1000" w:right="199"/>
        <w:spacing w:after="0" w:line="268"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i w:val="1"/>
          <w:iCs w:val="1"/>
          <w:color w:val="auto"/>
        </w:rPr>
        <w:t>Performance Share Unit</w:t>
      </w:r>
      <w:r>
        <w:rPr>
          <w:rFonts w:ascii="Arial" w:cs="Arial" w:eastAsia="Arial" w:hAnsi="Arial"/>
          <w:sz w:val="18"/>
          <w:szCs w:val="18"/>
          <w:color w:val="auto"/>
        </w:rPr>
        <w:t xml:space="preserve"> means an Award granted pursuant to Article 9. In general, a Performance Share Unit gives the recipient a contractual right to receive a particular number of shares of Stock or cash upon the attainment of specified Performance Objectives.</w:t>
      </w:r>
    </w:p>
    <w:p>
      <w:pPr>
        <w:spacing w:after="0" w:line="103" w:lineRule="exact"/>
        <w:rPr>
          <w:sz w:val="20"/>
          <w:szCs w:val="20"/>
          <w:color w:val="auto"/>
        </w:rPr>
      </w:pPr>
    </w:p>
    <w:p>
      <w:pPr>
        <w:ind w:left="1000" w:right="839"/>
        <w:spacing w:after="0" w:line="287"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i w:val="1"/>
          <w:iCs w:val="1"/>
          <w:color w:val="auto"/>
        </w:rPr>
        <w:t>Period of Restriction</w:t>
      </w:r>
      <w:r>
        <w:rPr>
          <w:rFonts w:ascii="Arial" w:cs="Arial" w:eastAsia="Arial" w:hAnsi="Arial"/>
          <w:sz w:val="18"/>
          <w:szCs w:val="18"/>
          <w:color w:val="auto"/>
        </w:rPr>
        <w:t xml:space="preserve"> means the period during which the transfer of shares of Restricted Stock is restricted, pursuant to Article 7.</w:t>
      </w:r>
    </w:p>
    <w:p>
      <w:pPr>
        <w:spacing w:after="0" w:line="85" w:lineRule="exact"/>
        <w:rPr>
          <w:sz w:val="20"/>
          <w:szCs w:val="20"/>
          <w:color w:val="auto"/>
        </w:rPr>
      </w:pPr>
    </w:p>
    <w:p>
      <w:pPr>
        <w:ind w:left="1000" w:right="499"/>
        <w:spacing w:after="0" w:line="287"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i w:val="1"/>
          <w:iCs w:val="1"/>
          <w:color w:val="auto"/>
        </w:rPr>
        <w:t>Plan</w:t>
      </w:r>
      <w:r>
        <w:rPr>
          <w:rFonts w:ascii="Arial" w:cs="Arial" w:eastAsia="Arial" w:hAnsi="Arial"/>
          <w:sz w:val="18"/>
          <w:szCs w:val="18"/>
          <w:color w:val="auto"/>
        </w:rPr>
        <w:t xml:space="preserve"> means the Avnet, Inc. 2025 Stock Compensation and Incentive Plan, as may be amended from time to time.</w:t>
      </w:r>
    </w:p>
    <w:p>
      <w:pPr>
        <w:spacing w:after="0" w:line="72" w:lineRule="exact"/>
        <w:rPr>
          <w:sz w:val="20"/>
          <w:szCs w:val="20"/>
          <w:color w:val="auto"/>
        </w:rPr>
      </w:pPr>
    </w:p>
    <w:p>
      <w:pPr>
        <w:ind w:left="1000" w:right="139"/>
        <w:spacing w:after="0" w:line="268"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i w:val="1"/>
          <w:iCs w:val="1"/>
          <w:color w:val="auto"/>
        </w:rPr>
        <w:t>Restricted Stock</w:t>
      </w:r>
      <w:r>
        <w:rPr>
          <w:rFonts w:ascii="Arial" w:cs="Arial" w:eastAsia="Arial" w:hAnsi="Arial"/>
          <w:sz w:val="18"/>
          <w:szCs w:val="18"/>
          <w:color w:val="auto"/>
        </w:rPr>
        <w:t xml:space="preserve"> means an Award of Stock granted pursuant to Article 7. In general, Restricted Stock is Stock that, during a Period of Restriction, is subject to a substantial risk of forfeiture and restrictions against sale or other transfer.</w:t>
      </w:r>
    </w:p>
    <w:p>
      <w:pPr>
        <w:spacing w:after="0" w:line="103" w:lineRule="exact"/>
        <w:rPr>
          <w:sz w:val="20"/>
          <w:szCs w:val="20"/>
          <w:color w:val="auto"/>
        </w:rPr>
      </w:pPr>
    </w:p>
    <w:p>
      <w:pPr>
        <w:ind w:left="1000" w:right="239"/>
        <w:spacing w:after="0" w:line="268"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i w:val="1"/>
          <w:iCs w:val="1"/>
          <w:color w:val="auto"/>
        </w:rPr>
        <w:t>Restricted Stock Unit</w:t>
      </w:r>
      <w:r>
        <w:rPr>
          <w:rFonts w:ascii="Arial" w:cs="Arial" w:eastAsia="Arial" w:hAnsi="Arial"/>
          <w:sz w:val="18"/>
          <w:szCs w:val="18"/>
          <w:color w:val="auto"/>
        </w:rPr>
        <w:t xml:space="preserve"> means an Award granted pursuant to Article 8. In general, a Restricted Stock Unit gives the recipient a contractual right to receive cash or shares of Stock upon the occurrence of specified vesting conditions.</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i w:val="1"/>
          <w:iCs w:val="1"/>
          <w:color w:val="auto"/>
        </w:rPr>
        <w:t>Rule 16b-3</w:t>
      </w:r>
      <w:r>
        <w:rPr>
          <w:rFonts w:ascii="Arial" w:cs="Arial" w:eastAsia="Arial" w:hAnsi="Arial"/>
          <w:sz w:val="18"/>
          <w:szCs w:val="18"/>
          <w:color w:val="auto"/>
        </w:rPr>
        <w:t xml:space="preserve"> means Rule 16b-3 promulgated under the Exchange Act.</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90     </w:t>
      </w:r>
      <w:r>
        <w:rPr>
          <w:sz w:val="1"/>
          <w:szCs w:val="1"/>
          <w:color w:val="auto"/>
        </w:rPr>
        <w:drawing>
          <wp:inline distT="0" distB="0" distL="0" distR="0">
            <wp:extent cx="1242695" cy="24003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180" w:lineRule="exact"/>
        <w:rPr>
          <w:sz w:val="20"/>
          <w:szCs w:val="20"/>
          <w:color w:val="auto"/>
        </w:rPr>
      </w:pPr>
    </w:p>
    <w:p>
      <w:pPr>
        <w:jc w:val="right"/>
        <w:ind w:right="139"/>
        <w:spacing w:after="0"/>
        <w:tabs>
          <w:tab w:leader="none" w:pos="840" w:val="left"/>
        </w:tabs>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r>
        <w:rPr>
          <w:sz w:val="20"/>
          <w:szCs w:val="20"/>
          <w:color w:val="auto"/>
        </w:rPr>
        <w:tab/>
      </w:r>
      <w:r>
        <w:rPr>
          <w:rFonts w:ascii="Arial" w:cs="Arial" w:eastAsia="Arial" w:hAnsi="Arial"/>
          <w:sz w:val="21"/>
          <w:szCs w:val="21"/>
          <w:color w:val="auto"/>
          <w:vertAlign w:val="subscript"/>
        </w:rPr>
        <w:t>APPENDIX B</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means the Securities Act of 1933, as amended.</w:t>
      </w:r>
    </w:p>
    <w:p>
      <w:pPr>
        <w:spacing w:after="0" w:line="144" w:lineRule="exact"/>
        <w:rPr>
          <w:sz w:val="20"/>
          <w:szCs w:val="20"/>
          <w:color w:val="auto"/>
        </w:rPr>
      </w:pPr>
    </w:p>
    <w:p>
      <w:pPr>
        <w:ind w:left="1000" w:right="459"/>
        <w:spacing w:after="0" w:line="287"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Stock</w:t>
      </w:r>
      <w:r>
        <w:rPr>
          <w:rFonts w:ascii="Arial" w:cs="Arial" w:eastAsia="Arial" w:hAnsi="Arial"/>
          <w:sz w:val="18"/>
          <w:szCs w:val="18"/>
          <w:color w:val="auto"/>
        </w:rPr>
        <w:t xml:space="preserve"> means Avnet’s $1.00 par value common stock, subject to the adjustment provisions set forth in Article 13.</w:t>
      </w:r>
    </w:p>
    <w:p>
      <w:pPr>
        <w:spacing w:after="0" w:line="72" w:lineRule="exact"/>
        <w:rPr>
          <w:sz w:val="20"/>
          <w:szCs w:val="20"/>
          <w:color w:val="auto"/>
        </w:rPr>
      </w:pPr>
    </w:p>
    <w:p>
      <w:pPr>
        <w:ind w:left="1000" w:right="319"/>
        <w:spacing w:after="0" w:line="252" w:lineRule="auto"/>
        <w:rPr>
          <w:sz w:val="20"/>
          <w:szCs w:val="20"/>
          <w:color w:val="auto"/>
        </w:rPr>
      </w:pPr>
      <w:r>
        <w:rPr>
          <w:rFonts w:ascii="Arial" w:cs="Arial" w:eastAsia="Arial" w:hAnsi="Arial"/>
          <w:sz w:val="18"/>
          <w:szCs w:val="18"/>
          <w:color w:val="auto"/>
        </w:rPr>
        <w:t xml:space="preserve">2.35. </w:t>
      </w:r>
      <w:r>
        <w:rPr>
          <w:rFonts w:ascii="Arial" w:cs="Arial" w:eastAsia="Arial" w:hAnsi="Arial"/>
          <w:sz w:val="18"/>
          <w:szCs w:val="18"/>
          <w:i w:val="1"/>
          <w:iCs w:val="1"/>
          <w:color w:val="auto"/>
        </w:rPr>
        <w:t>Stock Appreciation Right</w:t>
      </w:r>
      <w:r>
        <w:rPr>
          <w:rFonts w:ascii="Arial" w:cs="Arial" w:eastAsia="Arial" w:hAnsi="Arial"/>
          <w:sz w:val="18"/>
          <w:szCs w:val="18"/>
          <w:color w:val="auto"/>
        </w:rPr>
        <w:t xml:space="preserve"> or </w:t>
      </w:r>
      <w:r>
        <w:rPr>
          <w:rFonts w:ascii="Arial" w:cs="Arial" w:eastAsia="Arial" w:hAnsi="Arial"/>
          <w:sz w:val="18"/>
          <w:szCs w:val="18"/>
          <w:i w:val="1"/>
          <w:iCs w:val="1"/>
          <w:color w:val="auto"/>
        </w:rPr>
        <w:t>SAR</w:t>
      </w:r>
      <w:r>
        <w:rPr>
          <w:rFonts w:ascii="Arial" w:cs="Arial" w:eastAsia="Arial" w:hAnsi="Arial"/>
          <w:sz w:val="18"/>
          <w:szCs w:val="18"/>
          <w:color w:val="auto"/>
        </w:rPr>
        <w:t xml:space="preserve"> means an Award granted pursuant to Article 6. In general, a Stock Appreciation Right gives the recipient the right to receive, upon exercise of the Award, an amount equal to the excess of the Fair Market Value of the shares of Stock with respect to which the SAR is being exercised (determined as of the exercise date) over the exercise price set forth in the Agreement.</w:t>
      </w:r>
    </w:p>
    <w:p>
      <w:pPr>
        <w:spacing w:after="0" w:line="103" w:lineRule="exact"/>
        <w:rPr>
          <w:sz w:val="20"/>
          <w:szCs w:val="20"/>
          <w:color w:val="auto"/>
        </w:rPr>
      </w:pPr>
    </w:p>
    <w:p>
      <w:pPr>
        <w:ind w:left="1000" w:right="519"/>
        <w:spacing w:after="0" w:line="271" w:lineRule="auto"/>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i w:val="1"/>
          <w:iCs w:val="1"/>
          <w:color w:val="auto"/>
        </w:rPr>
        <w:t>Subsidiary</w:t>
      </w:r>
      <w:r>
        <w:rPr>
          <w:rFonts w:ascii="Arial" w:cs="Arial" w:eastAsia="Arial" w:hAnsi="Arial"/>
          <w:sz w:val="18"/>
          <w:szCs w:val="18"/>
          <w:color w:val="auto"/>
        </w:rPr>
        <w:t xml:space="preserve"> means a corporation in which Avnet directly or indirectly owns more than 50% of the total combined voting power of all classes of capital stock.</w:t>
      </w:r>
    </w:p>
    <w:p>
      <w:pPr>
        <w:spacing w:after="0" w:line="86" w:lineRule="exact"/>
        <w:rPr>
          <w:sz w:val="20"/>
          <w:szCs w:val="20"/>
          <w:color w:val="auto"/>
        </w:rPr>
      </w:pPr>
    </w:p>
    <w:p>
      <w:pPr>
        <w:jc w:val="both"/>
        <w:ind w:left="1000" w:right="439"/>
        <w:spacing w:after="0" w:line="253" w:lineRule="auto"/>
        <w:rPr>
          <w:sz w:val="20"/>
          <w:szCs w:val="20"/>
          <w:color w:val="auto"/>
        </w:rPr>
      </w:pPr>
      <w:r>
        <w:rPr>
          <w:rFonts w:ascii="Arial" w:cs="Arial" w:eastAsia="Arial" w:hAnsi="Arial"/>
          <w:sz w:val="18"/>
          <w:szCs w:val="18"/>
          <w:color w:val="auto"/>
        </w:rPr>
        <w:t xml:space="preserve">2.37. </w:t>
      </w:r>
      <w:r>
        <w:rPr>
          <w:rFonts w:ascii="Arial" w:cs="Arial" w:eastAsia="Arial" w:hAnsi="Arial"/>
          <w:sz w:val="18"/>
          <w:szCs w:val="18"/>
          <w:i w:val="1"/>
          <w:iCs w:val="1"/>
          <w:color w:val="auto"/>
        </w:rPr>
        <w:t>Successor Optionee</w:t>
      </w:r>
      <w:r>
        <w:rPr>
          <w:rFonts w:ascii="Arial" w:cs="Arial" w:eastAsia="Arial" w:hAnsi="Arial"/>
          <w:sz w:val="18"/>
          <w:szCs w:val="18"/>
          <w:color w:val="auto"/>
        </w:rPr>
        <w:t xml:space="preserve"> means any person who, under the provisions of Article 5, has acquired from an Optionee the right to exercise an Option, for so long as such Option remains unexercised in whole or in part, and has not been surrendered, exercised, or terminated.</w:t>
      </w:r>
    </w:p>
    <w:p>
      <w:pPr>
        <w:spacing w:after="0" w:line="97" w:lineRule="exact"/>
        <w:rPr>
          <w:sz w:val="20"/>
          <w:szCs w:val="20"/>
          <w:color w:val="auto"/>
        </w:rPr>
      </w:pPr>
    </w:p>
    <w:p>
      <w:pPr>
        <w:jc w:val="center"/>
        <w:ind w:right="-800"/>
        <w:spacing w:after="0"/>
        <w:rPr>
          <w:sz w:val="20"/>
          <w:szCs w:val="20"/>
          <w:color w:val="auto"/>
        </w:rPr>
      </w:pPr>
      <w:r>
        <w:rPr>
          <w:rFonts w:ascii="Arial" w:cs="Arial" w:eastAsia="Arial" w:hAnsi="Arial"/>
          <w:sz w:val="20"/>
          <w:szCs w:val="20"/>
          <w:b w:val="1"/>
          <w:bCs w:val="1"/>
          <w:color w:val="auto"/>
        </w:rPr>
        <w:t>ARTICLE 3</w:t>
      </w:r>
    </w:p>
    <w:p>
      <w:pPr>
        <w:spacing w:after="0" w:line="20"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SHARES RESERVED FOR THE PLAN</w:t>
      </w:r>
    </w:p>
    <w:p>
      <w:pPr>
        <w:spacing w:after="0" w:line="119" w:lineRule="exact"/>
        <w:rPr>
          <w:sz w:val="20"/>
          <w:szCs w:val="20"/>
          <w:color w:val="auto"/>
        </w:rPr>
      </w:pPr>
    </w:p>
    <w:p>
      <w:pPr>
        <w:ind w:left="1000" w:right="199"/>
        <w:spacing w:after="0" w:line="24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General Limitations</w:t>
      </w:r>
      <w:r>
        <w:rPr>
          <w:rFonts w:ascii="Arial" w:cs="Arial" w:eastAsia="Arial" w:hAnsi="Arial"/>
          <w:sz w:val="18"/>
          <w:szCs w:val="18"/>
          <w:color w:val="auto"/>
        </w:rPr>
        <w:t>. Subject to the adjustment provisions set forth in Article 13, the maximum number of shares of Stock that may be delivered pursuant to the exercise of Awards granted under the Plan shall be 3,000,000 shares. All such shares shall be available for any type of Award. At no time shall there be outstanding Awards under the Plan covering more than such maximum number of shares less the aggregate of the shares of Stock previously delivered pursuant to the exercise of Options (including the shares of Stock previously covered by Options surrendered in connection with the exercise of SARs), the shares of Stock with respect to which stock-settled SARs have been exercised (without regard to the number of shares of Stock issued upon settlement of such SARs), and the shares of Stock previously delivered pursuant to the vesting of Restricted Stock, Restricted Stock Units, Performance Share Units, and Other Stock Unit Awards. The shares of Stock authorized hereunder shall be in addition to the shares of Stock authorized for grant under Avnet’s 2016 and 2021 Stock Compensation and Incentive Plans. Shares of Stock subject to Awards may consist of authorized but unissued shares of Stock and/or shares of Stock held in Avnet’s treasury.</w:t>
      </w:r>
    </w:p>
    <w:p>
      <w:pPr>
        <w:spacing w:after="0" w:line="118" w:lineRule="exact"/>
        <w:rPr>
          <w:sz w:val="20"/>
          <w:szCs w:val="20"/>
          <w:color w:val="auto"/>
        </w:rPr>
      </w:pPr>
    </w:p>
    <w:p>
      <w:pPr>
        <w:ind w:left="1000" w:right="179"/>
        <w:spacing w:after="0" w:line="24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Individual Limitations</w:t>
      </w:r>
      <w:r>
        <w:rPr>
          <w:rFonts w:ascii="Arial" w:cs="Arial" w:eastAsia="Arial" w:hAnsi="Arial"/>
          <w:sz w:val="18"/>
          <w:szCs w:val="18"/>
          <w:color w:val="auto"/>
        </w:rPr>
        <w:t>. No Non-Employee Director may be granted Awards covering shares with a value at the time of grant of more than $1 million in any calendar year; provided, however, that Awards covering shares of Stock with a value of up to $2 million may be granted to a Non-Employee Director during the calendar year in which the Non-Employee Director first joins the Board of Directors or is first designated as Chair of the Board of Directors or Lead Director.</w:t>
      </w:r>
    </w:p>
    <w:p>
      <w:pPr>
        <w:spacing w:after="0" w:line="109" w:lineRule="exact"/>
        <w:rPr>
          <w:sz w:val="20"/>
          <w:szCs w:val="20"/>
          <w:color w:val="auto"/>
        </w:rPr>
      </w:pPr>
    </w:p>
    <w:p>
      <w:pPr>
        <w:ind w:left="1000" w:right="139"/>
        <w:spacing w:after="0" w:line="271"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i w:val="1"/>
          <w:iCs w:val="1"/>
          <w:color w:val="auto"/>
        </w:rPr>
        <w:t>Termination and Expiration of Awards</w:t>
      </w:r>
      <w:r>
        <w:rPr>
          <w:rFonts w:ascii="Arial" w:cs="Arial" w:eastAsia="Arial" w:hAnsi="Arial"/>
          <w:sz w:val="17"/>
          <w:szCs w:val="17"/>
          <w:color w:val="auto"/>
        </w:rPr>
        <w:t>. If an Award is canceled, forfeited, expired or otherwise terminates or is settled without delivery of shares of Stock, whether in whole or in part, the number of shares of Stock covered by such Award immediately before such cancellation, forfeiture, expiration, termination, or settlement shall thereupon be added back to the number of shares of Stock otherwise available for further grants of Awards hereunder; provided, however, that the following transactions involving shares of Stock shall not result in shares of Stock becoming available for subsequent Awards: (a) Stock tendered or withheld in payment of the exercise price of an Option; (b) Stock tendered or withheld for taxes; (c) Stock that was subject to a stock-settled SAR or an Option that was related to a SAR and was not issued upon the settlement or exercise of such SAR; and (d) Stock repurchased by the Company with the proceeds of an Option exercise.</w:t>
      </w:r>
    </w:p>
    <w:p>
      <w:pPr>
        <w:spacing w:after="0" w:line="101" w:lineRule="exact"/>
        <w:rPr>
          <w:sz w:val="20"/>
          <w:szCs w:val="20"/>
          <w:color w:val="auto"/>
        </w:rPr>
      </w:pPr>
    </w:p>
    <w:p>
      <w:pPr>
        <w:jc w:val="center"/>
        <w:ind w:right="-800"/>
        <w:spacing w:after="0"/>
        <w:rPr>
          <w:sz w:val="20"/>
          <w:szCs w:val="20"/>
          <w:color w:val="auto"/>
        </w:rPr>
      </w:pPr>
      <w:r>
        <w:rPr>
          <w:rFonts w:ascii="Arial" w:cs="Arial" w:eastAsia="Arial" w:hAnsi="Arial"/>
          <w:sz w:val="20"/>
          <w:szCs w:val="20"/>
          <w:b w:val="1"/>
          <w:bCs w:val="1"/>
          <w:color w:val="auto"/>
        </w:rPr>
        <w:t>ARTICLE 4</w:t>
      </w:r>
    </w:p>
    <w:p>
      <w:pPr>
        <w:spacing w:after="0" w:line="20"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ADMINISTRATION OF THE PLAN</w:t>
      </w:r>
    </w:p>
    <w:p>
      <w:pPr>
        <w:spacing w:after="0" w:line="133" w:lineRule="exact"/>
        <w:rPr>
          <w:sz w:val="20"/>
          <w:szCs w:val="20"/>
          <w:color w:val="auto"/>
        </w:rPr>
      </w:pPr>
    </w:p>
    <w:p>
      <w:pPr>
        <w:ind w:left="1000" w:right="179"/>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Plan Administration</w:t>
      </w:r>
      <w:r>
        <w:rPr>
          <w:rFonts w:ascii="Arial" w:cs="Arial" w:eastAsia="Arial" w:hAnsi="Arial"/>
          <w:sz w:val="18"/>
          <w:szCs w:val="18"/>
          <w:color w:val="auto"/>
        </w:rPr>
        <w:t>. This Plan shall be administered by the Administrator. The Administrator shall have full and exclusive power to: (a) construe and interpret the Plan; (b) establish and amend rules and regulations for the administration of the Plan; (c) correct any defect, remedy any omission, and reconcile any ambiguity or inconsistency in the Plan or any Award in the manner and to the extent it deems necessary or desirable to carry out the intent of the Plan and such Award; and (d) certify the level as to which each</w:t>
      </w:r>
    </w:p>
    <w:p>
      <w:pPr>
        <w:spacing w:after="0" w:line="133"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180" w:lineRule="exact"/>
        <w:rPr>
          <w:sz w:val="20"/>
          <w:szCs w:val="20"/>
          <w:color w:val="auto"/>
        </w:rPr>
      </w:pPr>
    </w:p>
    <w:p>
      <w:pPr>
        <w:jc w:val="right"/>
        <w:ind w:right="139"/>
        <w:spacing w:after="0"/>
        <w:tabs>
          <w:tab w:leader="none" w:pos="840" w:val="left"/>
        </w:tabs>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r>
        <w:rPr>
          <w:sz w:val="20"/>
          <w:szCs w:val="20"/>
          <w:color w:val="auto"/>
        </w:rPr>
        <w:tab/>
      </w:r>
      <w:r>
        <w:rPr>
          <w:rFonts w:ascii="Arial" w:cs="Arial" w:eastAsia="Arial" w:hAnsi="Arial"/>
          <w:sz w:val="21"/>
          <w:szCs w:val="21"/>
          <w:color w:val="auto"/>
          <w:vertAlign w:val="subscript"/>
        </w:rPr>
        <w:t>APPENDIX B</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000" w:right="219"/>
        <w:spacing w:after="0" w:line="268" w:lineRule="auto"/>
        <w:rPr>
          <w:sz w:val="20"/>
          <w:szCs w:val="20"/>
          <w:color w:val="auto"/>
        </w:rPr>
      </w:pPr>
      <w:r>
        <w:rPr>
          <w:rFonts w:ascii="Arial" w:cs="Arial" w:eastAsia="Arial" w:hAnsi="Arial"/>
          <w:sz w:val="18"/>
          <w:szCs w:val="18"/>
          <w:color w:val="auto"/>
        </w:rPr>
        <w:t>Performance Objective was attained. Subject to Section 4.4, the Administrator may delegate some or all of its authority under the Plan (including powers not referenced in this Section 4.1) to one or more Company officers, to the extent permitted by and not inconsistent with any requirements of applicable law.</w:t>
      </w:r>
    </w:p>
    <w:p>
      <w:pPr>
        <w:spacing w:after="0" w:line="90" w:lineRule="exact"/>
        <w:rPr>
          <w:sz w:val="20"/>
          <w:szCs w:val="20"/>
          <w:color w:val="auto"/>
        </w:rPr>
      </w:pPr>
    </w:p>
    <w:p>
      <w:pPr>
        <w:ind w:left="1000" w:right="179"/>
        <w:spacing w:after="0" w:line="272"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color w:val="auto"/>
        </w:rPr>
        <w:t>Committee’s Authority to Grant Awards</w:t>
      </w:r>
      <w:r>
        <w:rPr>
          <w:rFonts w:ascii="Arial" w:cs="Arial" w:eastAsia="Arial" w:hAnsi="Arial"/>
          <w:sz w:val="17"/>
          <w:szCs w:val="17"/>
          <w:color w:val="auto"/>
        </w:rPr>
        <w:t>. In addition to the powers enumerated in Section 4.1 (and without limiting the generality thereof), the Committee shall have plenary authority and discretion to determine the time or times at which Awards shall be granted to Eligible Employees, the Eligible Employees to whom Awards shall be granted, the number of shares of Stock (or for Awards denominated in cash, the dollar amount) to be covered by each such Award, and the terms and conditions upon which each such Award may be exercised (in each case, to the extent not inconsistent with the provisions of this Plan). Subject to the requirements of the Plan, the terms and conditions prescribed or approved for any Award granted by the Committee (as reflected in the applicable Agreement) shall be entirely within the discretion of the Committee.</w:t>
      </w:r>
    </w:p>
    <w:p>
      <w:pPr>
        <w:spacing w:after="0" w:line="104" w:lineRule="exact"/>
        <w:rPr>
          <w:sz w:val="20"/>
          <w:szCs w:val="20"/>
          <w:color w:val="auto"/>
        </w:rPr>
      </w:pPr>
    </w:p>
    <w:p>
      <w:pPr>
        <w:ind w:left="1000" w:right="139"/>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i w:val="1"/>
          <w:iCs w:val="1"/>
          <w:color w:val="auto"/>
        </w:rPr>
        <w:t>Independent Directors’ Authority to Grant Awards</w:t>
      </w:r>
      <w:r>
        <w:rPr>
          <w:rFonts w:ascii="Arial" w:cs="Arial" w:eastAsia="Arial" w:hAnsi="Arial"/>
          <w:sz w:val="17"/>
          <w:szCs w:val="17"/>
          <w:color w:val="auto"/>
        </w:rPr>
        <w:t>. In addition to the powers enumerated in Section 4.1 (and without limiting the generality thereof), the Independent Directors shall have plenary authority and discretion to determine the time or times at which Awards shall be granted to Non-Employee Directors, the Non-Employee Directors to whom Awards shall be granted, the number of shares of Stock (or for Awards denominated in cash, the dollar amount) to be covered by each such Award, and the terms and conditions upon which each such Award may be exercised (in each case, to the extent not inconsistent with the provisions of this Plan); provided that (a) no Director shall participate in any action taken with respect to an Award granted or to be granted to such Director, unless the same action is contemplated for all similarly situated Directors, and</w:t>
      </w:r>
    </w:p>
    <w:p>
      <w:pPr>
        <w:spacing w:after="0" w:line="6" w:lineRule="exact"/>
        <w:rPr>
          <w:sz w:val="20"/>
          <w:szCs w:val="20"/>
          <w:color w:val="auto"/>
        </w:rPr>
      </w:pPr>
    </w:p>
    <w:p>
      <w:pPr>
        <w:ind w:left="1000" w:right="299" w:hanging="10"/>
        <w:spacing w:after="0" w:line="255" w:lineRule="auto"/>
        <w:tabs>
          <w:tab w:leader="none" w:pos="1264"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Award shall be granted to a Non-Employee Director unless such grant is approved by a majority of the Independent Directors. Subject to the requirements of the Plan, the terms and conditions prescribed or approved for any Award granted by the Independent Directors (as reflected in the applicable Agreement) shall be entirely within the discretion of the Independent Directors.</w:t>
      </w:r>
    </w:p>
    <w:p>
      <w:pPr>
        <w:spacing w:after="0" w:line="115" w:lineRule="exact"/>
        <w:rPr>
          <w:sz w:val="20"/>
          <w:szCs w:val="20"/>
          <w:color w:val="auto"/>
        </w:rPr>
      </w:pPr>
    </w:p>
    <w:p>
      <w:pPr>
        <w:ind w:left="1000" w:right="159"/>
        <w:spacing w:after="0" w:line="256"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CEO Authority to Grant Awards</w:t>
      </w:r>
      <w:r>
        <w:rPr>
          <w:rFonts w:ascii="Arial" w:cs="Arial" w:eastAsia="Arial" w:hAnsi="Arial"/>
          <w:sz w:val="18"/>
          <w:szCs w:val="18"/>
          <w:color w:val="auto"/>
        </w:rPr>
        <w:t>. The CEO shall have authority to make Awards to Eligible Employees who are not Executive Officers, subject to such limits, if any, as the Committee may impose. The CEO shall have plenary authority and discretion to determine the time or times at which Awards that the CEO is authorized to grant shall be granted, the Eligible Employees to whom such Awards shall be granted, the number of shares of Stock (or for Awards denominated in cash, the dollar amount) to be covered by each such Award, and the terms and conditions upon which each such Award may be exercised (in each case, to the extent not inconsistent with the provisions of this Plan).</w:t>
      </w:r>
    </w:p>
    <w:p>
      <w:pPr>
        <w:spacing w:after="0" w:line="102" w:lineRule="exact"/>
        <w:rPr>
          <w:sz w:val="20"/>
          <w:szCs w:val="20"/>
          <w:color w:val="auto"/>
        </w:rPr>
      </w:pPr>
    </w:p>
    <w:p>
      <w:pPr>
        <w:ind w:left="1000" w:right="199"/>
        <w:spacing w:after="0" w:line="262"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Determining Amount Payable.</w:t>
      </w:r>
      <w:r>
        <w:rPr>
          <w:rFonts w:ascii="Arial" w:cs="Arial" w:eastAsia="Arial" w:hAnsi="Arial"/>
          <w:sz w:val="18"/>
          <w:szCs w:val="18"/>
          <w:color w:val="auto"/>
        </w:rPr>
        <w:t xml:space="preserve"> With respect to any Award that is conditioned in whole or in part on the achievement of Performance Objectives, the Administrator shall determine the extent to which the applicable Performance Objectives were achieved and shall have discretion to reduce the amount that becomes vested or payable upon achievement of such Performance Objectives.</w:t>
      </w:r>
    </w:p>
    <w:p>
      <w:pPr>
        <w:spacing w:after="0" w:line="109" w:lineRule="exact"/>
        <w:rPr>
          <w:sz w:val="20"/>
          <w:szCs w:val="20"/>
          <w:color w:val="auto"/>
        </w:rPr>
      </w:pPr>
    </w:p>
    <w:p>
      <w:pPr>
        <w:ind w:left="1000" w:right="179"/>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i w:val="1"/>
          <w:iCs w:val="1"/>
          <w:color w:val="auto"/>
        </w:rPr>
        <w:t>Decisions of the Administrator</w:t>
      </w:r>
      <w:r>
        <w:rPr>
          <w:rFonts w:ascii="Arial" w:cs="Arial" w:eastAsia="Arial" w:hAnsi="Arial"/>
          <w:sz w:val="18"/>
          <w:szCs w:val="18"/>
          <w:color w:val="auto"/>
        </w:rPr>
        <w:t>. All determinations and decisions made by the Administrator pursuant to the provisions of the Plan shall be final, conclusive, and binding upon all persons and the Company, except to the extent that the terms of any sale or award of shares of Stock, or any grant of rights or Options under the Plan, are required by law or by the Restated Certificate of Incorporation or By-laws, as amended, of Avnet to be approved by the Board of Directors or shareholders.</w:t>
      </w:r>
    </w:p>
    <w:p>
      <w:pPr>
        <w:spacing w:after="0" w:line="112" w:lineRule="exact"/>
        <w:rPr>
          <w:sz w:val="20"/>
          <w:szCs w:val="20"/>
          <w:color w:val="auto"/>
        </w:rPr>
      </w:pPr>
    </w:p>
    <w:p>
      <w:pPr>
        <w:ind w:left="1000" w:right="359"/>
        <w:spacing w:after="0" w:line="278"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i w:val="1"/>
          <w:iCs w:val="1"/>
          <w:color w:val="auto"/>
        </w:rPr>
        <w:t>Law Compliance</w:t>
      </w:r>
      <w:r>
        <w:rPr>
          <w:rFonts w:ascii="Arial" w:cs="Arial" w:eastAsia="Arial" w:hAnsi="Arial"/>
          <w:sz w:val="17"/>
          <w:szCs w:val="17"/>
          <w:color w:val="auto"/>
        </w:rPr>
        <w:t>. Notwithstanding any other provision of the Plan, the Administrator may impose such conditions on any Award, and the Board of Directors may amend the Plan in any such respects, as the Administrator or the Board of Directors determines is necessary or desirable to avoid adverse consequences under Rule 16b-3, Section 409A of the Code, Section 280G of the Code, or any other applicable law; and the Plan shall be construed consistently with the intent to avoid adverse consequences under applicable law.</w:t>
      </w:r>
    </w:p>
    <w:p>
      <w:pPr>
        <w:spacing w:after="0" w:line="78" w:lineRule="exact"/>
        <w:rPr>
          <w:sz w:val="20"/>
          <w:szCs w:val="20"/>
          <w:color w:val="auto"/>
        </w:rPr>
      </w:pPr>
    </w:p>
    <w:p>
      <w:pPr>
        <w:jc w:val="right"/>
        <w:ind w:right="4039"/>
        <w:spacing w:after="0"/>
        <w:rPr>
          <w:sz w:val="20"/>
          <w:szCs w:val="20"/>
          <w:color w:val="auto"/>
        </w:rPr>
      </w:pPr>
      <w:r>
        <w:rPr>
          <w:rFonts w:ascii="Arial" w:cs="Arial" w:eastAsia="Arial" w:hAnsi="Arial"/>
          <w:sz w:val="20"/>
          <w:szCs w:val="20"/>
          <w:b w:val="1"/>
          <w:bCs w:val="1"/>
          <w:color w:val="auto"/>
        </w:rPr>
        <w:t>ARTICLE 5</w:t>
      </w:r>
    </w:p>
    <w:p>
      <w:pPr>
        <w:spacing w:after="0" w:line="33" w:lineRule="exact"/>
        <w:rPr>
          <w:sz w:val="20"/>
          <w:szCs w:val="20"/>
          <w:color w:val="auto"/>
        </w:rPr>
      </w:pPr>
    </w:p>
    <w:p>
      <w:pPr>
        <w:jc w:val="right"/>
        <w:ind w:right="4079"/>
        <w:spacing w:after="0"/>
        <w:rPr>
          <w:sz w:val="20"/>
          <w:szCs w:val="20"/>
          <w:color w:val="auto"/>
        </w:rPr>
      </w:pPr>
      <w:r>
        <w:rPr>
          <w:rFonts w:ascii="Arial" w:cs="Arial" w:eastAsia="Arial" w:hAnsi="Arial"/>
          <w:sz w:val="20"/>
          <w:szCs w:val="20"/>
          <w:b w:val="1"/>
          <w:bCs w:val="1"/>
          <w:color w:val="auto"/>
        </w:rPr>
        <w:t>OPTIONS</w:t>
      </w:r>
    </w:p>
    <w:p>
      <w:pPr>
        <w:spacing w:after="0" w:line="119" w:lineRule="exact"/>
        <w:rPr>
          <w:sz w:val="20"/>
          <w:szCs w:val="20"/>
          <w:color w:val="auto"/>
        </w:rPr>
      </w:pPr>
    </w:p>
    <w:p>
      <w:pPr>
        <w:ind w:left="1000" w:right="739"/>
        <w:spacing w:after="0" w:line="28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4.4) may grant Options to Eligible Employees, and the Independent Directors may grant Options to Non-Employee Directors.</w:t>
      </w:r>
    </w:p>
    <w:p>
      <w:pPr>
        <w:spacing w:after="0" w:line="10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92     </w:t>
      </w:r>
      <w:r>
        <w:rPr>
          <w:sz w:val="1"/>
          <w:szCs w:val="1"/>
          <w:color w:val="auto"/>
        </w:rPr>
        <w:drawing>
          <wp:inline distT="0" distB="0" distL="0" distR="0">
            <wp:extent cx="1242695" cy="24003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180" w:lineRule="exact"/>
        <w:rPr>
          <w:sz w:val="20"/>
          <w:szCs w:val="20"/>
          <w:color w:val="auto"/>
        </w:rPr>
      </w:pPr>
    </w:p>
    <w:p>
      <w:pPr>
        <w:jc w:val="right"/>
        <w:ind w:right="139"/>
        <w:spacing w:after="0"/>
        <w:tabs>
          <w:tab w:leader="none" w:pos="840" w:val="left"/>
        </w:tabs>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r>
        <w:rPr>
          <w:sz w:val="20"/>
          <w:szCs w:val="20"/>
          <w:color w:val="auto"/>
        </w:rPr>
        <w:tab/>
      </w:r>
      <w:r>
        <w:rPr>
          <w:rFonts w:ascii="Arial" w:cs="Arial" w:eastAsia="Arial" w:hAnsi="Arial"/>
          <w:sz w:val="21"/>
          <w:szCs w:val="21"/>
          <w:color w:val="auto"/>
          <w:vertAlign w:val="subscript"/>
        </w:rPr>
        <w:t>APPENDIX B</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jc w:val="both"/>
        <w:ind w:left="1000" w:right="279"/>
        <w:spacing w:after="0" w:line="25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Exercise Price</w:t>
      </w:r>
      <w:r>
        <w:rPr>
          <w:rFonts w:ascii="Arial" w:cs="Arial" w:eastAsia="Arial" w:hAnsi="Arial"/>
          <w:sz w:val="18"/>
          <w:szCs w:val="18"/>
          <w:color w:val="auto"/>
        </w:rPr>
        <w:t>. The price per share at which Stock subject to an Option may be purchased shall be set forth in the Agreement. Such exercise price shall be at least 100% of the Fair Market Value of the Stock on the Grant Date.</w:t>
      </w:r>
    </w:p>
    <w:p>
      <w:pPr>
        <w:spacing w:after="0" w:line="101" w:lineRule="exact"/>
        <w:rPr>
          <w:sz w:val="20"/>
          <w:szCs w:val="20"/>
          <w:color w:val="auto"/>
        </w:rPr>
      </w:pPr>
    </w:p>
    <w:p>
      <w:pPr>
        <w:ind w:left="1000" w:right="259"/>
        <w:spacing w:after="0" w:line="231"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Term</w:t>
      </w:r>
      <w:r>
        <w:rPr>
          <w:rFonts w:ascii="Arial" w:cs="Arial" w:eastAsia="Arial" w:hAnsi="Arial"/>
          <w:sz w:val="18"/>
          <w:szCs w:val="18"/>
          <w:color w:val="auto"/>
        </w:rPr>
        <w:t>. The term of each Option granted under the Plan shall be set forth in the Agreement; provided, however, that in no event shall an Option be exercisable after the day before the tenth (10</w:t>
      </w:r>
      <w:r>
        <w:rPr>
          <w:rFonts w:ascii="Arial" w:cs="Arial" w:eastAsia="Arial" w:hAnsi="Arial"/>
          <w:sz w:val="26"/>
          <w:szCs w:val="26"/>
          <w:color w:val="auto"/>
          <w:vertAlign w:val="superscript"/>
        </w:rPr>
        <w:t>th</w:t>
      </w:r>
      <w:r>
        <w:rPr>
          <w:rFonts w:ascii="Arial" w:cs="Arial" w:eastAsia="Arial" w:hAnsi="Arial"/>
          <w:sz w:val="18"/>
          <w:szCs w:val="18"/>
          <w:color w:val="auto"/>
        </w:rPr>
        <w:t>) anniversary of the Grant Date. Unless sooner forfeited or otherwise terminated pursuant to the terms hereof or of the Agreement, each Option granted under the Plan shall expire at the end of its term, and the term may not be extended. No Option may be exercised after the expiration of its term.</w:t>
      </w:r>
    </w:p>
    <w:p>
      <w:pPr>
        <w:spacing w:after="0" w:line="117" w:lineRule="exact"/>
        <w:rPr>
          <w:sz w:val="20"/>
          <w:szCs w:val="20"/>
          <w:color w:val="auto"/>
        </w:rPr>
      </w:pPr>
    </w:p>
    <w:p>
      <w:pPr>
        <w:ind w:left="1000" w:right="219"/>
        <w:spacing w:after="0" w:line="262"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i w:val="1"/>
          <w:iCs w:val="1"/>
          <w:color w:val="auto"/>
        </w:rPr>
        <w:t>Exercisability (Vesting)</w:t>
      </w:r>
      <w:r>
        <w:rPr>
          <w:rFonts w:ascii="Arial" w:cs="Arial" w:eastAsia="Arial" w:hAnsi="Arial"/>
          <w:sz w:val="17"/>
          <w:szCs w:val="17"/>
          <w:color w:val="auto"/>
        </w:rPr>
        <w:t>. Each Option granted under the Plan shall be subject to the vesting conditions set forth in the Agreement; provided, however, that the exercisability of any Option may be accelerated to the extent permitted by Section 12.2 (Acceleration of Vesting). Subject to Section 12.2, an Option shall become vested no faster than pro rata over the three (3) year period that starts on the Grant Date. Subject to the provisions of the Agreement, each Option granted under the Plan that has become exercisable pursuant to this Section 5.4 shall remain exercisable thereafter until the expiration of its term as described in Section 5.3.</w:t>
      </w:r>
    </w:p>
    <w:p>
      <w:pPr>
        <w:spacing w:after="0" w:line="97" w:lineRule="exact"/>
        <w:rPr>
          <w:sz w:val="20"/>
          <w:szCs w:val="20"/>
          <w:color w:val="auto"/>
        </w:rPr>
      </w:pPr>
    </w:p>
    <w:p>
      <w:pPr>
        <w:ind w:left="1000" w:right="139"/>
        <w:spacing w:after="0" w:line="24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Exercise</w:t>
      </w:r>
      <w:r>
        <w:rPr>
          <w:rFonts w:ascii="Arial" w:cs="Arial" w:eastAsia="Arial" w:hAnsi="Arial"/>
          <w:sz w:val="18"/>
          <w:szCs w:val="18"/>
          <w:color w:val="auto"/>
        </w:rPr>
        <w:t>. To the extent that an Option has become exercisable in accordance with Section 5.4, such Option may be exercised by notice to Avnet, in a form approved by Avnet, stating the number of shares of Stock with respect to which such Award is being exercised, accompanied by payment in full therefor as described below. After receipt of such notice and payment, subject to Section 12.6 (Registration of Shares), Avnet shall record the stock transfer on its books and records without the need to issue a physical certificate. The payment due upon exercise of an Option may be made in any form permitted by the Administrator. The permitted forms of payment may (but are not required to) include (a) cash or check (certified, if so required by Avnet); (b) shares of Stock with a fair market value, at the date of receipt by Avnet, equal to the aggregate exercise price (plus withholding, if applicable); (c) a combination of subsections (a) and (b) of this Section 5.5; (d) having Avnet retain from the Stock otherwise issuable upon exercise of the Option a number of shares of Stock having a fair market value equal to the exercise price of the Option (plus withholding, if applicable); (e) to the extent permitted by applicable law, by delivering a properly executed exercise notice, together with irrevocable instructions to a broker to promptly deliver to Avnet the exercise price and to deliver to the Participant the net amount of shares received upon exercise (after subtracting the exercise price, withholding, and any broker fee); or (f) any other manner acceptable to the Administrator.</w:t>
      </w:r>
    </w:p>
    <w:p>
      <w:pPr>
        <w:spacing w:after="0" w:line="110" w:lineRule="exact"/>
        <w:rPr>
          <w:sz w:val="20"/>
          <w:szCs w:val="20"/>
          <w:color w:val="auto"/>
        </w:rPr>
      </w:pPr>
    </w:p>
    <w:p>
      <w:pPr>
        <w:ind w:left="1000" w:right="279"/>
        <w:spacing w:after="0" w:line="245"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i w:val="1"/>
          <w:iCs w:val="1"/>
          <w:color w:val="auto"/>
        </w:rPr>
        <w:t>General Modification Rules; Limits on Repricing</w:t>
      </w:r>
      <w:r>
        <w:rPr>
          <w:rFonts w:ascii="Arial" w:cs="Arial" w:eastAsia="Arial" w:hAnsi="Arial"/>
          <w:sz w:val="18"/>
          <w:szCs w:val="18"/>
          <w:color w:val="auto"/>
        </w:rPr>
        <w:t>. The Administrator may, for such consideration (if any) as it may deem adequate and with the prior consent of the Optionee, modify the terms of any outstanding Option; provided, however, that except to the extent permitted by Section 5.8, no Option may be repriced, replaced, or regranted through cancellation, or by lowering the exercise price of such Option, and no Option with an exercise price that exceeds the Fair Market Value of a share of Stock shall be exchanged for a cash payment, without shareholder approval.</w:t>
      </w:r>
    </w:p>
    <w:p>
      <w:pPr>
        <w:spacing w:after="0" w:line="109" w:lineRule="exact"/>
        <w:rPr>
          <w:sz w:val="20"/>
          <w:szCs w:val="20"/>
          <w:color w:val="auto"/>
        </w:rPr>
      </w:pPr>
    </w:p>
    <w:p>
      <w:pPr>
        <w:ind w:left="1000" w:right="299"/>
        <w:spacing w:after="0" w:line="261"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i w:val="1"/>
          <w:iCs w:val="1"/>
          <w:color w:val="auto"/>
        </w:rPr>
        <w:t>Dividend Rights</w:t>
      </w:r>
      <w:r>
        <w:rPr>
          <w:rFonts w:ascii="Arial" w:cs="Arial" w:eastAsia="Arial" w:hAnsi="Arial"/>
          <w:sz w:val="18"/>
          <w:szCs w:val="18"/>
          <w:color w:val="auto"/>
        </w:rPr>
        <w:t>. Participants in whose name Options are granted shall not be entitled to receive dividends or other distributions with respect to shares of Stock underlying such Options prior to the exercise of such Options.</w:t>
      </w:r>
    </w:p>
    <w:p>
      <w:pPr>
        <w:spacing w:after="0" w:line="94" w:lineRule="exact"/>
        <w:rPr>
          <w:sz w:val="20"/>
          <w:szCs w:val="20"/>
          <w:color w:val="auto"/>
        </w:rPr>
      </w:pPr>
    </w:p>
    <w:p>
      <w:pPr>
        <w:ind w:left="1000" w:right="499"/>
        <w:spacing w:after="0" w:line="252"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i w:val="1"/>
          <w:iCs w:val="1"/>
          <w:color w:val="auto"/>
        </w:rPr>
        <w:t>Special Modification in the Event of a Corporate Transaction</w:t>
      </w:r>
      <w:r>
        <w:rPr>
          <w:rFonts w:ascii="Arial" w:cs="Arial" w:eastAsia="Arial" w:hAnsi="Arial"/>
          <w:sz w:val="18"/>
          <w:szCs w:val="18"/>
          <w:color w:val="auto"/>
        </w:rPr>
        <w:t>. In the event of a corporate transaction (within the meaning of Treas. Reg. § 1.424-1(a)(3)), the Administrator may provide for the assumption or substitution of outstanding Options, provided that the requirements of Treas. Reg. § 1.409A-1(b)(v)(D) are satisfied.</w:t>
      </w:r>
    </w:p>
    <w:p>
      <w:pPr>
        <w:spacing w:after="0" w:line="98" w:lineRule="exact"/>
        <w:rPr>
          <w:sz w:val="20"/>
          <w:szCs w:val="20"/>
          <w:color w:val="auto"/>
        </w:rPr>
      </w:pPr>
    </w:p>
    <w:p>
      <w:pPr>
        <w:jc w:val="center"/>
        <w:ind w:right="-800"/>
        <w:spacing w:after="0"/>
        <w:rPr>
          <w:sz w:val="20"/>
          <w:szCs w:val="20"/>
          <w:color w:val="auto"/>
        </w:rPr>
      </w:pPr>
      <w:r>
        <w:rPr>
          <w:rFonts w:ascii="Arial" w:cs="Arial" w:eastAsia="Arial" w:hAnsi="Arial"/>
          <w:sz w:val="20"/>
          <w:szCs w:val="20"/>
          <w:b w:val="1"/>
          <w:bCs w:val="1"/>
          <w:color w:val="auto"/>
        </w:rPr>
        <w:t>ARTICLE 6</w:t>
      </w:r>
    </w:p>
    <w:p>
      <w:pPr>
        <w:spacing w:after="0" w:line="20"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STOCK APPRECIATION RIGHTS (“SARs”)</w:t>
      </w:r>
    </w:p>
    <w:p>
      <w:pPr>
        <w:spacing w:after="0" w:line="119" w:lineRule="exact"/>
        <w:rPr>
          <w:sz w:val="20"/>
          <w:szCs w:val="20"/>
          <w:color w:val="auto"/>
        </w:rPr>
      </w:pPr>
    </w:p>
    <w:p>
      <w:pPr>
        <w:ind w:left="1000" w:right="279"/>
        <w:spacing w:after="0" w:line="24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4.4) may grant SARs to Eligible Employees, and the Independent Directors may grant SARs to Non-Employee Directors. Each SAR may be free-standing or related to all or part of an Option. In the discretion of the Administrator, a SAR related to an Option may be granted at any time before the related Option is exercised, expires, is terminated, or is surrendered, and may be modified when the related Option is modified.</w:t>
      </w:r>
    </w:p>
    <w:p>
      <w:pPr>
        <w:spacing w:after="0" w:line="131"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180" w:lineRule="exact"/>
        <w:rPr>
          <w:sz w:val="20"/>
          <w:szCs w:val="20"/>
          <w:color w:val="auto"/>
        </w:rPr>
      </w:pPr>
    </w:p>
    <w:p>
      <w:pPr>
        <w:jc w:val="right"/>
        <w:ind w:right="139"/>
        <w:spacing w:after="0"/>
        <w:tabs>
          <w:tab w:leader="none" w:pos="840" w:val="left"/>
        </w:tabs>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r>
        <w:rPr>
          <w:sz w:val="20"/>
          <w:szCs w:val="20"/>
          <w:color w:val="auto"/>
        </w:rPr>
        <w:tab/>
      </w:r>
      <w:r>
        <w:rPr>
          <w:rFonts w:ascii="Arial" w:cs="Arial" w:eastAsia="Arial" w:hAnsi="Arial"/>
          <w:sz w:val="21"/>
          <w:szCs w:val="21"/>
          <w:color w:val="auto"/>
          <w:vertAlign w:val="subscript"/>
        </w:rPr>
        <w:t>APPENDIX B</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000" w:right="179"/>
        <w:spacing w:after="0" w:line="262"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for each free-standing SAR granted under the Plan shall be set forth in the Agreement. Such exercise price shall be at least 100% of the Fair Market Value of the Stock on the Grant Date. The exercise price per share for each SAR related to an Option shall be no less than the exercise price for the related Option.</w:t>
      </w:r>
    </w:p>
    <w:p>
      <w:pPr>
        <w:spacing w:after="0" w:line="95" w:lineRule="exact"/>
        <w:rPr>
          <w:sz w:val="20"/>
          <w:szCs w:val="20"/>
          <w:color w:val="auto"/>
        </w:rPr>
      </w:pPr>
    </w:p>
    <w:p>
      <w:pPr>
        <w:ind w:left="1000" w:right="279"/>
        <w:spacing w:after="0" w:line="23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Term</w:t>
      </w:r>
      <w:r>
        <w:rPr>
          <w:rFonts w:ascii="Arial" w:cs="Arial" w:eastAsia="Arial" w:hAnsi="Arial"/>
          <w:sz w:val="18"/>
          <w:szCs w:val="18"/>
          <w:color w:val="auto"/>
        </w:rPr>
        <w:t>. The term of each SAR granted under the Plan shall be set forth in the Agreement; provided, however that in no event shall a SAR be exercisable after the day before the tenth (10</w:t>
      </w:r>
      <w:r>
        <w:rPr>
          <w:rFonts w:ascii="Arial" w:cs="Arial" w:eastAsia="Arial" w:hAnsi="Arial"/>
          <w:sz w:val="26"/>
          <w:szCs w:val="26"/>
          <w:color w:val="auto"/>
          <w:vertAlign w:val="superscript"/>
        </w:rPr>
        <w:t>th</w:t>
      </w:r>
      <w:r>
        <w:rPr>
          <w:rFonts w:ascii="Arial" w:cs="Arial" w:eastAsia="Arial" w:hAnsi="Arial"/>
          <w:sz w:val="18"/>
          <w:szCs w:val="18"/>
          <w:color w:val="auto"/>
        </w:rPr>
        <w:t>) anniversary of the Grant Date. Unless sooner forfeited or otherwise terminated pursuant to the terms hereof or of the Agreement, each SAR granted under the Plan shall expire at the end of its term, and the term may not be extended. No SAR may be exercised after the expiration of its term.</w:t>
      </w:r>
    </w:p>
    <w:p>
      <w:pPr>
        <w:spacing w:after="0" w:line="129" w:lineRule="exact"/>
        <w:rPr>
          <w:sz w:val="20"/>
          <w:szCs w:val="20"/>
          <w:color w:val="auto"/>
        </w:rPr>
      </w:pPr>
    </w:p>
    <w:p>
      <w:pPr>
        <w:ind w:left="1000" w:right="219"/>
        <w:spacing w:after="0" w:line="25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Exercisability (Vesting)</w:t>
      </w:r>
      <w:r>
        <w:rPr>
          <w:rFonts w:ascii="Arial" w:cs="Arial" w:eastAsia="Arial" w:hAnsi="Arial"/>
          <w:sz w:val="18"/>
          <w:szCs w:val="18"/>
          <w:color w:val="auto"/>
        </w:rPr>
        <w:t>. Each SAR granted under the Plan shall be subject to the vesting conditions set forth in the Agreement; provided, however, that (a) the exercisability of any SAR may be accelerated to the extent permitted by Section 12.2 (Acceleration of Vesting), and (b) if a SAR relates to all or part of an Option, such SAR shall be exercisable only to the extent that the related Option is exercisable. Subject to Section 12.2, a SAR shall become vested no faster than pro rata over the three (3) year period that starts on the Grant Date. Subject to the provisions of the Agreement, each SAR that is exercisable pursuant to this Section 6.4 shall remain exercisable thereafter until the expiration of its term as described in Section 6.3.</w:t>
      </w:r>
    </w:p>
    <w:p>
      <w:pPr>
        <w:spacing w:after="0" w:line="115" w:lineRule="exact"/>
        <w:rPr>
          <w:sz w:val="20"/>
          <w:szCs w:val="20"/>
          <w:color w:val="auto"/>
        </w:rPr>
      </w:pPr>
    </w:p>
    <w:p>
      <w:pPr>
        <w:ind w:left="1000" w:right="179"/>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Exercise</w:t>
      </w:r>
      <w:r>
        <w:rPr>
          <w:rFonts w:ascii="Arial" w:cs="Arial" w:eastAsia="Arial" w:hAnsi="Arial"/>
          <w:sz w:val="18"/>
          <w:szCs w:val="18"/>
          <w:color w:val="auto"/>
        </w:rPr>
        <w:t>. To the extent that a SAR has become exercisable in accordance with Section 6.4, such SAR may be exercised in accordance with the procedures set forth in Section 5.5 (Exercise), but without the requirement to make a payment therefor. If the SAR is related to all or part of an Option, the Optionee must provide with the exercise notice an instrument effecting the surrender of the related portion of the Option. Each SAR may be settled in shares of Stock, cash, or a combination of cash and shares (provided that shares of Stock underlying any SAR that is settled in cash shall not be available to be issued in a future Award). No fractional shares shall be issued; any amount that would have been payable in fractional shares shall be paid in cash.</w:t>
      </w:r>
    </w:p>
    <w:p>
      <w:pPr>
        <w:spacing w:after="0" w:line="104" w:lineRule="exact"/>
        <w:rPr>
          <w:sz w:val="20"/>
          <w:szCs w:val="20"/>
          <w:color w:val="auto"/>
        </w:rPr>
      </w:pPr>
    </w:p>
    <w:p>
      <w:pPr>
        <w:ind w:left="1000" w:right="679"/>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Other Conditions</w:t>
      </w:r>
      <w:r>
        <w:rPr>
          <w:rFonts w:ascii="Arial" w:cs="Arial" w:eastAsia="Arial" w:hAnsi="Arial"/>
          <w:sz w:val="18"/>
          <w:szCs w:val="18"/>
          <w:color w:val="auto"/>
        </w:rPr>
        <w:t>. The Administrator (or its designee) may impose any other conditions upon the exercise of SARs. Such conditions may govern the right to exercise SARs granted before the adoption or amendment of such conditions as well as SARs granted thereafter.</w:t>
      </w:r>
    </w:p>
    <w:p>
      <w:pPr>
        <w:spacing w:after="0" w:line="103" w:lineRule="exact"/>
        <w:rPr>
          <w:sz w:val="20"/>
          <w:szCs w:val="20"/>
          <w:color w:val="auto"/>
        </w:rPr>
      </w:pPr>
    </w:p>
    <w:p>
      <w:pPr>
        <w:ind w:left="1000" w:right="179"/>
        <w:spacing w:after="0" w:line="28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Dividend Rights</w:t>
      </w:r>
      <w:r>
        <w:rPr>
          <w:rFonts w:ascii="Arial" w:cs="Arial" w:eastAsia="Arial" w:hAnsi="Arial"/>
          <w:sz w:val="18"/>
          <w:szCs w:val="18"/>
          <w:color w:val="auto"/>
        </w:rPr>
        <w:t>. Participants in whose name SARs are granted shall not be entitled to receive dividends or other distributions with respect to shares of Stock underlying such SARs.</w:t>
      </w:r>
    </w:p>
    <w:p>
      <w:pPr>
        <w:spacing w:after="0" w:line="85" w:lineRule="exact"/>
        <w:rPr>
          <w:sz w:val="20"/>
          <w:szCs w:val="20"/>
          <w:color w:val="auto"/>
        </w:rPr>
      </w:pPr>
    </w:p>
    <w:p>
      <w:pPr>
        <w:ind w:left="1000" w:right="219"/>
        <w:spacing w:after="0" w:line="268"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color w:val="auto"/>
        </w:rPr>
        <w:t>Modification and Cancellation Rules</w:t>
      </w:r>
      <w:r>
        <w:rPr>
          <w:rFonts w:ascii="Arial" w:cs="Arial" w:eastAsia="Arial" w:hAnsi="Arial"/>
          <w:sz w:val="18"/>
          <w:szCs w:val="18"/>
          <w:color w:val="auto"/>
        </w:rPr>
        <w:t>. The modification and cancellation rules and restrictions set forth in Sections 5.6 (General Modification Rules) and 5.8 (Special Modification in the Event of a Corporate Transaction) shall also apply with respect to SARs.</w:t>
      </w:r>
    </w:p>
    <w:p>
      <w:pPr>
        <w:spacing w:after="0" w:line="85"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ARTICLE 7</w:t>
      </w:r>
    </w:p>
    <w:p>
      <w:pPr>
        <w:spacing w:after="0" w:line="33" w:lineRule="exact"/>
        <w:rPr>
          <w:sz w:val="20"/>
          <w:szCs w:val="20"/>
          <w:color w:val="auto"/>
        </w:rPr>
      </w:pPr>
    </w:p>
    <w:p>
      <w:pPr>
        <w:ind w:left="4380"/>
        <w:spacing w:after="0"/>
        <w:rPr>
          <w:sz w:val="20"/>
          <w:szCs w:val="20"/>
          <w:color w:val="auto"/>
        </w:rPr>
      </w:pPr>
      <w:r>
        <w:rPr>
          <w:rFonts w:ascii="Arial" w:cs="Arial" w:eastAsia="Arial" w:hAnsi="Arial"/>
          <w:sz w:val="20"/>
          <w:szCs w:val="20"/>
          <w:b w:val="1"/>
          <w:bCs w:val="1"/>
          <w:color w:val="auto"/>
        </w:rPr>
        <w:t>RESTRICTED STOCK</w:t>
      </w:r>
    </w:p>
    <w:p>
      <w:pPr>
        <w:spacing w:after="0" w:line="119" w:lineRule="exact"/>
        <w:rPr>
          <w:sz w:val="20"/>
          <w:szCs w:val="20"/>
          <w:color w:val="auto"/>
        </w:rPr>
      </w:pPr>
    </w:p>
    <w:p>
      <w:pPr>
        <w:ind w:left="1000" w:right="159"/>
        <w:spacing w:after="0" w:line="26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4.4) may grant Restricted Stock to Eligible Employees, and the Independent Directors may grant Restricted Stock to Non-Employee Directors. The number of shares granted pursuant to any Restricted Stock Award, and the purchase price (if any), shall be set forth in the Agreement.</w:t>
      </w:r>
    </w:p>
    <w:p>
      <w:pPr>
        <w:spacing w:after="0" w:line="109" w:lineRule="exact"/>
        <w:rPr>
          <w:sz w:val="20"/>
          <w:szCs w:val="20"/>
          <w:color w:val="auto"/>
        </w:rPr>
      </w:pPr>
    </w:p>
    <w:p>
      <w:pPr>
        <w:ind w:left="1000" w:right="139"/>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Restrictions</w:t>
      </w:r>
      <w:r>
        <w:rPr>
          <w:rFonts w:ascii="Arial" w:cs="Arial" w:eastAsia="Arial" w:hAnsi="Arial"/>
          <w:sz w:val="18"/>
          <w:szCs w:val="18"/>
          <w:color w:val="auto"/>
        </w:rPr>
        <w:t>. During the Period of Restriction set forth in the applicable Agreement, shares of Restricted Stock shall not be sold, transferred, pledged, assigned, exchanged, encumbered, alienated, hypothecated, or otherwise disposed of. Except as otherwise provided in the Agreement, if a Participant’s employment or other service with the Company terminates before the end of the Period of Restriction for any shares of Restricted Stock, all such restricted shares shall be forfeited, and all rights of the Participant with respect to such shares of Stock shall immediately terminate without any payment or other consideration therefor; provided that if the Participant paid for any of the forfeited shares, the Company shall refund the purchase price (without interest or any other earnings). Any forfeited shares of Restricted Stock that had been delivered to, or held in custody for, a Participant shall be returned to Avnet, accompanied by any instrument of transfer requested by Avnet.</w:t>
      </w:r>
    </w:p>
    <w:p>
      <w:pPr>
        <w:spacing w:after="0" w:line="13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94     </w:t>
      </w:r>
      <w:r>
        <w:rPr>
          <w:sz w:val="1"/>
          <w:szCs w:val="1"/>
          <w:color w:val="auto"/>
        </w:rPr>
        <w:drawing>
          <wp:inline distT="0" distB="0" distL="0" distR="0">
            <wp:extent cx="1242695" cy="24003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180" w:lineRule="exact"/>
        <w:rPr>
          <w:sz w:val="20"/>
          <w:szCs w:val="20"/>
          <w:color w:val="auto"/>
        </w:rPr>
      </w:pPr>
    </w:p>
    <w:p>
      <w:pPr>
        <w:jc w:val="right"/>
        <w:ind w:right="139"/>
        <w:spacing w:after="0"/>
        <w:tabs>
          <w:tab w:leader="none" w:pos="840" w:val="left"/>
        </w:tabs>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r>
        <w:rPr>
          <w:sz w:val="20"/>
          <w:szCs w:val="20"/>
          <w:color w:val="auto"/>
        </w:rPr>
        <w:tab/>
      </w:r>
      <w:r>
        <w:rPr>
          <w:rFonts w:ascii="Arial" w:cs="Arial" w:eastAsia="Arial" w:hAnsi="Arial"/>
          <w:sz w:val="21"/>
          <w:szCs w:val="21"/>
          <w:color w:val="auto"/>
          <w:vertAlign w:val="subscript"/>
        </w:rPr>
        <w:t>APPENDIX B</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000" w:right="419"/>
        <w:spacing w:after="0" w:line="25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i w:val="1"/>
          <w:iCs w:val="1"/>
          <w:color w:val="auto"/>
        </w:rPr>
        <w:t>Lapse of Period of Restriction (Vesting)</w:t>
      </w:r>
      <w:r>
        <w:rPr>
          <w:rFonts w:ascii="Arial" w:cs="Arial" w:eastAsia="Arial" w:hAnsi="Arial"/>
          <w:sz w:val="17"/>
          <w:szCs w:val="17"/>
          <w:color w:val="auto"/>
        </w:rPr>
        <w:t>. The Period of Restriction for each Award of Restricted Stock shall lapse only upon satisfaction of conditions set forth in the Agreement. Such conditions may be based on</w:t>
      </w:r>
    </w:p>
    <w:p>
      <w:pPr>
        <w:spacing w:after="0" w:line="1" w:lineRule="exact"/>
        <w:rPr>
          <w:sz w:val="20"/>
          <w:szCs w:val="20"/>
          <w:color w:val="auto"/>
        </w:rPr>
      </w:pPr>
    </w:p>
    <w:p>
      <w:pPr>
        <w:ind w:left="1000" w:right="299" w:hanging="10"/>
        <w:spacing w:after="0" w:line="245" w:lineRule="auto"/>
        <w:tabs>
          <w:tab w:leader="none" w:pos="12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continued service to Avnet or a Subsidiary for a specified period, (b) achievement of Performance Objectives, or (c) a combination of (a) and (b). Subject to Section 12.2, the Period of Restriction for any Award of Restricted Stock shall lapse no faster than pro rata over the three (3) year period that starts on the Grant Date.</w:t>
      </w:r>
    </w:p>
    <w:p>
      <w:pPr>
        <w:spacing w:after="0" w:line="109" w:lineRule="exact"/>
        <w:rPr>
          <w:sz w:val="20"/>
          <w:szCs w:val="20"/>
          <w:color w:val="auto"/>
        </w:rPr>
      </w:pPr>
    </w:p>
    <w:p>
      <w:pPr>
        <w:ind w:left="1000" w:right="179"/>
        <w:spacing w:after="0" w:line="283"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i w:val="1"/>
          <w:iCs w:val="1"/>
          <w:color w:val="auto"/>
        </w:rPr>
        <w:t>Settlement of Restricted Stock</w:t>
      </w:r>
      <w:r>
        <w:rPr>
          <w:rFonts w:ascii="Arial" w:cs="Arial" w:eastAsia="Arial" w:hAnsi="Arial"/>
          <w:sz w:val="17"/>
          <w:szCs w:val="17"/>
          <w:color w:val="auto"/>
        </w:rPr>
        <w:t>. Shares of Restricted Stock shall become freely transferable immediately following the last day of the Period of Restriction. As soon as practicable after the Period of Restriction lapses, Avnet shall record the stock transfer on its books and records without the need to issue a physical certificate.</w:t>
      </w:r>
    </w:p>
    <w:p>
      <w:pPr>
        <w:spacing w:after="0" w:line="78" w:lineRule="exact"/>
        <w:rPr>
          <w:sz w:val="20"/>
          <w:szCs w:val="20"/>
          <w:color w:val="auto"/>
        </w:rPr>
      </w:pPr>
    </w:p>
    <w:p>
      <w:pPr>
        <w:ind w:left="1000" w:right="299"/>
        <w:spacing w:after="0" w:line="271"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Voting Rights</w:t>
      </w:r>
      <w:r>
        <w:rPr>
          <w:rFonts w:ascii="Arial" w:cs="Arial" w:eastAsia="Arial" w:hAnsi="Arial"/>
          <w:sz w:val="18"/>
          <w:szCs w:val="18"/>
          <w:color w:val="auto"/>
        </w:rPr>
        <w:t>. During the Period of Restriction, Participants in whose name Restricted Stock is granted under the Plan may exercise full voting rights with respect to those shares.</w:t>
      </w:r>
    </w:p>
    <w:p>
      <w:pPr>
        <w:spacing w:after="0" w:line="86" w:lineRule="exact"/>
        <w:rPr>
          <w:sz w:val="20"/>
          <w:szCs w:val="20"/>
          <w:color w:val="auto"/>
        </w:rPr>
      </w:pPr>
    </w:p>
    <w:p>
      <w:pPr>
        <w:ind w:left="1000" w:right="179"/>
        <w:spacing w:after="0" w:line="243"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Dividend Rights</w:t>
      </w:r>
      <w:r>
        <w:rPr>
          <w:rFonts w:ascii="Arial" w:cs="Arial" w:eastAsia="Arial" w:hAnsi="Arial"/>
          <w:sz w:val="18"/>
          <w:szCs w:val="18"/>
          <w:color w:val="auto"/>
        </w:rPr>
        <w:t>. During the Period of Restriction, Participants in whose name Restricted Stock is granted shall be entitled to receive all dividends and other distributions paid with respect to such Restricted Stock Awards, as set forth in this Section 7.6. Dividends paid in cash shall be automatically reinvested in additional shares of Restricted Stock at a purchase price per share equal to the Fair Market Value of a share of Stock on the date such dividend is paid; provided, however, that fractional shares shall not be issued. Any amount that would have been invested in a fractional share shall be payable to the Participant in cash when the Period of Restriction for the underlying shares lapses. All additional shares of Stock received by a Participant in respect of a dividend or other distribution on Restricted Stock, whether through reinvestment or through a dividend or other distribution paid in shares of Stock, shall be subject to the same restrictions (for the same Period of Restriction) as the Restricted Stock with respect to which they were received; and the right to receive cash with respect to any fractional share shall be subject to forfeiture until the Period of Restriction for the underlying shares lapses.</w:t>
      </w:r>
    </w:p>
    <w:p>
      <w:pPr>
        <w:spacing w:after="0" w:line="118" w:lineRule="exact"/>
        <w:rPr>
          <w:sz w:val="20"/>
          <w:szCs w:val="20"/>
          <w:color w:val="auto"/>
        </w:rPr>
      </w:pPr>
    </w:p>
    <w:p>
      <w:pPr>
        <w:ind w:left="1000" w:right="179"/>
        <w:spacing w:after="0" w:line="252"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i w:val="1"/>
          <w:iCs w:val="1"/>
          <w:color w:val="auto"/>
        </w:rPr>
        <w:t>Foreign Laws</w:t>
      </w:r>
      <w:r>
        <w:rPr>
          <w:rFonts w:ascii="Arial" w:cs="Arial" w:eastAsia="Arial" w:hAnsi="Arial"/>
          <w:sz w:val="18"/>
          <w:szCs w:val="18"/>
          <w:color w:val="auto"/>
        </w:rPr>
        <w:t>. Notwithstanding any other provision of the Plan, if Restricted Stock is to be awarded to a Participant who is subject to the laws, including the tax laws, of any country other than the United States, the Committee may, in its discretion, direct Avnet to sell, assign, or otherwise transfer the Restricted Stock to a trust or other entity or arrangement, rather than grant the Restricted Stock directly to the Participant.</w:t>
      </w:r>
    </w:p>
    <w:p>
      <w:pPr>
        <w:spacing w:after="0" w:line="98" w:lineRule="exact"/>
        <w:rPr>
          <w:sz w:val="20"/>
          <w:szCs w:val="20"/>
          <w:color w:val="auto"/>
        </w:rPr>
      </w:pPr>
    </w:p>
    <w:p>
      <w:pPr>
        <w:jc w:val="center"/>
        <w:ind w:right="-800"/>
        <w:spacing w:after="0"/>
        <w:rPr>
          <w:sz w:val="20"/>
          <w:szCs w:val="20"/>
          <w:color w:val="auto"/>
        </w:rPr>
      </w:pPr>
      <w:r>
        <w:rPr>
          <w:rFonts w:ascii="Arial" w:cs="Arial" w:eastAsia="Arial" w:hAnsi="Arial"/>
          <w:sz w:val="20"/>
          <w:szCs w:val="20"/>
          <w:b w:val="1"/>
          <w:bCs w:val="1"/>
          <w:color w:val="auto"/>
        </w:rPr>
        <w:t>ARTICLE 8</w:t>
      </w:r>
    </w:p>
    <w:p>
      <w:pPr>
        <w:spacing w:after="0" w:line="6"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RESTRICTED STOCK UNITS</w:t>
      </w:r>
    </w:p>
    <w:p>
      <w:pPr>
        <w:spacing w:after="0" w:line="133" w:lineRule="exact"/>
        <w:rPr>
          <w:sz w:val="20"/>
          <w:szCs w:val="20"/>
          <w:color w:val="auto"/>
        </w:rPr>
      </w:pPr>
    </w:p>
    <w:p>
      <w:pPr>
        <w:ind w:left="1000" w:right="219"/>
        <w:spacing w:after="0" w:line="252"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4.4) may grant Restricted Stock Units to Eligible Employees, and the Independent Directors may grant Restricted Stock Units to Non-Employee Directors. The number of shares of Stock underlying any Restricted Stock Unit Award shall be set forth in the Agreement.</w:t>
      </w:r>
    </w:p>
    <w:p>
      <w:pPr>
        <w:spacing w:after="0" w:line="103" w:lineRule="exact"/>
        <w:rPr>
          <w:sz w:val="20"/>
          <w:szCs w:val="20"/>
          <w:color w:val="auto"/>
        </w:rPr>
      </w:pPr>
    </w:p>
    <w:p>
      <w:pPr>
        <w:ind w:left="1000" w:right="199"/>
        <w:spacing w:after="0" w:line="258"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i w:val="1"/>
          <w:iCs w:val="1"/>
          <w:color w:val="auto"/>
        </w:rPr>
        <w:t>Vesting</w:t>
      </w:r>
      <w:r>
        <w:rPr>
          <w:rFonts w:ascii="Arial" w:cs="Arial" w:eastAsia="Arial" w:hAnsi="Arial"/>
          <w:sz w:val="17"/>
          <w:szCs w:val="17"/>
          <w:color w:val="auto"/>
        </w:rPr>
        <w:t>. An Award of Restricted Stock Units shall be subject to vesting conditions set forth in the applicable Agreement. Such vesting conditions may be based on (a) continued service to Avnet or a Subsidiary for a specified period, (b) achievement of Performance Objectives, or (c) a combination of (a) and (b). Subject to Section 12.2, a Restricted Stock Unit Award shall become vested no faster than pro rata over the three</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 year period that starts on the Grant Date.</w:t>
      </w:r>
    </w:p>
    <w:p>
      <w:pPr>
        <w:spacing w:after="0" w:line="126" w:lineRule="exact"/>
        <w:rPr>
          <w:sz w:val="20"/>
          <w:szCs w:val="20"/>
          <w:color w:val="auto"/>
        </w:rPr>
      </w:pPr>
    </w:p>
    <w:p>
      <w:pPr>
        <w:ind w:left="1000" w:right="579"/>
        <w:spacing w:after="0" w:line="23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Settlement of Restricted Stock Units</w:t>
      </w:r>
      <w:r>
        <w:rPr>
          <w:rFonts w:ascii="Arial" w:cs="Arial" w:eastAsia="Arial" w:hAnsi="Arial"/>
          <w:sz w:val="17"/>
          <w:szCs w:val="17"/>
          <w:color w:val="auto"/>
        </w:rPr>
        <w:t>. Subject to Section 12.6 (Registration of Shares), unless the applicable Agreement provides otherwise, as soon as practicable after any Restricted Stock Unit becomes vested (and in no event later than the end of the “applicable 2-</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2</w:t>
      </w:r>
      <w:r>
        <w:rPr>
          <w:rFonts w:ascii="Arial" w:cs="Arial" w:eastAsia="Arial" w:hAnsi="Arial"/>
          <w:sz w:val="17"/>
          <w:szCs w:val="17"/>
          <w:color w:val="auto"/>
        </w:rPr>
        <w:t xml:space="preserve"> month period” described in Treas. Reg.</w:t>
      </w:r>
    </w:p>
    <w:p>
      <w:pPr>
        <w:spacing w:after="0" w:line="2" w:lineRule="exact"/>
        <w:rPr>
          <w:sz w:val="20"/>
          <w:szCs w:val="20"/>
          <w:color w:val="auto"/>
        </w:rPr>
      </w:pPr>
    </w:p>
    <w:p>
      <w:pPr>
        <w:ind w:left="1000" w:right="819" w:hanging="10"/>
        <w:spacing w:after="0" w:line="250"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1.409A-1(b)(4)(i)(A)), Avnet shall transfer to the Participant one share of Stock for each such vested Restricted Stock Unit, cash in lieu of shares of Stock, or a combination of cash and shares of Stock. No fractional shares shall be issued with respect to vesting of Restricted Stock Units.</w:t>
      </w:r>
    </w:p>
    <w:p>
      <w:pPr>
        <w:spacing w:after="0" w:line="105" w:lineRule="exact"/>
        <w:rPr>
          <w:sz w:val="20"/>
          <w:szCs w:val="20"/>
          <w:color w:val="auto"/>
        </w:rPr>
      </w:pPr>
    </w:p>
    <w:p>
      <w:pPr>
        <w:jc w:val="both"/>
        <w:ind w:left="1000" w:right="319"/>
        <w:spacing w:after="0" w:line="25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Dividend Rights</w:t>
      </w:r>
      <w:r>
        <w:rPr>
          <w:rFonts w:ascii="Arial" w:cs="Arial" w:eastAsia="Arial" w:hAnsi="Arial"/>
          <w:sz w:val="18"/>
          <w:szCs w:val="18"/>
          <w:color w:val="auto"/>
        </w:rPr>
        <w:t>. Participants in whose name Restricted Stock Units are granted shall not be entitled to receive dividends or other distributions with respect to shares of Stock underlying such Restricted Stock Unit, unless the Agreement provides otherwise. Any right to receive dividends or other distributions shall be</w:t>
      </w:r>
    </w:p>
    <w:p>
      <w:pPr>
        <w:spacing w:after="0" w:line="123"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180" w:lineRule="exact"/>
        <w:rPr>
          <w:sz w:val="20"/>
          <w:szCs w:val="20"/>
          <w:color w:val="auto"/>
        </w:rPr>
      </w:pPr>
    </w:p>
    <w:p>
      <w:pPr>
        <w:ind w:left="1000"/>
        <w:spacing w:after="0"/>
        <w:tabs>
          <w:tab w:leader="none" w:pos="8860" w:val="left"/>
        </w:tabs>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r>
        <w:rPr>
          <w:sz w:val="20"/>
          <w:szCs w:val="20"/>
          <w:color w:val="auto"/>
        </w:rPr>
        <w:tab/>
      </w:r>
      <w:r>
        <w:rPr>
          <w:rFonts w:ascii="Arial" w:cs="Arial" w:eastAsia="Arial" w:hAnsi="Arial"/>
          <w:sz w:val="21"/>
          <w:szCs w:val="21"/>
          <w:color w:val="auto"/>
          <w:vertAlign w:val="subscript"/>
        </w:rPr>
        <w:t>APPENDIX B</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77" w:lineRule="exact"/>
        <w:rPr>
          <w:sz w:val="20"/>
          <w:szCs w:val="20"/>
          <w:color w:val="auto"/>
        </w:rPr>
      </w:pPr>
    </w:p>
    <w:p>
      <w:pPr>
        <w:ind w:left="1000" w:right="279"/>
        <w:spacing w:after="0" w:line="251" w:lineRule="auto"/>
        <w:rPr>
          <w:sz w:val="20"/>
          <w:szCs w:val="20"/>
          <w:color w:val="auto"/>
        </w:rPr>
      </w:pPr>
      <w:r>
        <w:rPr>
          <w:rFonts w:ascii="Arial" w:cs="Arial" w:eastAsia="Arial" w:hAnsi="Arial"/>
          <w:sz w:val="17"/>
          <w:szCs w:val="17"/>
          <w:color w:val="auto"/>
        </w:rPr>
        <w:t>subject to the same vesting conditions and risk of forfeiture as the Restricted Stock Units with respect to which such right is granted, and accrued dividends and distributions, if any, shall be paid when the applicable</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Restricted Stock Units are settled.</w:t>
      </w:r>
    </w:p>
    <w:p>
      <w:pPr>
        <w:spacing w:after="0" w:line="121" w:lineRule="exact"/>
        <w:rPr>
          <w:sz w:val="20"/>
          <w:szCs w:val="20"/>
          <w:color w:val="auto"/>
        </w:rPr>
      </w:pPr>
    </w:p>
    <w:p>
      <w:pPr>
        <w:jc w:val="center"/>
        <w:ind w:right="-800"/>
        <w:spacing w:after="0"/>
        <w:rPr>
          <w:sz w:val="20"/>
          <w:szCs w:val="20"/>
          <w:color w:val="auto"/>
        </w:rPr>
      </w:pPr>
      <w:r>
        <w:rPr>
          <w:rFonts w:ascii="Arial" w:cs="Arial" w:eastAsia="Arial" w:hAnsi="Arial"/>
          <w:sz w:val="20"/>
          <w:szCs w:val="20"/>
          <w:b w:val="1"/>
          <w:bCs w:val="1"/>
          <w:color w:val="auto"/>
        </w:rPr>
        <w:t>ARTICLE 9</w:t>
      </w:r>
    </w:p>
    <w:p>
      <w:pPr>
        <w:spacing w:after="0" w:line="6"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PERFORMANCE SHARE UNITS</w:t>
      </w:r>
    </w:p>
    <w:p>
      <w:pPr>
        <w:spacing w:after="0" w:line="119" w:lineRule="exact"/>
        <w:rPr>
          <w:sz w:val="20"/>
          <w:szCs w:val="20"/>
          <w:color w:val="auto"/>
        </w:rPr>
      </w:pPr>
    </w:p>
    <w:p>
      <w:pPr>
        <w:ind w:left="1000" w:right="239"/>
        <w:spacing w:after="0" w:line="252"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Grant.</w:t>
      </w:r>
      <w:r>
        <w:rPr>
          <w:rFonts w:ascii="Arial" w:cs="Arial" w:eastAsia="Arial" w:hAnsi="Arial"/>
          <w:sz w:val="18"/>
          <w:szCs w:val="18"/>
          <w:color w:val="auto"/>
        </w:rPr>
        <w:t xml:space="preserve"> The Committee (and the CEO to the extent permitted by Section 4.4) may grant Performance Share Units to Eligible Employees, and the Independent Directors may grant Performance Share Units to Non-Employee Directors. The target and maximum number of Shares deliverable upon achievement of the applicable Performance Objectives shall be set forth in the Agreement.</w:t>
      </w:r>
    </w:p>
    <w:p>
      <w:pPr>
        <w:spacing w:after="0" w:line="103" w:lineRule="exact"/>
        <w:rPr>
          <w:sz w:val="20"/>
          <w:szCs w:val="20"/>
          <w:color w:val="auto"/>
        </w:rPr>
      </w:pPr>
    </w:p>
    <w:p>
      <w:pPr>
        <w:ind w:left="1000" w:right="259"/>
        <w:spacing w:after="0" w:line="252"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Vesting</w:t>
      </w:r>
      <w:r>
        <w:rPr>
          <w:rFonts w:ascii="Arial" w:cs="Arial" w:eastAsia="Arial" w:hAnsi="Arial"/>
          <w:sz w:val="18"/>
          <w:szCs w:val="18"/>
          <w:color w:val="auto"/>
        </w:rPr>
        <w:t>. Vesting of Performance Share Units shall be conditioned upon the achievement of specified Performance Objectives over a specified Performance Period, and such other conditions as are set forth in the Agreement. Subject to Section 12.2, Awards of Performance Share Units shall become vested no faster than pro rata over the three (3) year period that starts on the Grant Date.</w:t>
      </w:r>
    </w:p>
    <w:p>
      <w:pPr>
        <w:spacing w:after="0" w:line="103" w:lineRule="exact"/>
        <w:rPr>
          <w:sz w:val="20"/>
          <w:szCs w:val="20"/>
          <w:color w:val="auto"/>
        </w:rPr>
      </w:pPr>
    </w:p>
    <w:p>
      <w:pPr>
        <w:ind w:left="1000" w:right="359"/>
        <w:spacing w:after="0" w:line="265"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Settlement of Performance Shares</w:t>
      </w:r>
      <w:r>
        <w:rPr>
          <w:rFonts w:ascii="Arial" w:cs="Arial" w:eastAsia="Arial" w:hAnsi="Arial"/>
          <w:sz w:val="17"/>
          <w:szCs w:val="17"/>
          <w:color w:val="auto"/>
        </w:rPr>
        <w:t>. Subject to Section 12.6 (Registration of Shares), unless the Agreement provides otherwise, as soon as practicable after Performance Share Units become vested (and in no event later than the end of the “applicable 2-</w:t>
      </w:r>
      <w:r>
        <w:rPr>
          <w:rFonts w:ascii="Arial" w:cs="Arial" w:eastAsia="Arial" w:hAnsi="Arial"/>
          <w:sz w:val="11"/>
          <w:szCs w:val="11"/>
          <w:color w:val="auto"/>
        </w:rPr>
        <w:t>1</w:t>
      </w:r>
      <w:r>
        <w:rPr>
          <w:rFonts w:ascii="Arial" w:cs="Arial" w:eastAsia="Arial" w:hAnsi="Arial"/>
          <w:sz w:val="17"/>
          <w:szCs w:val="17"/>
          <w:color w:val="auto"/>
        </w:rPr>
        <w:t>∕</w:t>
      </w:r>
      <w:r>
        <w:rPr>
          <w:rFonts w:ascii="Arial" w:cs="Arial" w:eastAsia="Arial" w:hAnsi="Arial"/>
          <w:sz w:val="11"/>
          <w:szCs w:val="11"/>
          <w:color w:val="auto"/>
        </w:rPr>
        <w:t>2</w:t>
      </w:r>
      <w:r>
        <w:rPr>
          <w:rFonts w:ascii="Arial" w:cs="Arial" w:eastAsia="Arial" w:hAnsi="Arial"/>
          <w:sz w:val="17"/>
          <w:szCs w:val="17"/>
          <w:color w:val="auto"/>
        </w:rPr>
        <w:t xml:space="preserve"> month period” described in Treas. Reg. § 1.409A-1(b)(4)(i)</w:t>
      </w:r>
    </w:p>
    <w:p>
      <w:pPr>
        <w:ind w:left="1000" w:right="159"/>
        <w:spacing w:after="0" w:line="252" w:lineRule="auto"/>
        <w:rPr>
          <w:sz w:val="20"/>
          <w:szCs w:val="20"/>
          <w:color w:val="auto"/>
        </w:rPr>
      </w:pPr>
      <w:r>
        <w:rPr>
          <w:rFonts w:ascii="Arial" w:cs="Arial" w:eastAsia="Arial" w:hAnsi="Arial"/>
          <w:sz w:val="18"/>
          <w:szCs w:val="18"/>
          <w:color w:val="auto"/>
        </w:rPr>
        <w:t>(A)), Avnet shall transfer to the Participant shares of Stock or cash, or a combination of cash and shares of Stock, corresponding to the vested amount (determined after considering the Administrator’s discretion to reduce the amount payable upon achievement of Performance Objectives). No fractional shares shall be issued with respect to vesting of Performance Share Units.</w:t>
      </w:r>
    </w:p>
    <w:p>
      <w:pPr>
        <w:spacing w:after="0" w:line="103" w:lineRule="exact"/>
        <w:rPr>
          <w:sz w:val="20"/>
          <w:szCs w:val="20"/>
          <w:color w:val="auto"/>
        </w:rPr>
      </w:pPr>
    </w:p>
    <w:p>
      <w:pPr>
        <w:ind w:left="1000" w:right="259"/>
        <w:spacing w:after="0" w:line="24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Dividend Rights.</w:t>
      </w:r>
      <w:r>
        <w:rPr>
          <w:rFonts w:ascii="Arial" w:cs="Arial" w:eastAsia="Arial" w:hAnsi="Arial"/>
          <w:sz w:val="18"/>
          <w:szCs w:val="18"/>
          <w:color w:val="auto"/>
        </w:rPr>
        <w:t xml:space="preserve"> Participants in whose name Performance Share Units are granted shall not be entitled to receive dividends or other distributions with respect to shares of Stock underlying such Performance Share Units, unless the Agreement provides otherwise. Any right to receive dividends or other distributions shall be subject to the same vesting conditions and risk of forfeiture as the Performance Share Units with respect to which such right is granted, and accrued dividends and distributions, if any, shall be paid when the applicable Performance Share Units are settled.</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20"/>
          <w:szCs w:val="20"/>
          <w:b w:val="1"/>
          <w:bCs w:val="1"/>
          <w:color w:val="auto"/>
        </w:rPr>
        <w:t>ARTICLE 10</w:t>
      </w:r>
    </w:p>
    <w:p>
      <w:pPr>
        <w:spacing w:after="0" w:line="20"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OTHER STOCK UNIT AWARDS</w:t>
      </w:r>
    </w:p>
    <w:p>
      <w:pPr>
        <w:spacing w:after="0" w:line="119" w:lineRule="exact"/>
        <w:rPr>
          <w:sz w:val="20"/>
          <w:szCs w:val="20"/>
          <w:color w:val="auto"/>
        </w:rPr>
      </w:pPr>
    </w:p>
    <w:p>
      <w:pPr>
        <w:ind w:left="1000" w:right="139"/>
        <w:spacing w:after="0" w:line="251"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4.4) may grant Other Stock Unit Awards to Eligible Employees, and the Independent Directors may grant Other Stock Unit Awards to Non-Employee Directors. Each Other Stock Unit Award may be granted as a stand-alone Award or in connection with another Award made under the Plan, and may be in the form of Stock or other securities. The number of shares of Stock or other securities underlying any Other Stock Unit Award shall be set forth in the Agreement.</w:t>
      </w:r>
    </w:p>
    <w:p>
      <w:pPr>
        <w:spacing w:after="0" w:line="106" w:lineRule="exact"/>
        <w:rPr>
          <w:sz w:val="20"/>
          <w:szCs w:val="20"/>
          <w:color w:val="auto"/>
        </w:rPr>
      </w:pPr>
    </w:p>
    <w:p>
      <w:pPr>
        <w:ind w:left="1000" w:right="199"/>
        <w:spacing w:after="0" w:line="252"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Amount of Award</w:t>
      </w:r>
      <w:r>
        <w:rPr>
          <w:rFonts w:ascii="Arial" w:cs="Arial" w:eastAsia="Arial" w:hAnsi="Arial"/>
          <w:sz w:val="18"/>
          <w:szCs w:val="18"/>
          <w:color w:val="auto"/>
        </w:rPr>
        <w:t>. The value of each Other Stock Unit Award shall be based, in whole or in part, on the value of the underlying Stock or other securities. The Agreement may provide that an Other Stock Unit Award may provide to the Participant (a) dividends or dividend equivalents and (b) cash payments in lieu of or in addition to an Award.</w:t>
      </w:r>
    </w:p>
    <w:p>
      <w:pPr>
        <w:spacing w:after="0" w:line="103" w:lineRule="exact"/>
        <w:rPr>
          <w:sz w:val="20"/>
          <w:szCs w:val="20"/>
          <w:color w:val="auto"/>
        </w:rPr>
      </w:pPr>
    </w:p>
    <w:p>
      <w:pPr>
        <w:ind w:left="1000" w:right="139"/>
        <w:spacing w:after="0" w:line="25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General Rules for Other Stock Unit Awards</w:t>
      </w:r>
      <w:r>
        <w:rPr>
          <w:rFonts w:ascii="Arial" w:cs="Arial" w:eastAsia="Arial" w:hAnsi="Arial"/>
          <w:sz w:val="18"/>
          <w:szCs w:val="18"/>
          <w:color w:val="auto"/>
        </w:rPr>
        <w:t>. Subject to the requirements of the Plan, including this Section 10.3, the terms, restrictions, conditions, vesting requirements, and payment rules of an Other Stock Unit Award (collectively, the “Rules”) shall be set forth in the Agreement. The Rules for each Other Stock Unit Award need not be consistent from one Other Stock Unit Award to another.</w:t>
      </w:r>
    </w:p>
    <w:p>
      <w:pPr>
        <w:spacing w:after="0" w:line="103" w:lineRule="exact"/>
        <w:rPr>
          <w:sz w:val="20"/>
          <w:szCs w:val="20"/>
          <w:color w:val="auto"/>
        </w:rPr>
      </w:pPr>
    </w:p>
    <w:p>
      <w:pPr>
        <w:ind w:left="1340" w:right="159" w:firstLine="10"/>
        <w:spacing w:after="0" w:line="271" w:lineRule="auto"/>
        <w:tabs>
          <w:tab w:leader="none" w:pos="1692"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Other Stock Unit Award shall be subject to vesting conditions set forth in the applicable Agreement, which may be based on any criterion permitted by Section 8.2 (Vesting). Subject to Section 12.2, the minimum vesting period required by Section 8.2 shall also apply for Other Stock Unit Awards; provided that the minimum vesting period shall not apply for full value awards granted to Non-Employee Directors.</w:t>
      </w:r>
    </w:p>
    <w:p>
      <w:pPr>
        <w:spacing w:after="0" w:line="89" w:lineRule="exact"/>
        <w:rPr>
          <w:rFonts w:ascii="Arial" w:cs="Arial" w:eastAsia="Arial" w:hAnsi="Arial"/>
          <w:sz w:val="17"/>
          <w:szCs w:val="17"/>
          <w:color w:val="auto"/>
        </w:rPr>
      </w:pPr>
    </w:p>
    <w:p>
      <w:pPr>
        <w:ind w:left="1340" w:right="159" w:firstLine="10"/>
        <w:spacing w:after="0" w:line="253" w:lineRule="auto"/>
        <w:tabs>
          <w:tab w:leader="none" w:pos="169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Other Stock Unit Award may be contingent on the payment of cash consideration by the Participant or may provide for delivery of the Award, and any Stock or other securities issued in conjunction with the Award, without any payment of cash consideration.</w:t>
      </w:r>
    </w:p>
    <w:p>
      <w:pPr>
        <w:spacing w:after="0" w:line="1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96     </w:t>
      </w:r>
      <w:r>
        <w:rPr>
          <w:sz w:val="1"/>
          <w:szCs w:val="1"/>
          <w:color w:val="auto"/>
        </w:rPr>
        <w:drawing>
          <wp:inline distT="0" distB="0" distL="0" distR="0">
            <wp:extent cx="1242695" cy="24003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180" w:lineRule="exact"/>
        <w:rPr>
          <w:sz w:val="20"/>
          <w:szCs w:val="20"/>
          <w:color w:val="auto"/>
        </w:rPr>
      </w:pPr>
    </w:p>
    <w:p>
      <w:pPr>
        <w:jc w:val="right"/>
        <w:ind w:right="139"/>
        <w:spacing w:after="0"/>
        <w:tabs>
          <w:tab w:leader="none" w:pos="840" w:val="left"/>
        </w:tabs>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r>
        <w:rPr>
          <w:sz w:val="20"/>
          <w:szCs w:val="20"/>
          <w:color w:val="auto"/>
        </w:rPr>
        <w:tab/>
      </w:r>
      <w:r>
        <w:rPr>
          <w:rFonts w:ascii="Arial" w:cs="Arial" w:eastAsia="Arial" w:hAnsi="Arial"/>
          <w:sz w:val="21"/>
          <w:szCs w:val="21"/>
          <w:color w:val="auto"/>
          <w:vertAlign w:val="subscript"/>
        </w:rPr>
        <w:t>APPENDIX B</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340" w:right="339" w:firstLine="10"/>
        <w:spacing w:after="0" w:line="318" w:lineRule="auto"/>
        <w:tabs>
          <w:tab w:leader="none" w:pos="1688"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time and form of payment of an Other Stock Unit Award shall be set forth in the Agreement. An Other Stock Unit Award may be subject to a deferred payment schedule, if so set forth in the Agreement.</w:t>
      </w:r>
    </w:p>
    <w:p>
      <w:pPr>
        <w:spacing w:after="0" w:line="48" w:lineRule="exact"/>
        <w:rPr>
          <w:rFonts w:ascii="Arial" w:cs="Arial" w:eastAsia="Arial" w:hAnsi="Arial"/>
          <w:sz w:val="17"/>
          <w:szCs w:val="17"/>
          <w:color w:val="auto"/>
        </w:rPr>
      </w:pPr>
    </w:p>
    <w:p>
      <w:pPr>
        <w:ind w:left="1340" w:right="159" w:firstLine="10"/>
        <w:spacing w:after="0" w:line="259" w:lineRule="auto"/>
        <w:tabs>
          <w:tab w:leader="none" w:pos="169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Administrator, in its sole discretion, may waive or otherwise remove, in whole or in part, any restriction or condition imposed on an Other Stock Unit Award at the time of grant. For example, the Administrator may take such action in relation to the assumption of, or substitution of stock unit awards of a company with which Avnet or a Subsidiary participates in an acquisition, separation, or similar corporate transaction.</w:t>
      </w:r>
    </w:p>
    <w:p>
      <w:pPr>
        <w:spacing w:after="0" w:line="107" w:lineRule="exact"/>
        <w:rPr>
          <w:sz w:val="20"/>
          <w:szCs w:val="20"/>
          <w:color w:val="auto"/>
        </w:rPr>
      </w:pPr>
    </w:p>
    <w:p>
      <w:pPr>
        <w:jc w:val="center"/>
        <w:ind w:right="-800"/>
        <w:spacing w:after="0"/>
        <w:rPr>
          <w:sz w:val="20"/>
          <w:szCs w:val="20"/>
          <w:color w:val="auto"/>
        </w:rPr>
      </w:pPr>
      <w:r>
        <w:rPr>
          <w:rFonts w:ascii="Arial" w:cs="Arial" w:eastAsia="Arial" w:hAnsi="Arial"/>
          <w:sz w:val="20"/>
          <w:szCs w:val="20"/>
          <w:b w:val="1"/>
          <w:bCs w:val="1"/>
          <w:color w:val="auto"/>
        </w:rPr>
        <w:t>ARTICLE 11</w:t>
      </w:r>
    </w:p>
    <w:p>
      <w:pPr>
        <w:spacing w:after="0" w:line="20"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EXECUTIVE INCENTIVE PERFORMANCE AWARDS</w:t>
      </w:r>
    </w:p>
    <w:p>
      <w:pPr>
        <w:spacing w:after="0" w:line="133" w:lineRule="exact"/>
        <w:rPr>
          <w:sz w:val="20"/>
          <w:szCs w:val="20"/>
          <w:color w:val="auto"/>
        </w:rPr>
      </w:pPr>
    </w:p>
    <w:p>
      <w:pPr>
        <w:ind w:left="1000" w:right="139"/>
        <w:spacing w:after="0" w:line="25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EIP Awards</w:t>
      </w:r>
      <w:r>
        <w:rPr>
          <w:rFonts w:ascii="Arial" w:cs="Arial" w:eastAsia="Arial" w:hAnsi="Arial"/>
          <w:sz w:val="18"/>
          <w:szCs w:val="18"/>
          <w:color w:val="auto"/>
        </w:rPr>
        <w:t>. The Committee (and the CEO to the extent permitted by Section 4.4) may issue EIP Awards to Eligible Employees who are Executive Officers or members of senior management of Avnet or of any of its Subsidiaries. Neither this Article 11 nor any other provision of the Plan shall limit in any way the authority of the CEO and other Company officers to issue incentive pay and cash bonuses to Eligible Employees who are not Executive Officers.</w:t>
      </w:r>
    </w:p>
    <w:p>
      <w:pPr>
        <w:spacing w:after="0" w:line="112" w:lineRule="exact"/>
        <w:rPr>
          <w:sz w:val="20"/>
          <w:szCs w:val="20"/>
          <w:color w:val="auto"/>
        </w:rPr>
      </w:pPr>
    </w:p>
    <w:p>
      <w:pPr>
        <w:jc w:val="both"/>
        <w:ind w:left="1000" w:right="259"/>
        <w:spacing w:after="0" w:line="268"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color w:val="auto"/>
        </w:rPr>
        <w:t>Determination of EIP Amount</w:t>
      </w:r>
      <w:r>
        <w:rPr>
          <w:rFonts w:ascii="Arial" w:cs="Arial" w:eastAsia="Arial" w:hAnsi="Arial"/>
          <w:sz w:val="18"/>
          <w:szCs w:val="18"/>
          <w:color w:val="auto"/>
        </w:rPr>
        <w:t>. The amount of an EIP Award shall be determined by the Committee (or the CEO to the extent permitted by Section 4.4) and shall be contingent upon the achievement of Performance Objectives specified by the Committee, as set forth in the Agreement.</w:t>
      </w:r>
    </w:p>
    <w:p>
      <w:pPr>
        <w:spacing w:after="0" w:line="103" w:lineRule="exact"/>
        <w:rPr>
          <w:sz w:val="20"/>
          <w:szCs w:val="20"/>
          <w:color w:val="auto"/>
        </w:rPr>
      </w:pPr>
    </w:p>
    <w:p>
      <w:pPr>
        <w:ind w:left="1000" w:right="159"/>
        <w:spacing w:after="0" w:line="23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i w:val="1"/>
          <w:iCs w:val="1"/>
          <w:color w:val="auto"/>
        </w:rPr>
        <w:t>Payment of Awards</w:t>
      </w:r>
      <w:r>
        <w:rPr>
          <w:rFonts w:ascii="Arial" w:cs="Arial" w:eastAsia="Arial" w:hAnsi="Arial"/>
          <w:sz w:val="18"/>
          <w:szCs w:val="18"/>
          <w:color w:val="auto"/>
        </w:rPr>
        <w:t>. EIP Awards shall be paid in cash after the Performance Period has ended and the Committee has certified that the specified Performance Objectives were achieved. Except as otherwise expressly provided in an Agreement, payment shall be made no later than the end of the “applicable 2-</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xml:space="preserve"> month period” described in Treas. Reg. § 1.409A-1(b)(4)(i)(A).</w:t>
      </w:r>
    </w:p>
    <w:p>
      <w:pPr>
        <w:spacing w:after="0" w:line="115" w:lineRule="exact"/>
        <w:rPr>
          <w:sz w:val="20"/>
          <w:szCs w:val="20"/>
          <w:color w:val="auto"/>
        </w:rPr>
      </w:pPr>
    </w:p>
    <w:p>
      <w:pPr>
        <w:ind w:left="1000" w:right="159"/>
        <w:spacing w:after="0" w:line="262"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i w:val="1"/>
          <w:iCs w:val="1"/>
          <w:color w:val="auto"/>
        </w:rPr>
        <w:t>Individual Limitation</w:t>
      </w:r>
      <w:r>
        <w:rPr>
          <w:rFonts w:ascii="Arial" w:cs="Arial" w:eastAsia="Arial" w:hAnsi="Arial"/>
          <w:sz w:val="18"/>
          <w:szCs w:val="18"/>
          <w:color w:val="auto"/>
        </w:rPr>
        <w:t>. The maximum individual EIP Award permitted for a 12-month Performance Period is $5,000,000. If the Performance Period is not twelve (12) months, the $5,000,000 limitation shall be adjusted on a pro-rata basis (downward if the Performance Period is less than 12 months and upward if the Performance Period is more than 12 months) to reflect the length of the Performance Period.</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20"/>
          <w:szCs w:val="20"/>
          <w:b w:val="1"/>
          <w:bCs w:val="1"/>
          <w:color w:val="auto"/>
        </w:rPr>
        <w:t>ARTICLE 12</w:t>
      </w:r>
    </w:p>
    <w:p>
      <w:pPr>
        <w:spacing w:after="0" w:line="20"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ADDITIONAL TERMS AND PROVISIONS</w:t>
      </w:r>
    </w:p>
    <w:p>
      <w:pPr>
        <w:spacing w:after="0" w:line="133" w:lineRule="exact"/>
        <w:rPr>
          <w:sz w:val="20"/>
          <w:szCs w:val="20"/>
          <w:color w:val="auto"/>
        </w:rPr>
      </w:pPr>
    </w:p>
    <w:p>
      <w:pPr>
        <w:ind w:left="1000" w:right="259"/>
        <w:spacing w:after="0" w:line="278"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i w:val="1"/>
          <w:iCs w:val="1"/>
          <w:color w:val="auto"/>
        </w:rPr>
        <w:t>Agreements</w:t>
      </w:r>
      <w:r>
        <w:rPr>
          <w:rFonts w:ascii="Arial" w:cs="Arial" w:eastAsia="Arial" w:hAnsi="Arial"/>
          <w:sz w:val="17"/>
          <w:szCs w:val="17"/>
          <w:color w:val="auto"/>
        </w:rPr>
        <w:t>. Promptly after the grant or modification of any Award, the Administrator shall cause such Participant to be notified of such action and shall cause Avnet to deliver to such Participant an Agreement (which Agreement shall be signed on behalf of Avnet by an officer of Avnet with appropriate authorization) evidencing the Award so granted or modified and the terms and conditions thereof and including, if applicable, an addendum evidencing the original Award prior to such modification and the terms and conditions thereof.</w:t>
      </w:r>
    </w:p>
    <w:p>
      <w:pPr>
        <w:spacing w:after="0" w:line="96" w:lineRule="exact"/>
        <w:rPr>
          <w:sz w:val="20"/>
          <w:szCs w:val="20"/>
          <w:color w:val="auto"/>
        </w:rPr>
      </w:pPr>
    </w:p>
    <w:p>
      <w:pPr>
        <w:ind w:left="1000" w:right="179"/>
        <w:spacing w:after="0" w:line="269"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i w:val="1"/>
          <w:iCs w:val="1"/>
          <w:color w:val="auto"/>
        </w:rPr>
        <w:t>Acceleration of Vesting and Cancellation of Options and SARs</w:t>
      </w:r>
      <w:r>
        <w:rPr>
          <w:rFonts w:ascii="Arial" w:cs="Arial" w:eastAsia="Arial" w:hAnsi="Arial"/>
          <w:sz w:val="17"/>
          <w:szCs w:val="17"/>
          <w:color w:val="auto"/>
        </w:rPr>
        <w:t>. The Administrator, in its sole discretion, may accelerate the vesting of any Award (including the lapsing of the Period of Restriction for Restricted Stock), or remove conditions for vesting (or lapsing of the Period of Restriction) upon a Change in Control or the Participant’s death, retirement, layoff, separation from service in connection with a Change in Control, or other separation from service where the Administrator determines that such treatment is appropriate and in the Company’s best interests, as well as upon assumption of, or in substitution for equity awards of a company with which Avnet or a Subsidiary participates in an acquisition, separation, merger, or similar corporate transaction. In addition, the Administrator may grant awards of Options, SARs, Restricted Stock, Restricted Stock Units, Performance Share Units and Other Stock Unit Awards that do not satisfy the minimum vesting periods and Periods of Restriction prescribed by Sections 5.4, 6.4, 7.3, 8.2, 9.2, and 10.3(a), provided that the total number of shares of Stock underlying Awards that do not satisfy such minimum vesting periods and Periods of Restriction shall not exceed five percent (5%) of the total number of shares available for grant under the Plan. In connection with a Change in Control, any Options or SARs may be canceled in exchange for the right (to the extent vested) to receive, at a time determined by the Administrator, a cash payment equal to the excess, if any, of the fair market value of the Stock subject to the Option or SAR over the exercise price. For</w:t>
      </w:r>
    </w:p>
    <w:p>
      <w:pPr>
        <w:sectPr>
          <w:pgSz w:w="11900" w:h="16838" w:orient="portrait"/>
          <w:cols w:equalWidth="0" w:num="1">
            <w:col w:w="9879"/>
          </w:cols>
          <w:pgMar w:left="580" w:top="97" w:right="1440" w:bottom="1440" w:gutter="0" w:footer="0" w:header="0"/>
        </w:sectPr>
      </w:pPr>
    </w:p>
    <w:p>
      <w:pPr>
        <w:spacing w:after="0" w:line="122"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180" w:lineRule="exact"/>
        <w:rPr>
          <w:sz w:val="20"/>
          <w:szCs w:val="20"/>
          <w:color w:val="auto"/>
        </w:rPr>
      </w:pPr>
    </w:p>
    <w:p>
      <w:pPr>
        <w:jc w:val="right"/>
        <w:ind w:right="139"/>
        <w:spacing w:after="0"/>
        <w:tabs>
          <w:tab w:leader="none" w:pos="840" w:val="left"/>
        </w:tabs>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r>
        <w:rPr>
          <w:sz w:val="20"/>
          <w:szCs w:val="20"/>
          <w:color w:val="auto"/>
        </w:rPr>
        <w:tab/>
      </w:r>
      <w:r>
        <w:rPr>
          <w:rFonts w:ascii="Arial" w:cs="Arial" w:eastAsia="Arial" w:hAnsi="Arial"/>
          <w:sz w:val="21"/>
          <w:szCs w:val="21"/>
          <w:color w:val="auto"/>
          <w:vertAlign w:val="subscript"/>
        </w:rPr>
        <w:t>APPENDIX B</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jc w:val="both"/>
        <w:ind w:left="1000" w:right="239"/>
        <w:spacing w:after="0" w:line="268" w:lineRule="auto"/>
        <w:rPr>
          <w:sz w:val="20"/>
          <w:szCs w:val="20"/>
          <w:color w:val="auto"/>
        </w:rPr>
      </w:pPr>
      <w:r>
        <w:rPr>
          <w:rFonts w:ascii="Arial" w:cs="Arial" w:eastAsia="Arial" w:hAnsi="Arial"/>
          <w:sz w:val="18"/>
          <w:szCs w:val="18"/>
          <w:color w:val="auto"/>
        </w:rPr>
        <w:t>the avoidance of doubt, no payment shall be required with respect to any Option or SAR for which the exercise price exceeds the fair market value of the Stock at the time of the cancellation (</w:t>
      </w:r>
      <w:r>
        <w:rPr>
          <w:rFonts w:ascii="Arial" w:cs="Arial" w:eastAsia="Arial" w:hAnsi="Arial"/>
          <w:sz w:val="18"/>
          <w:szCs w:val="18"/>
          <w:i w:val="1"/>
          <w:iCs w:val="1"/>
          <w:color w:val="auto"/>
        </w:rPr>
        <w:t>i.e.</w:t>
      </w:r>
      <w:r>
        <w:rPr>
          <w:rFonts w:ascii="Arial" w:cs="Arial" w:eastAsia="Arial" w:hAnsi="Arial"/>
          <w:sz w:val="18"/>
          <w:szCs w:val="18"/>
          <w:color w:val="auto"/>
        </w:rPr>
        <w:t>, an “under water” option or SAR).</w:t>
      </w:r>
    </w:p>
    <w:p>
      <w:pPr>
        <w:spacing w:after="0" w:line="90" w:lineRule="exact"/>
        <w:rPr>
          <w:sz w:val="20"/>
          <w:szCs w:val="20"/>
          <w:color w:val="auto"/>
        </w:rPr>
      </w:pPr>
    </w:p>
    <w:p>
      <w:pPr>
        <w:ind w:left="1000" w:right="239"/>
        <w:spacing w:after="0" w:line="268"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i w:val="1"/>
          <w:iCs w:val="1"/>
          <w:color w:val="auto"/>
        </w:rPr>
        <w:t>Tax Withholding</w:t>
      </w:r>
      <w:r>
        <w:rPr>
          <w:rFonts w:ascii="Arial" w:cs="Arial" w:eastAsia="Arial" w:hAnsi="Arial"/>
          <w:sz w:val="17"/>
          <w:szCs w:val="17"/>
          <w:color w:val="auto"/>
        </w:rPr>
        <w:t>. The Company shall have the right to deduct from all amounts paid to a Participant or beneficiary any taxes that it determines are required by law to be withheld in respect of Awards under the Plan. In the case of an Award settled in shares of Stock, no shares of Stock shall be issued, and no election under Section 83(b) of the Code shall be accepted, unless and until arrangements satisfactory to the Company have been made to satisfy any applicable withholding tax obligations. Without limiting the generality of the foregoing and subject to such terms and conditions as the Committee may impose, the Company shall have the right to</w:t>
      </w:r>
    </w:p>
    <w:p>
      <w:pPr>
        <w:spacing w:after="0" w:line="4" w:lineRule="exact"/>
        <w:rPr>
          <w:sz w:val="20"/>
          <w:szCs w:val="20"/>
          <w:color w:val="auto"/>
        </w:rPr>
      </w:pPr>
    </w:p>
    <w:p>
      <w:pPr>
        <w:ind w:left="1000" w:right="179" w:hanging="10"/>
        <w:spacing w:after="0" w:line="267" w:lineRule="auto"/>
        <w:tabs>
          <w:tab w:leader="none" w:pos="1264"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retain shares of Stock or (b) subject to such terms and conditions as the Committee may establish from time to time, allow Participants or beneficiaries to (i) tender shares of Stock (including shares of Stock issuable in respect of an Award) to satisfy, in whole or in part, the amount required to be withheld, or (ii) pay the required tax withholding amount to Avnet in cash; and the fair market value of shares of Stock withheld may exceed the minimum statutory withholding requirements. For purposes of determining the number of shares of Stock required to satisfy a tax withholding obligation, the Fair Market Value shall be calculated as of the date that the amount to be withheld is determined. Unless a Participant or beneficiary, as applicable, requests to pay Avnet cash for any fractional share that would otherwise be required to be withheld to satisfy a tax withholding obligation, the number of shares of Stock withheld by Avnet shall be rounded up to the nearest whole number. Regardless of the amount withheld, each Participant and beneficiary shall be responsible at all times for paying all federal, state, and local income and employment taxes allocable to such Participant or beneficiary with respect to any Award (including taxes due with respect to imputed income), and the Company shall not be responsible for any interest or penalty that a Participant incurs by failing to make timely payments of tax.</w:t>
      </w:r>
    </w:p>
    <w:p>
      <w:pPr>
        <w:spacing w:after="0" w:line="111" w:lineRule="exact"/>
        <w:rPr>
          <w:sz w:val="20"/>
          <w:szCs w:val="20"/>
          <w:color w:val="auto"/>
        </w:rPr>
      </w:pPr>
    </w:p>
    <w:p>
      <w:pPr>
        <w:ind w:left="1000" w:right="319"/>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No Right to Employment; No Right to Award</w:t>
      </w:r>
      <w:r>
        <w:rPr>
          <w:rFonts w:ascii="Arial" w:cs="Arial" w:eastAsia="Arial" w:hAnsi="Arial"/>
          <w:sz w:val="18"/>
          <w:szCs w:val="18"/>
          <w:color w:val="auto"/>
        </w:rPr>
        <w:t>. The Plan shall not confer upon any Participant or other individual any right with respect to continued employment with the Company, or continued membership on the Board of Directors, nor shall it interfere in any way with the individual’s right, or the Company’s right, to terminate employment or Board membership at any time. No provision of the Plan shall be construed to give any Eligible Employee or Non-Employee Director a right to receive an Award.</w:t>
      </w:r>
    </w:p>
    <w:p>
      <w:pPr>
        <w:spacing w:after="0" w:line="112" w:lineRule="exact"/>
        <w:rPr>
          <w:sz w:val="20"/>
          <w:szCs w:val="20"/>
          <w:color w:val="auto"/>
        </w:rPr>
      </w:pPr>
    </w:p>
    <w:p>
      <w:pPr>
        <w:ind w:left="1000" w:right="159"/>
        <w:spacing w:after="0" w:line="259"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i w:val="1"/>
          <w:iCs w:val="1"/>
          <w:color w:val="auto"/>
        </w:rPr>
        <w:t>Shareholder Rights</w:t>
      </w:r>
      <w:r>
        <w:rPr>
          <w:rFonts w:ascii="Arial" w:cs="Arial" w:eastAsia="Arial" w:hAnsi="Arial"/>
          <w:sz w:val="18"/>
          <w:szCs w:val="18"/>
          <w:color w:val="auto"/>
        </w:rPr>
        <w:t>. Except as provided in Article 7 with respect to Restricted Stock, no Participant shall acquire or have any rights as a shareholder of Avnet by virtue of any Award until the shares of Stock issued pursuant to the Award or the exercise thereof are recorded in the books and records of Avnet in accordance with the terms of the Plan. After such recordation in the books and records of Avnet, the recipient of shares of Stock shall have the full rights of a holder of such Stock.</w:t>
      </w:r>
    </w:p>
    <w:p>
      <w:pPr>
        <w:spacing w:after="0" w:line="98" w:lineRule="exact"/>
        <w:rPr>
          <w:sz w:val="20"/>
          <w:szCs w:val="20"/>
          <w:color w:val="auto"/>
        </w:rPr>
      </w:pPr>
    </w:p>
    <w:p>
      <w:pPr>
        <w:ind w:left="1000" w:right="239"/>
        <w:spacing w:after="0" w:line="268"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i w:val="1"/>
          <w:iCs w:val="1"/>
          <w:color w:val="auto"/>
        </w:rPr>
        <w:t>Registration of Shares</w:t>
      </w:r>
      <w:r>
        <w:rPr>
          <w:rFonts w:ascii="Arial" w:cs="Arial" w:eastAsia="Arial" w:hAnsi="Arial"/>
          <w:sz w:val="18"/>
          <w:szCs w:val="18"/>
          <w:color w:val="auto"/>
        </w:rPr>
        <w:t>. It is Avnet’s present intention to register the shares of Stock issued pursuant to the Plan under the Securities Act as necessary. Avnet shall not be obligated to sell or deliver any shares of Stock pursuant to the granting, vesting, or exercise of any Award unless and until —</w:t>
      </w:r>
    </w:p>
    <w:p>
      <w:pPr>
        <w:spacing w:after="0" w:line="103" w:lineRule="exact"/>
        <w:rPr>
          <w:sz w:val="20"/>
          <w:szCs w:val="20"/>
          <w:color w:val="auto"/>
        </w:rPr>
      </w:pPr>
    </w:p>
    <w:p>
      <w:pPr>
        <w:ind w:left="1340" w:right="339" w:firstLine="10"/>
        <w:spacing w:after="0" w:line="276" w:lineRule="auto"/>
        <w:tabs>
          <w:tab w:leader="none" w:pos="1702" w:val="left"/>
        </w:tabs>
        <w:numPr>
          <w:ilvl w:val="0"/>
          <w:numId w:val="89"/>
        </w:numPr>
        <w:rPr>
          <w:rFonts w:ascii="Arial" w:cs="Arial" w:eastAsia="Arial" w:hAnsi="Arial"/>
          <w:sz w:val="17"/>
          <w:szCs w:val="17"/>
          <w:color w:val="auto"/>
        </w:rPr>
      </w:pPr>
      <w:r>
        <w:rPr>
          <w:rFonts w:ascii="Arial" w:cs="Arial" w:eastAsia="Arial" w:hAnsi="Arial"/>
          <w:sz w:val="17"/>
          <w:szCs w:val="17"/>
          <w:color w:val="auto"/>
        </w:rPr>
        <w:t>either (i) Avnet has received from its counsel an opinion concluding that such shares need not be registered under the Securities Act, or (ii) (A) such shares have been registered under the Securities Act,</w:t>
      </w:r>
    </w:p>
    <w:p>
      <w:pPr>
        <w:ind w:left="1340" w:right="359"/>
        <w:spacing w:after="0" w:line="255" w:lineRule="auto"/>
        <w:rPr>
          <w:rFonts w:ascii="Arial" w:cs="Arial" w:eastAsia="Arial" w:hAnsi="Arial"/>
          <w:sz w:val="17"/>
          <w:szCs w:val="17"/>
          <w:color w:val="auto"/>
        </w:rPr>
      </w:pPr>
      <w:r>
        <w:rPr>
          <w:rFonts w:ascii="Arial" w:cs="Arial" w:eastAsia="Arial" w:hAnsi="Arial"/>
          <w:sz w:val="18"/>
          <w:szCs w:val="18"/>
          <w:color w:val="auto"/>
        </w:rPr>
        <w:t>(B) no stop order suspending the effectiveness of such registration statement has been issued and no proceedings therefor have been instituted or threatened under the Securities Act, and (C) with respect to such shares, there is available at the time of such grant, vesting event, or exercise (as applicable) a prospectus meeting the requirements of the Securities Act and the rules promulgated thereunder;</w:t>
      </w:r>
    </w:p>
    <w:p>
      <w:pPr>
        <w:spacing w:after="0" w:line="114" w:lineRule="exact"/>
        <w:rPr>
          <w:rFonts w:ascii="Arial" w:cs="Arial" w:eastAsia="Arial" w:hAnsi="Arial"/>
          <w:sz w:val="17"/>
          <w:szCs w:val="17"/>
          <w:color w:val="auto"/>
        </w:rPr>
      </w:pPr>
    </w:p>
    <w:p>
      <w:pPr>
        <w:ind w:left="1340" w:right="179" w:firstLine="10"/>
        <w:spacing w:after="0" w:line="287" w:lineRule="auto"/>
        <w:tabs>
          <w:tab w:leader="none" w:pos="1702"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such shares are (or upon official notice of issuance will be) listed on each national securities exchange on which the class of Stock is then listed;</w:t>
      </w:r>
    </w:p>
    <w:p>
      <w:pPr>
        <w:spacing w:after="0" w:line="71" w:lineRule="exact"/>
        <w:rPr>
          <w:rFonts w:ascii="Arial" w:cs="Arial" w:eastAsia="Arial" w:hAnsi="Arial"/>
          <w:sz w:val="18"/>
          <w:szCs w:val="18"/>
          <w:color w:val="auto"/>
        </w:rPr>
      </w:pPr>
    </w:p>
    <w:p>
      <w:pPr>
        <w:ind w:left="1700" w:hanging="350"/>
        <w:spacing w:after="0"/>
        <w:tabs>
          <w:tab w:leader="none" w:pos="1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necessary, the prior approval of such delivery has been obtained from any State regulatory body</w:t>
      </w:r>
    </w:p>
    <w:p>
      <w:pPr>
        <w:spacing w:after="0" w:line="27" w:lineRule="exact"/>
        <w:rPr>
          <w:rFonts w:ascii="Arial" w:cs="Arial" w:eastAsia="Arial" w:hAnsi="Arial"/>
          <w:sz w:val="18"/>
          <w:szCs w:val="18"/>
          <w:color w:val="auto"/>
        </w:rPr>
      </w:pPr>
    </w:p>
    <w:p>
      <w:pPr>
        <w:jc w:val="both"/>
        <w:ind w:left="1340" w:right="159"/>
        <w:spacing w:after="0" w:line="258" w:lineRule="auto"/>
        <w:rPr>
          <w:rFonts w:ascii="Arial" w:cs="Arial" w:eastAsia="Arial" w:hAnsi="Arial"/>
          <w:sz w:val="18"/>
          <w:szCs w:val="18"/>
          <w:color w:val="auto"/>
        </w:rPr>
      </w:pPr>
      <w:r>
        <w:rPr>
          <w:rFonts w:ascii="Arial" w:cs="Arial" w:eastAsia="Arial" w:hAnsi="Arial"/>
          <w:sz w:val="18"/>
          <w:szCs w:val="18"/>
          <w:color w:val="auto"/>
        </w:rPr>
        <w:t>having jurisdiction (but nothing herein contained shall be deemed to require Avnet to register or qualify as a foreign corporation in any State nor, except as to any matter or transaction relating to the sale or delivery of such shares, to consent to service of process in any State); and</w:t>
      </w:r>
    </w:p>
    <w:p>
      <w:pPr>
        <w:spacing w:after="0" w:line="1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98     </w:t>
      </w:r>
      <w:r>
        <w:rPr>
          <w:sz w:val="1"/>
          <w:szCs w:val="1"/>
          <w:color w:val="auto"/>
        </w:rPr>
        <w:drawing>
          <wp:inline distT="0" distB="0" distL="0" distR="0">
            <wp:extent cx="1242695" cy="24003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180" w:lineRule="exact"/>
        <w:rPr>
          <w:sz w:val="20"/>
          <w:szCs w:val="20"/>
          <w:color w:val="auto"/>
        </w:rPr>
      </w:pPr>
    </w:p>
    <w:p>
      <w:pPr>
        <w:jc w:val="right"/>
        <w:ind w:right="139"/>
        <w:spacing w:after="0"/>
        <w:tabs>
          <w:tab w:leader="none" w:pos="840" w:val="left"/>
        </w:tabs>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r>
        <w:rPr>
          <w:sz w:val="20"/>
          <w:szCs w:val="20"/>
          <w:color w:val="auto"/>
        </w:rPr>
        <w:tab/>
      </w:r>
      <w:r>
        <w:rPr>
          <w:rFonts w:ascii="Arial" w:cs="Arial" w:eastAsia="Arial" w:hAnsi="Arial"/>
          <w:sz w:val="21"/>
          <w:szCs w:val="21"/>
          <w:color w:val="auto"/>
          <w:vertAlign w:val="subscript"/>
        </w:rPr>
        <w:t>APPENDIX B</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340" w:right="1019" w:firstLine="10"/>
        <w:spacing w:after="0" w:line="271" w:lineRule="auto"/>
        <w:tabs>
          <w:tab w:leader="none" w:pos="1702"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Committee so requires, Avnet has received an opinion from its counsel with respect to compliance with the matters set forth in subsections (a), (b), and/or (c) of this Section 12.6.</w:t>
      </w:r>
    </w:p>
    <w:p>
      <w:pPr>
        <w:spacing w:after="0" w:line="86" w:lineRule="exact"/>
        <w:rPr>
          <w:sz w:val="20"/>
          <w:szCs w:val="20"/>
          <w:color w:val="auto"/>
        </w:rPr>
      </w:pPr>
    </w:p>
    <w:p>
      <w:pPr>
        <w:ind w:left="1000" w:right="139"/>
        <w:spacing w:after="0" w:line="261" w:lineRule="auto"/>
        <w:rPr>
          <w:sz w:val="20"/>
          <w:szCs w:val="20"/>
          <w:color w:val="auto"/>
        </w:rPr>
      </w:pPr>
      <w:r>
        <w:rPr>
          <w:rFonts w:ascii="Arial" w:cs="Arial" w:eastAsia="Arial" w:hAnsi="Arial"/>
          <w:sz w:val="18"/>
          <w:szCs w:val="18"/>
          <w:color w:val="auto"/>
        </w:rPr>
        <w:t>In addition, the making of any Award or determination, the delivery or recording of a stock transfer, and payment of any amount due to a Participant may be postponed for such period as Avnet may require, in the exercise of reasonable diligence, to comply with the requirements of any applicable law.</w:t>
      </w:r>
    </w:p>
    <w:p>
      <w:pPr>
        <w:spacing w:after="0" w:line="94" w:lineRule="exact"/>
        <w:rPr>
          <w:sz w:val="20"/>
          <w:szCs w:val="20"/>
          <w:color w:val="auto"/>
        </w:rPr>
      </w:pPr>
    </w:p>
    <w:p>
      <w:pPr>
        <w:ind w:left="1000" w:right="199"/>
        <w:spacing w:after="0" w:line="253"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i w:val="1"/>
          <w:iCs w:val="1"/>
          <w:color w:val="auto"/>
        </w:rPr>
        <w:t>Document Requirements</w:t>
      </w:r>
      <w:r>
        <w:rPr>
          <w:rFonts w:ascii="Arial" w:cs="Arial" w:eastAsia="Arial" w:hAnsi="Arial"/>
          <w:sz w:val="18"/>
          <w:szCs w:val="18"/>
          <w:color w:val="auto"/>
        </w:rPr>
        <w:t>. The Committee may require, as a condition of any payment or share issuance, that certain agreements, undertakings, representations, certificates, or information, as the Committee may deem necessary or advisable, be executed or provided to the Company.</w:t>
      </w:r>
    </w:p>
    <w:p>
      <w:pPr>
        <w:spacing w:after="0" w:line="101" w:lineRule="exact"/>
        <w:rPr>
          <w:sz w:val="20"/>
          <w:szCs w:val="20"/>
          <w:color w:val="auto"/>
        </w:rPr>
      </w:pPr>
    </w:p>
    <w:p>
      <w:pPr>
        <w:ind w:left="1000" w:right="139"/>
        <w:spacing w:after="0" w:line="246"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i w:val="1"/>
          <w:iCs w:val="1"/>
          <w:color w:val="auto"/>
        </w:rPr>
        <w:t>Deferrals</w:t>
      </w:r>
      <w:r>
        <w:rPr>
          <w:rFonts w:ascii="Arial" w:cs="Arial" w:eastAsia="Arial" w:hAnsi="Arial"/>
          <w:sz w:val="18"/>
          <w:szCs w:val="18"/>
          <w:color w:val="auto"/>
        </w:rPr>
        <w:t>. The Administrator may allow a Participant to elect to defer receipt of any payment of cash or any delivery of shares of Stock that would otherwise be due to such Participant by virtue of the exercise, earn-out, or settlement of any Award made under the Plan, other than Options or Stock Appreciation Rights. If such election is permitted, the Committee shall establish rules and procedures for such deferrals, including provisions that the Committee or the Participant determines are necessary or advisable to comply with, or avoid being subject to, the requirements of Section 409A of the Code, and provisions for the payment or crediting of dividend equivalents in respect of deferrals credited in units of Stock.</w:t>
      </w:r>
    </w:p>
    <w:p>
      <w:pPr>
        <w:spacing w:after="0" w:line="108" w:lineRule="exact"/>
        <w:rPr>
          <w:sz w:val="20"/>
          <w:szCs w:val="20"/>
          <w:color w:val="auto"/>
        </w:rPr>
      </w:pPr>
    </w:p>
    <w:p>
      <w:pPr>
        <w:jc w:val="both"/>
        <w:ind w:left="1000" w:right="1079"/>
        <w:spacing w:after="0" w:line="261"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i w:val="1"/>
          <w:iCs w:val="1"/>
          <w:color w:val="auto"/>
        </w:rPr>
        <w:t>Recoupment/Clawback</w:t>
      </w:r>
      <w:r>
        <w:rPr>
          <w:rFonts w:ascii="Arial" w:cs="Arial" w:eastAsia="Arial" w:hAnsi="Arial"/>
          <w:sz w:val="18"/>
          <w:szCs w:val="18"/>
          <w:color w:val="auto"/>
        </w:rPr>
        <w:t>. Each Award shall be subject to the terms and conditions of Avnet’s compensation recoupment or clawback policy, as in effect and amended from time to time, including disgorgement or repayment to the extent required by such policy.</w:t>
      </w:r>
    </w:p>
    <w:p>
      <w:pPr>
        <w:spacing w:after="0" w:line="94" w:lineRule="exact"/>
        <w:rPr>
          <w:sz w:val="20"/>
          <w:szCs w:val="20"/>
          <w:color w:val="auto"/>
        </w:rPr>
      </w:pPr>
    </w:p>
    <w:p>
      <w:pPr>
        <w:jc w:val="both"/>
        <w:ind w:left="1000" w:right="179"/>
        <w:spacing w:after="0" w:line="271"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i w:val="1"/>
          <w:iCs w:val="1"/>
          <w:color w:val="auto"/>
        </w:rPr>
        <w:t>Nontransferability</w:t>
      </w:r>
      <w:r>
        <w:rPr>
          <w:rFonts w:ascii="Arial" w:cs="Arial" w:eastAsia="Arial" w:hAnsi="Arial"/>
          <w:sz w:val="17"/>
          <w:szCs w:val="17"/>
          <w:color w:val="auto"/>
        </w:rPr>
        <w:t>. Except as otherwise provided in Section 7.7 (Foreign Laws), this Section 12.10, or the applicable Agreement, no Award granted under the Plan, and no interests therein, may be sold, transferred, pledged, assigned, exchanged, encumbered or otherwise alienated or hypothecated; and each Award shall be exercisable during the Participant’s lifetime only by the Participant or his legal guardian or representative.</w:t>
      </w:r>
    </w:p>
    <w:p>
      <w:pPr>
        <w:spacing w:after="0" w:line="89" w:lineRule="exact"/>
        <w:rPr>
          <w:sz w:val="20"/>
          <w:szCs w:val="20"/>
          <w:color w:val="auto"/>
        </w:rPr>
      </w:pPr>
    </w:p>
    <w:p>
      <w:pPr>
        <w:ind w:left="1700" w:hanging="350"/>
        <w:spacing w:after="0"/>
        <w:tabs>
          <w:tab w:leader="none" w:pos="1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Award may be transferred by testamentary disposition or the laws of descent and distribution.</w:t>
      </w:r>
    </w:p>
    <w:p>
      <w:pPr>
        <w:spacing w:after="0" w:line="144" w:lineRule="exact"/>
        <w:rPr>
          <w:rFonts w:ascii="Arial" w:cs="Arial" w:eastAsia="Arial" w:hAnsi="Arial"/>
          <w:sz w:val="18"/>
          <w:szCs w:val="18"/>
          <w:color w:val="auto"/>
        </w:rPr>
      </w:pPr>
    </w:p>
    <w:p>
      <w:pPr>
        <w:ind w:left="1340" w:right="139" w:firstLine="10"/>
        <w:spacing w:after="0" w:line="257" w:lineRule="auto"/>
        <w:tabs>
          <w:tab w:leader="none" w:pos="1699"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Committee shall have sole discretion to approve, and to establish terms and conditions for, a transfer of an Option to (i) the child, step-child, grandchild, parent, stepparent, grandparent, spouse, former spouse, sibling, niece, nephew, mother-in-law, father-in-law, son-in-law, daughter-in-law, brother-in-law, sister-in-law, including adoptive relationships, and any person sharing the Participant’s household (other than a tenant or employee) of the Participant (an “Immediate Family Member”); (ii) a trust in which Immediate Family Members have more than 50% of the beneficial interest; (iii) a foundation in which Immediate Family Members or the Participant control the management of the assets; or (iv) any other entity in which Immediate Family Members or the Participant own more than 50% of the voting interests (each</w:t>
      </w:r>
    </w:p>
    <w:p>
      <w:pPr>
        <w:spacing w:after="0" w:line="3" w:lineRule="exact"/>
        <w:rPr>
          <w:rFonts w:ascii="Arial" w:cs="Arial" w:eastAsia="Arial" w:hAnsi="Arial"/>
          <w:sz w:val="17"/>
          <w:szCs w:val="17"/>
          <w:color w:val="auto"/>
        </w:rPr>
      </w:pPr>
    </w:p>
    <w:p>
      <w:pPr>
        <w:ind w:left="1340" w:right="179"/>
        <w:spacing w:after="0" w:line="241" w:lineRule="auto"/>
        <w:rPr>
          <w:rFonts w:ascii="Arial" w:cs="Arial" w:eastAsia="Arial" w:hAnsi="Arial"/>
          <w:sz w:val="17"/>
          <w:szCs w:val="17"/>
          <w:color w:val="auto"/>
        </w:rPr>
      </w:pPr>
      <w:r>
        <w:rPr>
          <w:rFonts w:ascii="Arial" w:cs="Arial" w:eastAsia="Arial" w:hAnsi="Arial"/>
          <w:sz w:val="18"/>
          <w:szCs w:val="18"/>
          <w:color w:val="auto"/>
        </w:rPr>
        <w:t>(i)  – (iv), a “Permitted Transferee”); provided, however, that, without the prior approval of the Committee, no Permitted Transferee shall further transfer an Award, either directly or indirectly, other than by testamentary disposition or the laws of descent and distribution. For example, without prior approval of the Committee, a Permitted Transferee may not transfer an Award by reason of the dissolution of, or a change in the beneficiaries of, a Permitted Transferee that is a trust; the sale, merger, consolidation, dissolution, or liquidation of a Permitted Transferee that is a partnership (or the sale of all or any portion of the partnership interests therein); or the sale, merger, consolidation, dissolution or liquidation of a Permitted Transferee that is a corporation (or the sale of all or any portion of the stock thereof).</w:t>
      </w:r>
    </w:p>
    <w:p>
      <w:pPr>
        <w:spacing w:after="0" w:line="114" w:lineRule="exact"/>
        <w:rPr>
          <w:rFonts w:ascii="Arial" w:cs="Arial" w:eastAsia="Arial" w:hAnsi="Arial"/>
          <w:sz w:val="17"/>
          <w:szCs w:val="17"/>
          <w:color w:val="auto"/>
        </w:rPr>
      </w:pPr>
    </w:p>
    <w:p>
      <w:pPr>
        <w:ind w:left="1340" w:right="259" w:firstLine="10"/>
        <w:spacing w:after="0" w:line="261" w:lineRule="auto"/>
        <w:tabs>
          <w:tab w:leader="none" w:pos="168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Committee shall have discretion to authorize a transfer pursuant to a domestic relations order; provided, however, that the Committee shall not be required under any circumstance to accept or approve a transfer pursuant to a domestic relations order.</w:t>
      </w:r>
    </w:p>
    <w:p>
      <w:pPr>
        <w:spacing w:after="0" w:line="94" w:lineRule="exact"/>
        <w:rPr>
          <w:rFonts w:ascii="Arial" w:cs="Arial" w:eastAsia="Arial" w:hAnsi="Arial"/>
          <w:sz w:val="18"/>
          <w:szCs w:val="18"/>
          <w:color w:val="auto"/>
        </w:rPr>
      </w:pPr>
    </w:p>
    <w:p>
      <w:pPr>
        <w:ind w:left="1340" w:right="239" w:firstLine="10"/>
        <w:spacing w:after="0" w:line="271" w:lineRule="auto"/>
        <w:tabs>
          <w:tab w:leader="none" w:pos="1692"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Award may be forfeited or transferred to the extent required to satisfy a tax levy or judgment under the Mandatory Victims Restitution Act or similar federal or state law.</w:t>
      </w:r>
    </w:p>
    <w:p>
      <w:pPr>
        <w:spacing w:after="0" w:line="86" w:lineRule="exact"/>
        <w:rPr>
          <w:sz w:val="20"/>
          <w:szCs w:val="20"/>
          <w:color w:val="auto"/>
        </w:rPr>
      </w:pPr>
    </w:p>
    <w:p>
      <w:pPr>
        <w:jc w:val="both"/>
        <w:ind w:left="1000" w:right="179"/>
        <w:spacing w:after="0" w:line="261"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i w:val="1"/>
          <w:iCs w:val="1"/>
          <w:color w:val="auto"/>
        </w:rPr>
        <w:t>Applicable Law and Severability</w:t>
      </w:r>
      <w:r>
        <w:rPr>
          <w:rFonts w:ascii="Arial" w:cs="Arial" w:eastAsia="Arial" w:hAnsi="Arial"/>
          <w:sz w:val="18"/>
          <w:szCs w:val="18"/>
          <w:color w:val="auto"/>
        </w:rPr>
        <w:t>. The Plan, and its rules, rights, agreements and regulations, shall be governed and construed in accordance with the laws of the State of New York, without regard to any conflicts or choice of law rule or principle that might result in the application of the substantive law of another</w:t>
      </w:r>
    </w:p>
    <w:p>
      <w:pPr>
        <w:spacing w:after="0" w:line="102"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180" w:lineRule="exact"/>
        <w:rPr>
          <w:sz w:val="20"/>
          <w:szCs w:val="20"/>
          <w:color w:val="auto"/>
        </w:rPr>
      </w:pPr>
    </w:p>
    <w:p>
      <w:pPr>
        <w:jc w:val="right"/>
        <w:ind w:right="139"/>
        <w:spacing w:after="0"/>
        <w:tabs>
          <w:tab w:leader="none" w:pos="840" w:val="left"/>
        </w:tabs>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r>
        <w:rPr>
          <w:sz w:val="20"/>
          <w:szCs w:val="20"/>
          <w:color w:val="auto"/>
        </w:rPr>
        <w:tab/>
      </w:r>
      <w:r>
        <w:rPr>
          <w:rFonts w:ascii="Arial" w:cs="Arial" w:eastAsia="Arial" w:hAnsi="Arial"/>
          <w:sz w:val="21"/>
          <w:szCs w:val="21"/>
          <w:color w:val="auto"/>
          <w:vertAlign w:val="subscript"/>
        </w:rPr>
        <w:t>APPENDIX B</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jc w:val="both"/>
        <w:ind w:left="1000" w:right="539"/>
        <w:spacing w:after="0" w:line="262" w:lineRule="auto"/>
        <w:rPr>
          <w:sz w:val="20"/>
          <w:szCs w:val="20"/>
          <w:color w:val="auto"/>
        </w:rPr>
      </w:pPr>
      <w:r>
        <w:rPr>
          <w:rFonts w:ascii="Arial" w:cs="Arial" w:eastAsia="Arial" w:hAnsi="Arial"/>
          <w:sz w:val="18"/>
          <w:szCs w:val="18"/>
          <w:color w:val="auto"/>
        </w:rPr>
        <w:t>jurisdiction. If any provision of the Plan is held invalid, illegal, or unenforceable, in whole or in part, for any reason, such determination shall not affect the validity, legality or enforceability of any remaining provision, portion of provision or the Plan overall, which shall remain in full force and effect as if such invalid, illegal or unenforceable provision (or portion thereof) had never been included in the Plan.</w:t>
      </w:r>
    </w:p>
    <w:p>
      <w:pPr>
        <w:spacing w:after="0" w:line="95" w:lineRule="exact"/>
        <w:rPr>
          <w:sz w:val="20"/>
          <w:szCs w:val="20"/>
          <w:color w:val="auto"/>
        </w:rPr>
      </w:pPr>
    </w:p>
    <w:p>
      <w:pPr>
        <w:ind w:left="1000" w:right="239"/>
        <w:spacing w:after="0" w:line="257"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i w:val="1"/>
          <w:iCs w:val="1"/>
          <w:color w:val="auto"/>
        </w:rPr>
        <w:t>Special Incentive Compensation</w:t>
      </w:r>
      <w:r>
        <w:rPr>
          <w:rFonts w:ascii="Arial" w:cs="Arial" w:eastAsia="Arial" w:hAnsi="Arial"/>
          <w:sz w:val="18"/>
          <w:szCs w:val="18"/>
          <w:color w:val="auto"/>
        </w:rPr>
        <w:t>. No shares of Stock or other remuneration provided pursuant to an Award, other than an EIP Award, shall be included in compensation for purposes of determining the amount payable to any individual under any pension, savings, retirement, life insurance, or other employee benefits arrangement of the Company, unless otherwise determined by the Company. Remuneration provided pursuant to an EIP Award shall be included in compensation to the extent (and only to the extent) required by the applicable employee benefits arrangement.</w:t>
      </w:r>
    </w:p>
    <w:p>
      <w:pPr>
        <w:spacing w:after="0" w:line="115" w:lineRule="exact"/>
        <w:rPr>
          <w:sz w:val="20"/>
          <w:szCs w:val="20"/>
          <w:color w:val="auto"/>
        </w:rPr>
      </w:pPr>
    </w:p>
    <w:p>
      <w:pPr>
        <w:ind w:left="1000" w:right="379"/>
        <w:spacing w:after="0" w:line="256"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i w:val="1"/>
          <w:iCs w:val="1"/>
          <w:color w:val="auto"/>
        </w:rPr>
        <w:t>Section 16(b) of the Exchange Act</w:t>
      </w:r>
      <w:r>
        <w:rPr>
          <w:rFonts w:ascii="Arial" w:cs="Arial" w:eastAsia="Arial" w:hAnsi="Arial"/>
          <w:sz w:val="18"/>
          <w:szCs w:val="18"/>
          <w:color w:val="auto"/>
        </w:rPr>
        <w:t>. All Agreements for Participants subject to Section 16(b) of the Exchange Act shall be deemed to include any such additional terms, conditions, limitations and provisions as Rule 16b-3 requires, unless the Committee in its discretion determines that any such Award should not be governed by Rule 16b-3. In addition, with respect to persons subject to Section 16(b) of the Exchange Act, transactions under the Plan are intended to comply with all applicable conditions of Rule 16b-3. To the extent that any provision of the Plan or any action by the Administrator fails to comply with Rule 16b-3, it shall be deemed null and void, to the extent permitted by law and deemed advisable by the Committee.</w:t>
      </w:r>
    </w:p>
    <w:p>
      <w:pPr>
        <w:spacing w:after="0" w:line="115" w:lineRule="exact"/>
        <w:rPr>
          <w:sz w:val="20"/>
          <w:szCs w:val="20"/>
          <w:color w:val="auto"/>
        </w:rPr>
      </w:pPr>
    </w:p>
    <w:p>
      <w:pPr>
        <w:ind w:left="1000" w:right="299"/>
        <w:spacing w:after="0" w:line="254"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i w:val="1"/>
          <w:iCs w:val="1"/>
          <w:color w:val="auto"/>
        </w:rPr>
        <w:t>Section 409A of the Code</w:t>
      </w:r>
      <w:r>
        <w:rPr>
          <w:rFonts w:ascii="Arial" w:cs="Arial" w:eastAsia="Arial" w:hAnsi="Arial"/>
          <w:sz w:val="18"/>
          <w:szCs w:val="18"/>
          <w:color w:val="auto"/>
        </w:rPr>
        <w:t>. The Plan, any Award granted under the Plan, and all Agreements evidencing such Awards, shall be interpreted and administered with the intent that (a) all Options, SARs, and comparable awards shall be exempt from Section 409A of the Code by reason of the exemption for certain stock rights set forth in Treas. Reg. § 1.409A-1(b)(5); (b) all Awards of Restricted Stock shall be exempt from Section 409A of the Code by reason of the exemption for restricted property governed by Section 83 of the Code set forth in Treas. Reg. § 1.409A-1(b)(6); and (c) except to the extent that the applicable Agreement reflects an intent to provide for nonqualified deferred compensation that is subject to and complies with the requirements of Section 409A of the Code, all Restricted Stock Unit Awards, Performance Share Unit Awards, Other Stock Unit Awards, and EIP Awards shall be exempt from Section 409A of the Code by reason of the “short-term deferral rule” set forth in Treas. Reg. § 1.409A-1(b)(4). To the extent that an Award is subject to Section 409A of the Code, the following rules will apply:</w:t>
      </w:r>
    </w:p>
    <w:p>
      <w:pPr>
        <w:spacing w:after="0" w:line="101" w:lineRule="exact"/>
        <w:rPr>
          <w:sz w:val="20"/>
          <w:szCs w:val="20"/>
          <w:color w:val="auto"/>
        </w:rPr>
      </w:pPr>
    </w:p>
    <w:p>
      <w:pPr>
        <w:ind w:left="1340" w:right="379" w:firstLine="10"/>
        <w:spacing w:after="0" w:line="262" w:lineRule="auto"/>
        <w:tabs>
          <w:tab w:leader="none" w:pos="1702" w:val="left"/>
        </w:tabs>
        <w:numPr>
          <w:ilvl w:val="0"/>
          <w:numId w:val="92"/>
        </w:numPr>
        <w:rPr>
          <w:rFonts w:ascii="Arial" w:cs="Arial" w:eastAsia="Arial" w:hAnsi="Arial"/>
          <w:sz w:val="18"/>
          <w:szCs w:val="18"/>
          <w:color w:val="auto"/>
        </w:rPr>
      </w:pPr>
      <w:r>
        <w:rPr>
          <w:rFonts w:ascii="Arial" w:cs="Arial" w:eastAsia="Arial" w:hAnsi="Arial"/>
          <w:sz w:val="18"/>
          <w:szCs w:val="18"/>
          <w:color w:val="auto"/>
        </w:rPr>
        <w:t>It is intended that the provisions of the Plan, any Award granted under the Plan, and all Agreements avoid the adverse consequences under Section 409A of the Code, and all provisions of the Plan, any Award granted under the Plan, and all Agreements shall be construed and interpreted in a manner consistent with that intent.</w:t>
      </w:r>
    </w:p>
    <w:p>
      <w:pPr>
        <w:spacing w:after="0" w:line="108" w:lineRule="exact"/>
        <w:rPr>
          <w:rFonts w:ascii="Arial" w:cs="Arial" w:eastAsia="Arial" w:hAnsi="Arial"/>
          <w:sz w:val="18"/>
          <w:szCs w:val="18"/>
          <w:color w:val="auto"/>
        </w:rPr>
      </w:pPr>
    </w:p>
    <w:p>
      <w:pPr>
        <w:ind w:left="1340" w:right="419" w:firstLine="10"/>
        <w:spacing w:after="0" w:line="318" w:lineRule="auto"/>
        <w:tabs>
          <w:tab w:leader="none" w:pos="1702"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payment is due upon a termination of employment or service, payment shall only be made if such termination constitutes a “separation from service” within the meaning of Section 409A of the Code.</w:t>
      </w:r>
    </w:p>
    <w:p>
      <w:pPr>
        <w:spacing w:after="0" w:line="62" w:lineRule="exact"/>
        <w:rPr>
          <w:rFonts w:ascii="Arial" w:cs="Arial" w:eastAsia="Arial" w:hAnsi="Arial"/>
          <w:sz w:val="17"/>
          <w:szCs w:val="17"/>
          <w:color w:val="auto"/>
        </w:rPr>
      </w:pPr>
    </w:p>
    <w:p>
      <w:pPr>
        <w:ind w:left="1340" w:right="219" w:firstLine="10"/>
        <w:spacing w:after="0" w:line="255" w:lineRule="auto"/>
        <w:tabs>
          <w:tab w:leader="none" w:pos="1692"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at the time of a Participant’s separation from service (within the meaning of Section 409A of the Code), (A) such Participant shall be a specified employee (within the meaning of Section 409A of the Code) and (B) an amount payable pursuant to an Award constitutes nonqualified deferred compensation (within the meaning of Section 409A of the Code) the payment of which is required to be delayed pursuant to the six-month delay rule set forth in Section 409A of the Code in order to avoid taxes or penalties under Section 409A of the Code, then the Company shall not pay such amount on the otherwise scheduled payment date but shall instead pay it, without interest, on the first day of the seventh month following such separation from service.</w:t>
      </w:r>
    </w:p>
    <w:p>
      <w:pPr>
        <w:spacing w:after="0" w:line="103" w:lineRule="exact"/>
        <w:rPr>
          <w:rFonts w:ascii="Arial" w:cs="Arial" w:eastAsia="Arial" w:hAnsi="Arial"/>
          <w:sz w:val="18"/>
          <w:szCs w:val="18"/>
          <w:color w:val="auto"/>
        </w:rPr>
      </w:pPr>
    </w:p>
    <w:p>
      <w:pPr>
        <w:ind w:left="1340" w:right="199" w:firstLine="10"/>
        <w:spacing w:after="0" w:line="256" w:lineRule="auto"/>
        <w:tabs>
          <w:tab w:leader="none" w:pos="1702"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the Company reserves the right to make amendments to any Award as the Company deems necessary or desirable to avoid the imposition of taxes or penalties under Section 409A of the Code. In any case, a Participant shall be solely responsible and liable for the satisfaction of all taxes and penalties that may be imposed on a Participant or for a Participant’s account in connection with an Award (including any taxes and penalties under Section 409A of the Code), and neither the Company nor any of its Affiliates shall have any obligation to indemnify or otherwise hold such Participant harmless from any or all of such taxes or penalties.</w:t>
      </w:r>
    </w:p>
    <w:p>
      <w:pPr>
        <w:spacing w:after="0" w:line="1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100     </w:t>
      </w:r>
      <w:r>
        <w:rPr>
          <w:sz w:val="1"/>
          <w:szCs w:val="1"/>
          <w:color w:val="auto"/>
        </w:rPr>
        <w:drawing>
          <wp:inline distT="0" distB="0" distL="0" distR="0">
            <wp:extent cx="1242695" cy="24003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180" w:lineRule="exact"/>
        <w:rPr>
          <w:sz w:val="20"/>
          <w:szCs w:val="20"/>
          <w:color w:val="auto"/>
        </w:rPr>
      </w:pPr>
    </w:p>
    <w:p>
      <w:pPr>
        <w:jc w:val="right"/>
        <w:ind w:right="139"/>
        <w:spacing w:after="0"/>
        <w:tabs>
          <w:tab w:leader="none" w:pos="840" w:val="left"/>
        </w:tabs>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r>
        <w:rPr>
          <w:sz w:val="20"/>
          <w:szCs w:val="20"/>
          <w:color w:val="auto"/>
        </w:rPr>
        <w:tab/>
      </w:r>
      <w:r>
        <w:rPr>
          <w:rFonts w:ascii="Arial" w:cs="Arial" w:eastAsia="Arial" w:hAnsi="Arial"/>
          <w:sz w:val="21"/>
          <w:szCs w:val="21"/>
          <w:color w:val="auto"/>
          <w:vertAlign w:val="subscript"/>
        </w:rPr>
        <w:t>APPENDIX B</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340" w:right="179" w:firstLine="10"/>
        <w:spacing w:after="0" w:line="287" w:lineRule="auto"/>
        <w:tabs>
          <w:tab w:leader="none" w:pos="1702"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payment payable under the Plan is intended to constitute a separate payment under Treas. Reg. § 1.409A-2(b)(2).</w:t>
      </w:r>
    </w:p>
    <w:p>
      <w:pPr>
        <w:spacing w:after="0" w:line="72" w:lineRule="exact"/>
        <w:rPr>
          <w:sz w:val="20"/>
          <w:szCs w:val="20"/>
          <w:color w:val="auto"/>
        </w:rPr>
      </w:pPr>
    </w:p>
    <w:p>
      <w:pPr>
        <w:ind w:left="1000" w:right="479"/>
        <w:spacing w:after="0" w:line="287" w:lineRule="auto"/>
        <w:rPr>
          <w:sz w:val="20"/>
          <w:szCs w:val="20"/>
          <w:color w:val="auto"/>
        </w:rPr>
      </w:pPr>
      <w:r>
        <w:rPr>
          <w:rFonts w:ascii="Arial" w:cs="Arial" w:eastAsia="Arial" w:hAnsi="Arial"/>
          <w:sz w:val="18"/>
          <w:szCs w:val="18"/>
          <w:color w:val="auto"/>
        </w:rPr>
        <w:t xml:space="preserve">12.15. </w:t>
      </w:r>
      <w:r>
        <w:rPr>
          <w:rFonts w:ascii="Arial" w:cs="Arial" w:eastAsia="Arial" w:hAnsi="Arial"/>
          <w:sz w:val="18"/>
          <w:szCs w:val="18"/>
          <w:i w:val="1"/>
          <w:iCs w:val="1"/>
          <w:color w:val="auto"/>
        </w:rPr>
        <w:t>Application of Proceeds.</w:t>
      </w:r>
      <w:r>
        <w:rPr>
          <w:rFonts w:ascii="Arial" w:cs="Arial" w:eastAsia="Arial" w:hAnsi="Arial"/>
          <w:sz w:val="18"/>
          <w:szCs w:val="18"/>
          <w:color w:val="auto"/>
        </w:rPr>
        <w:t xml:space="preserve"> The proceeds received by the Company from the sale of Stock under the Plan shall be used for general corporate purposes.</w:t>
      </w:r>
    </w:p>
    <w:p>
      <w:pPr>
        <w:spacing w:after="0" w:line="85" w:lineRule="exact"/>
        <w:rPr>
          <w:sz w:val="20"/>
          <w:szCs w:val="20"/>
          <w:color w:val="auto"/>
        </w:rPr>
      </w:pPr>
    </w:p>
    <w:p>
      <w:pPr>
        <w:ind w:left="1000" w:right="139"/>
        <w:spacing w:after="0" w:line="255" w:lineRule="auto"/>
        <w:rPr>
          <w:sz w:val="20"/>
          <w:szCs w:val="20"/>
          <w:color w:val="auto"/>
        </w:rPr>
      </w:pPr>
      <w:r>
        <w:rPr>
          <w:rFonts w:ascii="Arial" w:cs="Arial" w:eastAsia="Arial" w:hAnsi="Arial"/>
          <w:sz w:val="18"/>
          <w:szCs w:val="18"/>
          <w:color w:val="auto"/>
        </w:rPr>
        <w:t xml:space="preserve">12.16. </w:t>
      </w:r>
      <w:r>
        <w:rPr>
          <w:rFonts w:ascii="Arial" w:cs="Arial" w:eastAsia="Arial" w:hAnsi="Arial"/>
          <w:sz w:val="18"/>
          <w:szCs w:val="18"/>
          <w:i w:val="1"/>
          <w:iCs w:val="1"/>
          <w:color w:val="auto"/>
        </w:rPr>
        <w:t>Rules of Construction.</w:t>
      </w:r>
      <w:r>
        <w:rPr>
          <w:rFonts w:ascii="Arial" w:cs="Arial" w:eastAsia="Arial" w:hAnsi="Arial"/>
          <w:sz w:val="18"/>
          <w:szCs w:val="18"/>
          <w:color w:val="auto"/>
        </w:rPr>
        <w:t xml:space="preserve"> Whenever used in the Plan, (a) words in the masculine gender shall be deemed to refer to females as well as to males; (b) words in the singular shall be deemed to refer also to the plural; (c) the word “include” shall mean “including but not limited to”; (d) references to a statute or regulation or statutory or regulatory provision shall refer to that provision (or to a successor provision of similar import) as currently in effect, as amended, or as reenacted, and to any regulations and other formal guidance of general applicability issued thereunder; and (e) references to a law shall include any statute, regulation, rule, court case, or other requirement established by an exchange or a governmental authority or agency, and applicable law shall include any tax law that imposes requirements in order to avoid adverse tax consequences.</w:t>
      </w:r>
    </w:p>
    <w:p>
      <w:pPr>
        <w:spacing w:after="0" w:line="117" w:lineRule="exact"/>
        <w:rPr>
          <w:sz w:val="20"/>
          <w:szCs w:val="20"/>
          <w:color w:val="auto"/>
        </w:rPr>
      </w:pPr>
    </w:p>
    <w:p>
      <w:pPr>
        <w:jc w:val="both"/>
        <w:ind w:left="1000" w:right="179"/>
        <w:spacing w:after="0" w:line="268" w:lineRule="auto"/>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i w:val="1"/>
          <w:iCs w:val="1"/>
          <w:color w:val="auto"/>
        </w:rPr>
        <w:t>Headings and Captions.</w:t>
      </w:r>
      <w:r>
        <w:rPr>
          <w:rFonts w:ascii="Arial" w:cs="Arial" w:eastAsia="Arial" w:hAnsi="Arial"/>
          <w:sz w:val="18"/>
          <w:szCs w:val="18"/>
          <w:color w:val="auto"/>
        </w:rPr>
        <w:t xml:space="preserve"> The headings and captions in this Plan document are provided for reference and convenience only, shall not be considered part of the Plan, and shall not be employed in the construction of the Plan.</w:t>
      </w:r>
    </w:p>
    <w:p>
      <w:pPr>
        <w:spacing w:after="0" w:line="90" w:lineRule="exact"/>
        <w:rPr>
          <w:sz w:val="20"/>
          <w:szCs w:val="20"/>
          <w:color w:val="auto"/>
        </w:rPr>
      </w:pPr>
    </w:p>
    <w:p>
      <w:pPr>
        <w:ind w:left="1000" w:right="979"/>
        <w:spacing w:after="0" w:line="287" w:lineRule="auto"/>
        <w:rPr>
          <w:sz w:val="20"/>
          <w:szCs w:val="20"/>
          <w:color w:val="auto"/>
        </w:rPr>
      </w:pPr>
      <w:r>
        <w:rPr>
          <w:rFonts w:ascii="Arial" w:cs="Arial" w:eastAsia="Arial" w:hAnsi="Arial"/>
          <w:sz w:val="18"/>
          <w:szCs w:val="18"/>
          <w:color w:val="auto"/>
        </w:rPr>
        <w:t xml:space="preserve">12.18.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The Plan shall become effective on the date the Plan is approved by Avnet’s shareholders.</w:t>
      </w:r>
    </w:p>
    <w:p>
      <w:pPr>
        <w:spacing w:after="0" w:line="81" w:lineRule="exact"/>
        <w:rPr>
          <w:sz w:val="20"/>
          <w:szCs w:val="20"/>
          <w:color w:val="auto"/>
        </w:rPr>
      </w:pPr>
    </w:p>
    <w:p>
      <w:pPr>
        <w:jc w:val="center"/>
        <w:ind w:right="-800"/>
        <w:spacing w:after="0"/>
        <w:rPr>
          <w:sz w:val="20"/>
          <w:szCs w:val="20"/>
          <w:color w:val="auto"/>
        </w:rPr>
      </w:pPr>
      <w:r>
        <w:rPr>
          <w:rFonts w:ascii="Arial" w:cs="Arial" w:eastAsia="Arial" w:hAnsi="Arial"/>
          <w:sz w:val="20"/>
          <w:szCs w:val="20"/>
          <w:b w:val="1"/>
          <w:bCs w:val="1"/>
          <w:color w:val="auto"/>
        </w:rPr>
        <w:t>ARTICLE 13</w:t>
      </w:r>
    </w:p>
    <w:p>
      <w:pPr>
        <w:spacing w:after="0" w:line="20"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ADJUSTMENTS UPON CHANGES IN CAPITALIZATION</w:t>
      </w:r>
    </w:p>
    <w:p>
      <w:pPr>
        <w:spacing w:after="0" w:line="133" w:lineRule="exact"/>
        <w:rPr>
          <w:sz w:val="20"/>
          <w:szCs w:val="20"/>
          <w:color w:val="auto"/>
        </w:rPr>
      </w:pPr>
    </w:p>
    <w:p>
      <w:pPr>
        <w:ind w:left="1000" w:right="159"/>
        <w:spacing w:after="0" w:line="252"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Share Adjustments</w:t>
      </w:r>
      <w:r>
        <w:rPr>
          <w:rFonts w:ascii="Arial" w:cs="Arial" w:eastAsia="Arial" w:hAnsi="Arial"/>
          <w:sz w:val="18"/>
          <w:szCs w:val="18"/>
          <w:color w:val="auto"/>
        </w:rPr>
        <w:t>. If the Stock is split, divided, or otherwise reclassified into or exchanged for a greater or lesser number of shares of Stock or into shares of Stock and/or any other securities of Avnet by reason of recapitalization, reclassification, stock split or reverse split, combination of shares or other reorganization, the term “Stock” as used herein shall thereafter mean the number and kind of shares or other securities into which the Stock shall have been so split, divided or otherwise reclassified or for which the Stock shall have been so exchanged; and the remaining number of shares of Stock which may, in the aggregate, thereafter be delivered pursuant to the grant or exercise of an Award and the remaining number of shares of Stock which may thereafter be delivered pursuant to the exercise of any Options and/or SARs then outstanding, shall be correspondingly adjusted. If a dividend payable in shares of Stock is paid to the holders of outstanding shares of Stock, the remaining number of shares of Stock which may, in the aggregate, thereafter be delivered pursuant to the exercise or grant of Awards, and the remaining number of shares of Stock that may thereafter be delivered pursuant to the exercise of any Awards then outstanding shall be increased by the percentage that the number of shares of Stock so paid as a dividend bears to the total number of shares of Stock outstanding immediately before the payment of such dividend. If an extraordinary cash dividend is paid to the holders of outstanding shares of Stock, the remaining number of shares of Stock that may, in the aggregate, thereafter be delivered pursuant to the exercise or grant of Awards and the remaining number of shares of Stock that may thereafter be delivered pursuant to the exercise of any Awards then outstanding, shall be equitably adjusted by the Committee.</w:t>
      </w:r>
    </w:p>
    <w:p>
      <w:pPr>
        <w:spacing w:after="0" w:line="124" w:lineRule="exact"/>
        <w:rPr>
          <w:sz w:val="20"/>
          <w:szCs w:val="20"/>
          <w:color w:val="auto"/>
        </w:rPr>
      </w:pPr>
    </w:p>
    <w:p>
      <w:pPr>
        <w:ind w:left="1000" w:right="359"/>
        <w:spacing w:after="0" w:line="278"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i w:val="1"/>
          <w:iCs w:val="1"/>
          <w:color w:val="auto"/>
        </w:rPr>
        <w:t>Exercise Price Adjustments</w:t>
      </w:r>
      <w:r>
        <w:rPr>
          <w:rFonts w:ascii="Arial" w:cs="Arial" w:eastAsia="Arial" w:hAnsi="Arial"/>
          <w:sz w:val="17"/>
          <w:szCs w:val="17"/>
          <w:color w:val="auto"/>
        </w:rPr>
        <w:t>. If the Stock is split, divided or otherwise reclassified or exchanged, or if any dividend payable in shares of Stock or extraordinary cash dividend is paid to the holders of outstanding shares of Stock, in each case, as provided in the preceding paragraph, the purchase price per share of Stock upon exercise of outstanding Options, and the aggregate number of shares of Stock with respect to which Awards may be granted to any Participant in any calendar year, shall be correspondingly adjusted.</w:t>
      </w:r>
    </w:p>
    <w:p>
      <w:pPr>
        <w:spacing w:after="0" w:line="83" w:lineRule="exact"/>
        <w:rPr>
          <w:sz w:val="20"/>
          <w:szCs w:val="20"/>
          <w:color w:val="auto"/>
        </w:rPr>
      </w:pPr>
    </w:p>
    <w:p>
      <w:pPr>
        <w:ind w:left="1000" w:right="199"/>
        <w:spacing w:after="0" w:line="25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i w:val="1"/>
          <w:iCs w:val="1"/>
          <w:color w:val="auto"/>
        </w:rPr>
        <w:t>Fractional Shares</w:t>
      </w:r>
      <w:r>
        <w:rPr>
          <w:rFonts w:ascii="Arial" w:cs="Arial" w:eastAsia="Arial" w:hAnsi="Arial"/>
          <w:sz w:val="18"/>
          <w:szCs w:val="18"/>
          <w:color w:val="auto"/>
        </w:rPr>
        <w:t>. Notwithstanding any other provision of this Article 13, if upon any adjustment made in accordance with Section 13.1 above, the remaining number of shares of Stock which may thereafter be delivered pursuant to the exercise of any Award then outstanding shall include a fractional share of Stock, such fractional share of Stock shall be disregarded for all purposes of the Plan and the Optionee holding such Award shall become entitled neither to purchase the same nor to receive cash or other property in payment therefor or in lieu thereof.</w:t>
      </w:r>
    </w:p>
    <w:p>
      <w:pPr>
        <w:sectPr>
          <w:pgSz w:w="11900" w:h="16838" w:orient="portrait"/>
          <w:cols w:equalWidth="0" w:num="1">
            <w:col w:w="9879"/>
          </w:cols>
          <w:pgMar w:left="580" w:top="97" w:right="1440" w:bottom="1440" w:gutter="0" w:footer="0" w:header="0"/>
        </w:sectPr>
      </w:pPr>
    </w:p>
    <w:p>
      <w:pPr>
        <w:spacing w:after="0" w:line="142" w:lineRule="exact"/>
        <w:rPr>
          <w:sz w:val="20"/>
          <w:szCs w:val="20"/>
          <w:color w:val="auto"/>
        </w:rPr>
      </w:pPr>
    </w:p>
    <w:p>
      <w:pPr>
        <w:ind w:left="7420"/>
        <w:spacing w:after="0"/>
        <w:rPr>
          <w:sz w:val="20"/>
          <w:szCs w:val="20"/>
          <w:color w:val="auto"/>
        </w:rPr>
      </w:pPr>
      <w:r>
        <w:rPr>
          <w:sz w:val="1"/>
          <w:szCs w:val="1"/>
          <w:color w:val="auto"/>
        </w:rPr>
        <w:drawing>
          <wp:inline distT="0" distB="0" distL="0" distR="0">
            <wp:extent cx="1242695" cy="240030"/>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180" w:lineRule="exact"/>
        <w:rPr>
          <w:sz w:val="20"/>
          <w:szCs w:val="20"/>
          <w:color w:val="auto"/>
        </w:rPr>
      </w:pPr>
    </w:p>
    <w:p>
      <w:pPr>
        <w:jc w:val="right"/>
        <w:ind w:right="139"/>
        <w:spacing w:after="0"/>
        <w:tabs>
          <w:tab w:leader="none" w:pos="840" w:val="left"/>
        </w:tabs>
        <w:rPr>
          <w:sz w:val="20"/>
          <w:szCs w:val="20"/>
          <w:color w:val="auto"/>
        </w:rPr>
      </w:pPr>
      <w:r>
        <w:rPr>
          <w:rFonts w:ascii="Arial" w:cs="Arial" w:eastAsia="Arial" w:hAnsi="Arial"/>
          <w:sz w:val="14"/>
          <w:szCs w:val="14"/>
          <w:b w:val="1"/>
          <w:bCs w:val="1"/>
          <w:color w:val="53C072"/>
        </w:rPr>
        <w:t>2025 ANNUAL</w:t>
      </w:r>
      <w:r>
        <w:rPr>
          <w:rFonts w:ascii="Arial" w:cs="Arial" w:eastAsia="Arial" w:hAnsi="Arial"/>
          <w:sz w:val="14"/>
          <w:szCs w:val="14"/>
          <w:b w:val="1"/>
          <w:bCs w:val="1"/>
          <w:color w:val="000000"/>
        </w:rPr>
        <w:t xml:space="preserve"> </w:t>
      </w:r>
      <w:r>
        <w:rPr>
          <w:sz w:val="20"/>
          <w:szCs w:val="20"/>
          <w:color w:val="auto"/>
        </w:rPr>
        <w:tab/>
      </w:r>
      <w:r>
        <w:rPr>
          <w:rFonts w:ascii="Arial" w:cs="Arial" w:eastAsia="Arial" w:hAnsi="Arial"/>
          <w:sz w:val="21"/>
          <w:szCs w:val="21"/>
          <w:color w:val="auto"/>
          <w:vertAlign w:val="subscript"/>
        </w:rPr>
        <w:t>APPENDIX B</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6" w:lineRule="exact"/>
        <w:rPr>
          <w:sz w:val="20"/>
          <w:szCs w:val="20"/>
          <w:color w:val="auto"/>
        </w:rPr>
      </w:pPr>
    </w:p>
    <w:p>
      <w:pPr>
        <w:jc w:val="center"/>
        <w:ind w:right="-800"/>
        <w:spacing w:after="0"/>
        <w:rPr>
          <w:sz w:val="20"/>
          <w:szCs w:val="20"/>
          <w:color w:val="auto"/>
        </w:rPr>
      </w:pPr>
      <w:r>
        <w:rPr>
          <w:rFonts w:ascii="Arial" w:cs="Arial" w:eastAsia="Arial" w:hAnsi="Arial"/>
          <w:sz w:val="20"/>
          <w:szCs w:val="20"/>
          <w:b w:val="1"/>
          <w:bCs w:val="1"/>
          <w:color w:val="auto"/>
        </w:rPr>
        <w:t>ARTICLE 14</w:t>
      </w:r>
    </w:p>
    <w:p>
      <w:pPr>
        <w:spacing w:after="0" w:line="20"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AMENDMENT OR TERMINATION OF THE PLAN</w:t>
      </w:r>
    </w:p>
    <w:p>
      <w:pPr>
        <w:spacing w:after="0" w:line="133" w:lineRule="exact"/>
        <w:rPr>
          <w:sz w:val="20"/>
          <w:szCs w:val="20"/>
          <w:color w:val="auto"/>
        </w:rPr>
      </w:pPr>
    </w:p>
    <w:p>
      <w:pPr>
        <w:ind w:left="1000" w:right="179"/>
        <w:spacing w:after="0" w:line="262" w:lineRule="auto"/>
        <w:rPr>
          <w:sz w:val="20"/>
          <w:szCs w:val="20"/>
          <w:color w:val="auto"/>
        </w:rPr>
      </w:pPr>
      <w:r>
        <w:rPr>
          <w:rFonts w:ascii="Arial" w:cs="Arial" w:eastAsia="Arial" w:hAnsi="Arial"/>
          <w:sz w:val="18"/>
          <w:szCs w:val="18"/>
          <w:color w:val="auto"/>
        </w:rPr>
        <w:t>14.1. The Plan shall automatically terminate on November 21, 2035, unless it is sooner terminated pursuant to Section 14.2, below. No Award shall be granted after the Plan terminates. All Awards granted before the Plan terminates shall continue in effect thereafter in accordance with the terms of the applicable Agreements and the Plan.</w:t>
      </w:r>
    </w:p>
    <w:p>
      <w:pPr>
        <w:spacing w:after="0" w:line="109" w:lineRule="exact"/>
        <w:rPr>
          <w:sz w:val="20"/>
          <w:szCs w:val="20"/>
          <w:color w:val="auto"/>
        </w:rPr>
      </w:pPr>
    </w:p>
    <w:p>
      <w:pPr>
        <w:ind w:left="1000" w:right="559"/>
        <w:spacing w:after="0" w:line="268"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Reservation of Rights</w:t>
      </w:r>
      <w:r>
        <w:rPr>
          <w:rFonts w:ascii="Arial" w:cs="Arial" w:eastAsia="Arial" w:hAnsi="Arial"/>
          <w:sz w:val="18"/>
          <w:szCs w:val="18"/>
          <w:color w:val="auto"/>
        </w:rPr>
        <w:t>. The Board of Directors may amend or terminate the Plan and/or any Award thereunder at any time as the Board of Directors may deem advisable and in the best interests of Avnet; provided, however, that —</w:t>
      </w:r>
    </w:p>
    <w:p>
      <w:pPr>
        <w:spacing w:after="0" w:line="90" w:lineRule="exact"/>
        <w:rPr>
          <w:sz w:val="20"/>
          <w:szCs w:val="20"/>
          <w:color w:val="auto"/>
        </w:rPr>
      </w:pPr>
    </w:p>
    <w:p>
      <w:pPr>
        <w:ind w:left="1340" w:right="139" w:firstLine="10"/>
        <w:spacing w:after="0" w:line="257" w:lineRule="auto"/>
        <w:tabs>
          <w:tab w:leader="none" w:pos="1702"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Participant’s written consent shall be required for any amendment to an outstanding Award that would adversely affect in a material manner the rights of such Participant under such Award, unless the Committee determines in its discretion that there have occurred or are about to occur significant changes in the Participant’s position, duties or responsibilities, or significant changes in economic, legislative, regulatory, tax, accounting or cost/benefit conditions that the Committee determines in its sole discretion make Participant consent inappropriate under the circumstances; and</w:t>
      </w:r>
    </w:p>
    <w:p>
      <w:pPr>
        <w:spacing w:after="0" w:line="114" w:lineRule="exact"/>
        <w:rPr>
          <w:rFonts w:ascii="Arial" w:cs="Arial" w:eastAsia="Arial" w:hAnsi="Arial"/>
          <w:sz w:val="18"/>
          <w:szCs w:val="18"/>
          <w:color w:val="auto"/>
        </w:rPr>
      </w:pPr>
    </w:p>
    <w:p>
      <w:pPr>
        <w:ind w:left="1340" w:right="159" w:firstLine="10"/>
        <w:spacing w:after="0" w:line="271" w:lineRule="auto"/>
        <w:tabs>
          <w:tab w:leader="none" w:pos="1702"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affirmative vote of a majority of the votes cast at a meeting of the shareholders of Avnet duly called and held for that purpose, shall be required for any change that (i) affects the composition or functioning of the Committee; (ii) materially increases the aggregate number of shares of Stock that may be delivered pursuant to the exercise of Awards; (iii) materially increases the aggregate number of shares of Stock with respect to which Options or other Awards may be granted to any Participant during any calendar year; (iv) materially decreases the minimum purchase price per share of Stock (in relation to the Fair Market Value thereof at the respective dates of grant) upon the exercise of Options; (v) extends the ten-year maximum period within which an Award is exercisable or the termination date of the Plan; or (vi) otherwise triggers a shareholder approval requirement under an applicable law or listing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102     </w:t>
      </w:r>
      <w:r>
        <w:rPr>
          <w:sz w:val="1"/>
          <w:szCs w:val="1"/>
          <w:color w:val="auto"/>
        </w:rPr>
        <w:drawing>
          <wp:inline distT="0" distB="0" distL="0" distR="0">
            <wp:extent cx="1242695" cy="240030"/>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-80645</wp:posOffset>
            </wp:positionV>
            <wp:extent cx="7016115" cy="933958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016115" cy="933958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-80645</wp:posOffset>
            </wp:positionV>
            <wp:extent cx="7016115" cy="9305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016115" cy="930529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1."/>
      <w:numFmt w:val="decimal"/>
      <w:start w:val="1"/>
    </w:lvl>
  </w:abstractNum>
  <w:abstractNum w:abstractNumId="4">
    <w:nsid w:val="579478FE"/>
    <w:multiLevelType w:val="hybridMultilevel"/>
    <w:lvl w:ilvl="0">
      <w:lvlJc w:val="left"/>
      <w:lvlText w:val="%1."/>
      <w:numFmt w:val="decimal"/>
      <w:start w:val="5"/>
    </w:lvl>
  </w:abstractNum>
  <w:abstractNum w:abstractNumId="5">
    <w:nsid w:val="749ABB43"/>
    <w:multiLevelType w:val="hybridMultilevel"/>
    <w:lvl w:ilvl="0">
      <w:lvlJc w:val="left"/>
      <w:lvlText w:val="1"/>
      <w:numFmt w:val="bullet"/>
      <w:start w:val="1"/>
    </w:lvl>
  </w:abstractNum>
  <w:abstractNum w:abstractNumId="6">
    <w:nsid w:val="3DC240FB"/>
    <w:multiLevelType w:val="hybridMultilevel"/>
    <w:lvl w:ilvl="0">
      <w:lvlJc w:val="left"/>
      <w:lvlText w:val="2"/>
      <w:numFmt w:val="bullet"/>
      <w:start w:val="1"/>
    </w:lvl>
  </w:abstractNum>
  <w:abstractNum w:abstractNumId="7">
    <w:nsid w:val="1BA026FA"/>
    <w:multiLevelType w:val="hybridMultilevel"/>
    <w:lvl w:ilvl="0">
      <w:lvlJc w:val="left"/>
      <w:lvlText w:val="3"/>
      <w:numFmt w:val="bullet"/>
      <w:start w:val="1"/>
    </w:lvl>
  </w:abstractNum>
  <w:abstractNum w:abstractNumId="8">
    <w:nsid w:val="79A1DEAA"/>
    <w:multiLevelType w:val="hybridMultilevel"/>
    <w:lvl w:ilvl="0">
      <w:lvlJc w:val="left"/>
      <w:lvlText w:val="4"/>
      <w:numFmt w:val="bullet"/>
      <w:start w:val="1"/>
    </w:lvl>
    <w:lvl w:ilvl="1">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1:"/>
      <w:numFmt w:val="upperLetter"/>
      <w:start w:val="5"/>
    </w:lvl>
  </w:abstractNum>
  <w:abstractNum w:abstractNumId="27">
    <w:nsid w:val="10233C99"/>
    <w:multiLevelType w:val="hybridMultilevel"/>
    <w:lvl w:ilvl="0">
      <w:lvlJc w:val="left"/>
      <w:lvlText w:val="•"/>
      <w:numFmt w:val="bullet"/>
      <w:start w:val="1"/>
    </w:lvl>
    <w:lvl w:ilvl="1">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1)"/>
      <w:numFmt w:val="decimal"/>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1)"/>
      <w:numFmt w:val="decimal"/>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lvl w:ilvl="1">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lvl w:ilvl="1">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1)"/>
      <w:numFmt w:val="decimal"/>
      <w:start w:val="1"/>
    </w:lvl>
  </w:abstractNum>
  <w:abstractNum w:abstractNumId="41">
    <w:nsid w:val="5DB70AE5"/>
    <w:multiLevelType w:val="hybridMultilevel"/>
    <w:lvl w:ilvl="0">
      <w:lvlJc w:val="left"/>
      <w:lvlText w:val="(%1)"/>
      <w:numFmt w:val="decimal"/>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1)"/>
      <w:numFmt w:val="decimal"/>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1)"/>
      <w:numFmt w:val="lowerRoman"/>
      <w:start w:val="3"/>
    </w:lvl>
  </w:abstractNum>
  <w:abstractNum w:abstractNumId="52">
    <w:nsid w:val="661E3F1E"/>
    <w:multiLevelType w:val="hybridMultilevel"/>
    <w:lvl w:ilvl="0">
      <w:lvlJc w:val="left"/>
      <w:lvlText w:val="(%1)"/>
      <w:numFmt w:val="lowerRoman"/>
      <w:start w:val="3"/>
    </w:lvl>
  </w:abstractNum>
  <w:abstractNum w:abstractNumId="53">
    <w:nsid w:val="5DC79EA8"/>
    <w:multiLevelType w:val="hybridMultilevel"/>
    <w:lvl w:ilvl="0">
      <w:lvlJc w:val="left"/>
      <w:lvlText w:val="(%1)"/>
      <w:numFmt w:val="decimal"/>
      <w:start w:val="1"/>
    </w:lvl>
  </w:abstractNum>
  <w:abstractNum w:abstractNumId="54">
    <w:nsid w:val="540A471C"/>
    <w:multiLevelType w:val="hybridMultilevel"/>
    <w:lvl w:ilvl="0">
      <w:lvlJc w:val="left"/>
      <w:lvlText w:val="(%1)"/>
      <w:numFmt w:val="decimal"/>
      <w:start w:val="4"/>
    </w:lvl>
  </w:abstractNum>
  <w:abstractNum w:abstractNumId="55">
    <w:nsid w:val="7BD3EE7B"/>
    <w:multiLevelType w:val="hybridMultilevel"/>
    <w:lvl w:ilvl="0">
      <w:lvlJc w:val="left"/>
      <w:lvlText w:val="(%1)"/>
      <w:numFmt w:val="decimal"/>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1)"/>
      <w:numFmt w:val="decimal"/>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1)"/>
      <w:numFmt w:val="decimal"/>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1)"/>
      <w:numFmt w:val="decimal"/>
      <w:start w:val="1"/>
    </w:lvl>
  </w:abstractNum>
  <w:abstractNum w:abstractNumId="62">
    <w:nsid w:val="8F2B15E"/>
    <w:multiLevelType w:val="hybridMultilevel"/>
    <w:lvl w:ilvl="0">
      <w:lvlJc w:val="left"/>
      <w:lvlText w:val="(%1)"/>
      <w:numFmt w:val="decimal"/>
      <w:start w:val="1"/>
    </w:lvl>
  </w:abstractNum>
  <w:abstractNum w:abstractNumId="63">
    <w:nsid w:val="1A32234B"/>
    <w:multiLevelType w:val="hybridMultilevel"/>
    <w:lvl w:ilvl="0">
      <w:lvlJc w:val="left"/>
      <w:lvlText w:val="(%1)"/>
      <w:numFmt w:val="lowerLetter"/>
      <w:start w:val="2"/>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1)"/>
      <w:numFmt w:val="lowerRoman"/>
      <w:start w:val="2"/>
    </w:lvl>
  </w:abstractNum>
  <w:abstractNum w:abstractNumId="66">
    <w:nsid w:val="4962813B"/>
    <w:multiLevelType w:val="hybridMultilevel"/>
    <w:lvl w:ilvl="0">
      <w:lvlJc w:val="left"/>
      <w:lvlText w:val="•"/>
      <w:numFmt w:val="bullet"/>
      <w:start w:val="1"/>
    </w:lvl>
  </w:abstractNum>
  <w:abstractNum w:abstractNumId="67">
    <w:nsid w:val="60B6DF70"/>
    <w:multiLevelType w:val="hybridMultilevel"/>
    <w:lvl w:ilvl="0">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
      <w:numFmt w:val="bullet"/>
      <w:start w:val="1"/>
    </w:lvl>
  </w:abstractNum>
  <w:abstractNum w:abstractNumId="71">
    <w:nsid w:val="1A27709E"/>
    <w:multiLevelType w:val="hybridMultilevel"/>
    <w:lvl w:ilvl="0">
      <w:lvlJc w:val="left"/>
      <w:lvlText w:val="•"/>
      <w:numFmt w:val="bullet"/>
      <w:start w:val="1"/>
    </w:lvl>
  </w:abstractNum>
  <w:abstractNum w:abstractNumId="72">
    <w:nsid w:val="71EA1109"/>
    <w:multiLevelType w:val="hybridMultilevel"/>
    <w:lvl w:ilvl="0">
      <w:lvlJc w:val="left"/>
      <w:lvlText w:val="(%1)"/>
      <w:numFmt w:val="lowerLetter"/>
      <w:start w:val="2"/>
    </w:lvl>
  </w:abstractNum>
  <w:abstractNum w:abstractNumId="73">
    <w:nsid w:val="100F59DC"/>
    <w:multiLevelType w:val="hybridMultilevel"/>
    <w:lvl w:ilvl="0">
      <w:lvlJc w:val="left"/>
      <w:lvlText w:val="•"/>
      <w:numFmt w:val="bullet"/>
      <w:start w:val="1"/>
    </w:lvl>
  </w:abstractNum>
  <w:abstractNum w:abstractNumId="74">
    <w:nsid w:val="7FB7E0AA"/>
    <w:multiLevelType w:val="hybridMultilevel"/>
    <w:lvl w:ilvl="0">
      <w:lvlJc w:val="left"/>
      <w:lvlText w:val="(%1)"/>
      <w:numFmt w:val="lowerLetter"/>
      <w:start w:val="1"/>
    </w:lvl>
  </w:abstractNum>
  <w:abstractNum w:abstractNumId="75">
    <w:nsid w:val="6EB5BD4"/>
    <w:multiLevelType w:val="hybridMultilevel"/>
    <w:lvl w:ilvl="0">
      <w:lvlJc w:val="left"/>
      <w:lvlText w:val="(%1)"/>
      <w:numFmt w:val="lowerLetter"/>
      <w:start w:val="1"/>
    </w:lvl>
  </w:abstractNum>
  <w:abstractNum w:abstractNumId="76">
    <w:nsid w:val="6F6DD9AC"/>
    <w:multiLevelType w:val="hybridMultilevel"/>
    <w:lvl w:ilvl="0">
      <w:lvlJc w:val="left"/>
      <w:lvlText w:val="(%1)"/>
      <w:numFmt w:val="lowerLetter"/>
      <w:start w:val="61"/>
    </w:lvl>
  </w:abstractNum>
  <w:abstractNum w:abstractNumId="77">
    <w:nsid w:val="94211F2"/>
    <w:multiLevelType w:val="hybridMultilevel"/>
    <w:lvl w:ilvl="0">
      <w:lvlJc w:val="left"/>
      <w:lvlText w:val="(%1)"/>
      <w:numFmt w:val="lowerLetter"/>
      <w:start w:val="2"/>
    </w:lvl>
  </w:abstractNum>
  <w:abstractNum w:abstractNumId="78">
    <w:nsid w:val="885E1B"/>
    <w:multiLevelType w:val="hybridMultilevel"/>
    <w:lvl w:ilvl="0">
      <w:lvlJc w:val="left"/>
      <w:lvlText w:val="(%1)"/>
      <w:numFmt w:val="lowerLetter"/>
      <w:start w:val="9"/>
    </w:lvl>
  </w:abstractNum>
  <w:abstractNum w:abstractNumId="79">
    <w:nsid w:val="76272110"/>
    <w:multiLevelType w:val="hybridMultilevel"/>
    <w:lvl w:ilvl="0">
      <w:lvlJc w:val="left"/>
      <w:lvlText w:val="(%1)"/>
      <w:numFmt w:val="lowerLetter"/>
      <w:start w:val="3"/>
    </w:lvl>
  </w:abstractNum>
  <w:abstractNum w:abstractNumId="80">
    <w:nsid w:val="4C04A8AF"/>
    <w:multiLevelType w:val="hybridMultilevel"/>
    <w:lvl w:ilvl="0">
      <w:lvlJc w:val="left"/>
      <w:lvlText w:val="(%1)"/>
      <w:numFmt w:val="lowerLetter"/>
      <w:start w:val="2"/>
    </w:lvl>
  </w:abstractNum>
  <w:abstractNum w:abstractNumId="81">
    <w:nsid w:val="1716703B"/>
    <w:multiLevelType w:val="hybridMultilevel"/>
    <w:lvl w:ilvl="0">
      <w:lvlJc w:val="left"/>
      <w:lvlText w:val="(%1)"/>
      <w:numFmt w:val="lowerLetter"/>
      <w:start w:val="1"/>
    </w:lvl>
  </w:abstractNum>
  <w:abstractNum w:abstractNumId="82">
    <w:nsid w:val="14E17E33"/>
    <w:multiLevelType w:val="hybridMultilevel"/>
    <w:lvl w:ilvl="0">
      <w:lvlJc w:val="left"/>
      <w:lvlText w:val="(%1)"/>
      <w:numFmt w:val="lowerLetter"/>
      <w:start w:val="2"/>
    </w:lvl>
  </w:abstractNum>
  <w:abstractNum w:abstractNumId="83">
    <w:nsid w:val="3222E7CD"/>
    <w:multiLevelType w:val="hybridMultilevel"/>
    <w:lvl w:ilvl="0">
      <w:lvlJc w:val="left"/>
      <w:lvlText w:val="(%1)"/>
      <w:numFmt w:val="lowerLetter"/>
      <w:start w:val="1"/>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1)"/>
      <w:numFmt w:val="lowerLetter"/>
      <w:start w:val="1"/>
    </w:lvl>
  </w:abstractNum>
  <w:abstractNum w:abstractNumId="86">
    <w:nsid w:val="2DF6D648"/>
    <w:multiLevelType w:val="hybridMultilevel"/>
    <w:lvl w:ilvl="0">
      <w:lvlJc w:val="left"/>
      <w:lvlText w:val="(%1)"/>
      <w:numFmt w:val="lowerLetter"/>
      <w:start w:val="3"/>
    </w:lvl>
  </w:abstractNum>
  <w:abstractNum w:abstractNumId="87">
    <w:nsid w:val="46B7D447"/>
    <w:multiLevelType w:val="hybridMultilevel"/>
    <w:lvl w:ilvl="0">
      <w:lvlJc w:val="left"/>
      <w:lvlText w:val="(%1)"/>
      <w:numFmt w:val="lowerLetter"/>
      <w:start w:val="1"/>
    </w:lvl>
  </w:abstractNum>
  <w:abstractNum w:abstractNumId="88">
    <w:nsid w:val="4A2AC315"/>
    <w:multiLevelType w:val="hybridMultilevel"/>
    <w:lvl w:ilvl="0">
      <w:lvlJc w:val="left"/>
      <w:lvlText w:val="(%1)"/>
      <w:numFmt w:val="lowerLetter"/>
      <w:start w:val="1"/>
    </w:lvl>
  </w:abstractNum>
  <w:abstractNum w:abstractNumId="89">
    <w:nsid w:val="39EE015C"/>
    <w:multiLevelType w:val="hybridMultilevel"/>
    <w:lvl w:ilvl="0">
      <w:lvlJc w:val="left"/>
      <w:lvlText w:val="(%1)"/>
      <w:numFmt w:val="lowerLetter"/>
      <w:start w:val="4"/>
    </w:lvl>
  </w:abstractNum>
  <w:abstractNum w:abstractNumId="90">
    <w:nsid w:val="57FC4FBB"/>
    <w:multiLevelType w:val="hybridMultilevel"/>
    <w:lvl w:ilvl="0">
      <w:lvlJc w:val="left"/>
      <w:lvlText w:val="(%1)"/>
      <w:numFmt w:val="lowerLetter"/>
      <w:start w:val="1"/>
    </w:lvl>
  </w:abstractNum>
  <w:abstractNum w:abstractNumId="91">
    <w:nsid w:val="CC1016F"/>
    <w:multiLevelType w:val="hybridMultilevel"/>
    <w:lvl w:ilvl="0">
      <w:lvlJc w:val="left"/>
      <w:lvlText w:val="(%1)"/>
      <w:numFmt w:val="lowerLetter"/>
      <w:start w:val="1"/>
    </w:lvl>
  </w:abstractNum>
  <w:abstractNum w:abstractNumId="92">
    <w:nsid w:val="43F18422"/>
    <w:multiLevelType w:val="hybridMultilevel"/>
    <w:lvl w:ilvl="0">
      <w:lvlJc w:val="left"/>
      <w:lvlText w:val="(%1)"/>
      <w:numFmt w:val="lowerLetter"/>
      <w:start w:val="5"/>
    </w:lvl>
  </w:abstractNum>
  <w:abstractNum w:abstractNumId="93">
    <w:nsid w:val="60EF011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2025-10-07T15:11:46Z</dcterms:created>
  <dcterms:modified xsi:type="dcterms:W3CDTF">2025-10-07T15:11:46Z</dcterms:modified>
</cp:coreProperties>
</file>