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Freeman Brenda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AVNET,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2211 S. 47TH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PHOENIX</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AZ</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85034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AVNET INC</w:t>
              </w:r>
            </w:hyperlink>
            <w:r>
              <w:rPr/>
              <w:t xml:space="preserve"> [ </w:t>
            </w:r>
            <w:r>
              <w:rPr>
                <w:rFonts w:ascii="Times;serif" w:hAnsi="Times;serif"/>
                <w:color w:val="0000FF"/>
                <w:sz w:val="24"/>
                <w:shd w:fill="FFFFFF" w:val="clear"/>
              </w:rPr>
              <w:t>AVT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738"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525"/>
        <w:gridCol w:w="276"/>
        <w:gridCol w:w="906"/>
        <w:gridCol w:w="801"/>
        <w:gridCol w:w="891"/>
        <w:gridCol w:w="636"/>
        <w:gridCol w:w="801"/>
        <w:gridCol w:w="936"/>
        <w:gridCol w:w="831"/>
        <w:gridCol w:w="846"/>
      </w:tblGrid>
      <w:tr>
        <w:trPr>
          <w:tblHeader w:val="true"/>
        </w:trPr>
        <w:tc>
          <w:tcPr>
            <w:tcW w:w="1173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525"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Phantom Stock Units</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133</w:t>
            </w:r>
            <w:r>
              <w:rPr>
                <w:rFonts w:ascii="Times;serif" w:hAnsi="Times;serif"/>
                <w:color w:val="008000"/>
                <w:position w:val="7"/>
                <w:sz w:val="16"/>
                <w:sz w:val="20"/>
                <w:shd w:fill="FFFFFF" w:val="clear"/>
              </w:rPr>
              <w:t>(2)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100.17</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36,326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Phantom Stock Unit ("PSU") equals one share of the Issuer's common stock, and will be settled in the Issuer's common stock after the reporting person leaves the Issuer's Board or upon change of control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PSUs acquired as a result of quarterly dividend.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Darrel S. Jackson,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53153" TargetMode="External"/><Relationship Id="rId5" Type="http://schemas.openxmlformats.org/officeDocument/2006/relationships/hyperlink" Target="http://www.sec.gov/cgi-bin/browse-edgar?action=getcompany&amp;CIK=00000088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616</Words>
  <Characters>3312</Characters>
  <CharactersWithSpaces>3856</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