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43" w:lineRule="exact"/>
        <w:rPr>
          <w:sz w:val="24"/>
          <w:szCs w:val="24"/>
          <w:color w:val="auto"/>
        </w:rPr>
      </w:pPr>
    </w:p>
    <w:p>
      <w:pPr>
        <w:ind w:left="3020"/>
        <w:spacing w:after="0"/>
        <w:rPr>
          <w:sz w:val="20"/>
          <w:szCs w:val="20"/>
          <w:color w:val="auto"/>
        </w:rPr>
      </w:pPr>
      <w:r>
        <w:rPr>
          <w:rFonts w:ascii="Arial" w:cs="Arial" w:eastAsia="Arial" w:hAnsi="Arial"/>
          <w:sz w:val="15"/>
          <w:szCs w:val="15"/>
          <w:b w:val="1"/>
          <w:bCs w:val="1"/>
          <w:color w:val="auto"/>
        </w:rPr>
        <w:t>As filed with the Securities and Exchange Commission on January 28, 2022</w:t>
      </w:r>
    </w:p>
    <w:p>
      <w:pPr>
        <w:jc w:val="right"/>
        <w:ind w:right="2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11430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45720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10"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UNITED STATES</w:t>
      </w:r>
    </w:p>
    <w:p>
      <w:pPr>
        <w:spacing w:after="0" w:line="11"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Washington, DC 20549</w:t>
      </w:r>
    </w:p>
    <w:p>
      <w:pPr>
        <w:spacing w:after="0" w:line="26" w:lineRule="exact"/>
        <w:rPr>
          <w:sz w:val="24"/>
          <w:szCs w:val="24"/>
          <w:color w:val="auto"/>
        </w:rPr>
      </w:pPr>
    </w:p>
    <w:p>
      <w:pPr>
        <w:ind w:left="4800"/>
        <w:spacing w:after="0"/>
        <w:rPr>
          <w:sz w:val="20"/>
          <w:szCs w:val="20"/>
          <w:color w:val="auto"/>
        </w:rPr>
      </w:pPr>
      <w:r>
        <w:rPr>
          <w:rFonts w:ascii="Arial" w:cs="Arial" w:eastAsia="Arial" w:hAnsi="Arial"/>
          <w:sz w:val="25"/>
          <w:szCs w:val="25"/>
          <w:b w:val="1"/>
          <w:bCs w:val="1"/>
          <w:color w:val="auto"/>
        </w:rPr>
        <w:t>FORM S-3</w:t>
      </w:r>
    </w:p>
    <w:p>
      <w:pPr>
        <w:sectPr>
          <w:pgSz w:w="11900" w:h="16838" w:orient="portrait"/>
          <w:cols w:equalWidth="0" w:num="1">
            <w:col w:w="10220"/>
          </w:cols>
          <w:pgMar w:left="580" w:top="239" w:right="1099" w:bottom="1440" w:gutter="0" w:footer="0" w:header="0"/>
        </w:sectPr>
      </w:pPr>
    </w:p>
    <w:p>
      <w:pPr>
        <w:spacing w:after="0" w:line="21" w:lineRule="exact"/>
        <w:rPr>
          <w:sz w:val="24"/>
          <w:szCs w:val="24"/>
          <w:color w:val="auto"/>
        </w:rPr>
      </w:pPr>
    </w:p>
    <w:p>
      <w:pPr>
        <w:jc w:val="center"/>
        <w:ind w:left="3780"/>
        <w:spacing w:after="0"/>
        <w:rPr>
          <w:sz w:val="20"/>
          <w:szCs w:val="20"/>
          <w:color w:val="auto"/>
        </w:rPr>
      </w:pPr>
      <w:r>
        <w:rPr>
          <w:rFonts w:ascii="Arial" w:cs="Arial" w:eastAsia="Arial" w:hAnsi="Arial"/>
          <w:sz w:val="15"/>
          <w:szCs w:val="15"/>
          <w:b w:val="1"/>
          <w:bCs w:val="1"/>
          <w:color w:val="auto"/>
        </w:rPr>
        <w:t>REGISTRATION STATEMENT</w:t>
      </w:r>
    </w:p>
    <w:p>
      <w:pPr>
        <w:jc w:val="center"/>
        <w:ind w:left="3780"/>
        <w:spacing w:after="0" w:line="206" w:lineRule="auto"/>
        <w:rPr>
          <w:sz w:val="20"/>
          <w:szCs w:val="20"/>
          <w:color w:val="auto"/>
        </w:rPr>
      </w:pPr>
      <w:r>
        <w:rPr>
          <w:rFonts w:ascii="Arial" w:cs="Arial" w:eastAsia="Arial" w:hAnsi="Arial"/>
          <w:sz w:val="15"/>
          <w:szCs w:val="15"/>
          <w:b w:val="1"/>
          <w:bCs w:val="1"/>
          <w:color w:val="auto"/>
        </w:rPr>
        <w:t>UNDER</w:t>
      </w:r>
    </w:p>
    <w:p>
      <w:pPr>
        <w:jc w:val="center"/>
        <w:ind w:left="3800"/>
        <w:spacing w:after="0"/>
        <w:rPr>
          <w:sz w:val="20"/>
          <w:szCs w:val="20"/>
          <w:color w:val="auto"/>
        </w:rPr>
      </w:pPr>
      <w:r>
        <w:rPr>
          <w:rFonts w:ascii="Arial" w:cs="Arial" w:eastAsia="Arial" w:hAnsi="Arial"/>
          <w:sz w:val="15"/>
          <w:szCs w:val="15"/>
          <w:b w:val="1"/>
          <w:bCs w:val="1"/>
          <w:color w:val="auto"/>
        </w:rPr>
        <w:t>THE SECURITIES ACT OF 1933</w:t>
      </w:r>
    </w:p>
    <w:p>
      <w:pPr>
        <w:spacing w:after="0" w:line="7" w:lineRule="exact"/>
        <w:rPr>
          <w:sz w:val="24"/>
          <w:szCs w:val="24"/>
          <w:color w:val="auto"/>
        </w:rPr>
      </w:pPr>
    </w:p>
    <w:p>
      <w:pPr>
        <w:jc w:val="center"/>
        <w:ind w:left="3800"/>
        <w:spacing w:after="0"/>
        <w:rPr>
          <w:sz w:val="20"/>
          <w:szCs w:val="20"/>
          <w:color w:val="auto"/>
        </w:rPr>
      </w:pPr>
      <w:r>
        <w:rPr>
          <w:rFonts w:ascii="Arial" w:cs="Arial" w:eastAsia="Arial" w:hAnsi="Arial"/>
          <w:sz w:val="25"/>
          <w:szCs w:val="25"/>
          <w:b w:val="1"/>
          <w:bCs w:val="1"/>
          <w:color w:val="auto"/>
        </w:rPr>
        <w:t>AVNET, INC.</w:t>
      </w:r>
    </w:p>
    <w:p>
      <w:pPr>
        <w:jc w:val="right"/>
        <w:spacing w:after="0"/>
        <w:rPr>
          <w:sz w:val="20"/>
          <w:szCs w:val="20"/>
          <w:color w:val="auto"/>
        </w:rPr>
      </w:pPr>
      <w:r>
        <w:rPr>
          <w:rFonts w:ascii="Arial" w:cs="Arial" w:eastAsia="Arial" w:hAnsi="Arial"/>
          <w:sz w:val="14"/>
          <w:szCs w:val="14"/>
          <w:color w:val="auto"/>
        </w:rPr>
        <w:t>(Exact name of registrant as specified in its charter)</w:t>
      </w:r>
    </w:p>
    <w:p>
      <w:pPr>
        <w:spacing w:after="0" w:line="44" w:lineRule="exact"/>
        <w:rPr>
          <w:sz w:val="24"/>
          <w:szCs w:val="24"/>
          <w:color w:val="auto"/>
        </w:rPr>
      </w:pPr>
    </w:p>
    <w:p>
      <w:pPr>
        <w:jc w:val="center"/>
        <w:ind w:right="1180"/>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EW</w:t>
      </w:r>
      <w:r>
        <w:rPr>
          <w:rFonts w:ascii="Arial" w:cs="Arial" w:eastAsia="Arial" w:hAnsi="Arial"/>
          <w:sz w:val="15"/>
          <w:szCs w:val="15"/>
          <w:b w:val="1"/>
          <w:bCs w:val="1"/>
          <w:color w:val="auto"/>
        </w:rPr>
        <w:t xml:space="preserve"> Y</w:t>
      </w:r>
      <w:r>
        <w:rPr>
          <w:rFonts w:ascii="Arial" w:cs="Arial" w:eastAsia="Arial" w:hAnsi="Arial"/>
          <w:sz w:val="10"/>
          <w:szCs w:val="10"/>
          <w:b w:val="1"/>
          <w:bCs w:val="1"/>
          <w:color w:val="auto"/>
        </w:rPr>
        <w:t>ORK</w:t>
      </w:r>
    </w:p>
    <w:p>
      <w:pPr>
        <w:spacing w:after="0" w:line="14" w:lineRule="exact"/>
        <w:rPr>
          <w:sz w:val="24"/>
          <w:szCs w:val="24"/>
          <w:color w:val="auto"/>
        </w:rPr>
      </w:pPr>
    </w:p>
    <w:p>
      <w:pPr>
        <w:ind w:left="1960"/>
        <w:spacing w:after="0"/>
        <w:rPr>
          <w:sz w:val="20"/>
          <w:szCs w:val="20"/>
          <w:color w:val="auto"/>
        </w:rPr>
      </w:pPr>
      <w:r>
        <w:rPr>
          <w:rFonts w:ascii="Arial" w:cs="Arial" w:eastAsia="Arial" w:hAnsi="Arial"/>
          <w:sz w:val="14"/>
          <w:szCs w:val="14"/>
          <w:color w:val="auto"/>
        </w:rPr>
        <w:t>(State or other jurisdiction of</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11-1890605</w:t>
      </w:r>
    </w:p>
    <w:p>
      <w:pPr>
        <w:ind w:left="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17" w:lineRule="exact"/>
        <w:rPr>
          <w:sz w:val="24"/>
          <w:szCs w:val="24"/>
          <w:color w:val="auto"/>
        </w:rPr>
      </w:pPr>
    </w:p>
    <w:p>
      <w:pPr>
        <w:sectPr>
          <w:pgSz w:w="11900" w:h="16838" w:orient="portrait"/>
          <w:cols w:equalWidth="0" w:num="2">
            <w:col w:w="6920" w:space="360"/>
            <w:col w:w="2940"/>
          </w:cols>
          <w:pgMar w:left="580" w:top="239" w:right="1099" w:bottom="1440" w:gutter="0" w:footer="0" w:header="0"/>
          <w:type w:val="continuous"/>
        </w:sectPr>
      </w:pPr>
    </w:p>
    <w:p>
      <w:pPr>
        <w:jc w:val="center"/>
        <w:ind w:right="-479"/>
        <w:spacing w:after="0"/>
        <w:rPr>
          <w:sz w:val="20"/>
          <w:szCs w:val="20"/>
          <w:color w:val="auto"/>
        </w:rPr>
      </w:pPr>
      <w:r>
        <w:rPr>
          <w:rFonts w:ascii="Arial" w:cs="Arial" w:eastAsia="Arial" w:hAnsi="Arial"/>
          <w:sz w:val="15"/>
          <w:szCs w:val="15"/>
          <w:b w:val="1"/>
          <w:bCs w:val="1"/>
          <w:color w:val="auto"/>
        </w:rPr>
        <w:t>2211 South 47th Street, Phoenix, AZ 85034</w:t>
      </w:r>
    </w:p>
    <w:p>
      <w:pPr>
        <w:jc w:val="center"/>
        <w:ind w:right="-479"/>
        <w:spacing w:after="0" w:line="206" w:lineRule="auto"/>
        <w:rPr>
          <w:sz w:val="20"/>
          <w:szCs w:val="20"/>
          <w:color w:val="auto"/>
        </w:rPr>
      </w:pPr>
      <w:r>
        <w:rPr>
          <w:rFonts w:ascii="Arial" w:cs="Arial" w:eastAsia="Arial" w:hAnsi="Arial"/>
          <w:sz w:val="15"/>
          <w:szCs w:val="15"/>
          <w:b w:val="1"/>
          <w:bCs w:val="1"/>
          <w:color w:val="auto"/>
        </w:rPr>
        <w:t>(480) 643-2000</w:t>
      </w:r>
    </w:p>
    <w:p>
      <w:pPr>
        <w:jc w:val="center"/>
        <w:ind w:right="-499"/>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6" w:lineRule="exact"/>
        <w:rPr>
          <w:sz w:val="24"/>
          <w:szCs w:val="24"/>
          <w:color w:val="auto"/>
        </w:rPr>
      </w:pPr>
    </w:p>
    <w:p>
      <w:pPr>
        <w:jc w:val="center"/>
        <w:ind w:right="-479"/>
        <w:spacing w:after="0"/>
        <w:rPr>
          <w:sz w:val="20"/>
          <w:szCs w:val="20"/>
          <w:color w:val="auto"/>
        </w:rPr>
      </w:pPr>
      <w:r>
        <w:rPr>
          <w:rFonts w:ascii="Arial" w:cs="Arial" w:eastAsia="Arial" w:hAnsi="Arial"/>
          <w:sz w:val="15"/>
          <w:szCs w:val="15"/>
          <w:b w:val="1"/>
          <w:bCs w:val="1"/>
          <w:color w:val="auto"/>
        </w:rPr>
        <w:t>Michael R. McCoy</w:t>
      </w:r>
    </w:p>
    <w:p>
      <w:pPr>
        <w:jc w:val="center"/>
        <w:ind w:right="-479"/>
        <w:spacing w:after="0" w:line="206" w:lineRule="auto"/>
        <w:rPr>
          <w:sz w:val="20"/>
          <w:szCs w:val="20"/>
          <w:color w:val="auto"/>
        </w:rPr>
      </w:pPr>
      <w:r>
        <w:rPr>
          <w:rFonts w:ascii="Arial" w:cs="Arial" w:eastAsia="Arial" w:hAnsi="Arial"/>
          <w:sz w:val="15"/>
          <w:szCs w:val="15"/>
          <w:b w:val="1"/>
          <w:bCs w:val="1"/>
          <w:color w:val="auto"/>
        </w:rPr>
        <w:t>Senior Vice President and General Counsel</w:t>
      </w:r>
    </w:p>
    <w:p>
      <w:pPr>
        <w:jc w:val="center"/>
        <w:ind w:right="-479"/>
        <w:spacing w:after="0" w:line="207" w:lineRule="auto"/>
        <w:rPr>
          <w:sz w:val="20"/>
          <w:szCs w:val="20"/>
          <w:color w:val="auto"/>
        </w:rPr>
      </w:pPr>
      <w:r>
        <w:rPr>
          <w:rFonts w:ascii="Arial" w:cs="Arial" w:eastAsia="Arial" w:hAnsi="Arial"/>
          <w:sz w:val="15"/>
          <w:szCs w:val="15"/>
          <w:b w:val="1"/>
          <w:bCs w:val="1"/>
          <w:color w:val="auto"/>
        </w:rPr>
        <w:t>2211 South 47th Street</w:t>
      </w:r>
    </w:p>
    <w:p>
      <w:pPr>
        <w:jc w:val="center"/>
        <w:ind w:right="-479"/>
        <w:spacing w:after="0" w:line="206" w:lineRule="auto"/>
        <w:rPr>
          <w:sz w:val="20"/>
          <w:szCs w:val="20"/>
          <w:color w:val="auto"/>
        </w:rPr>
      </w:pPr>
      <w:r>
        <w:rPr>
          <w:rFonts w:ascii="Arial" w:cs="Arial" w:eastAsia="Arial" w:hAnsi="Arial"/>
          <w:sz w:val="15"/>
          <w:szCs w:val="15"/>
          <w:b w:val="1"/>
          <w:bCs w:val="1"/>
          <w:color w:val="auto"/>
        </w:rPr>
        <w:t>Phoenix, AZ 85034</w:t>
      </w:r>
    </w:p>
    <w:p>
      <w:pPr>
        <w:jc w:val="center"/>
        <w:ind w:right="-479"/>
        <w:spacing w:after="0" w:line="207" w:lineRule="auto"/>
        <w:rPr>
          <w:sz w:val="20"/>
          <w:szCs w:val="20"/>
          <w:color w:val="auto"/>
        </w:rPr>
      </w:pPr>
      <w:r>
        <w:rPr>
          <w:rFonts w:ascii="Arial" w:cs="Arial" w:eastAsia="Arial" w:hAnsi="Arial"/>
          <w:sz w:val="15"/>
          <w:szCs w:val="15"/>
          <w:b w:val="1"/>
          <w:bCs w:val="1"/>
          <w:color w:val="auto"/>
        </w:rPr>
        <w:t>(480) 643-2000</w:t>
      </w:r>
    </w:p>
    <w:p>
      <w:pPr>
        <w:jc w:val="center"/>
        <w:ind w:right="-499"/>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41"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73" w:lineRule="exact"/>
        <w:rPr>
          <w:sz w:val="24"/>
          <w:szCs w:val="24"/>
          <w:color w:val="auto"/>
        </w:rPr>
      </w:pPr>
    </w:p>
    <w:p>
      <w:pPr>
        <w:ind w:left="500" w:right="560" w:firstLine="360"/>
        <w:spacing w:after="0" w:line="187"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6" w:lineRule="exact"/>
        <w:rPr>
          <w:sz w:val="24"/>
          <w:szCs w:val="24"/>
          <w:color w:val="auto"/>
        </w:rPr>
      </w:pPr>
    </w:p>
    <w:p>
      <w:pPr>
        <w:ind w:left="500" w:right="80" w:firstLine="360"/>
        <w:spacing w:after="0" w:line="187"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left="500" w:right="160" w:firstLine="360"/>
        <w:spacing w:after="0" w:line="187"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9" w:lineRule="exact"/>
        <w:rPr>
          <w:sz w:val="24"/>
          <w:szCs w:val="24"/>
          <w:color w:val="auto"/>
        </w:rPr>
      </w:pPr>
    </w:p>
    <w:p>
      <w:pPr>
        <w:ind w:left="500" w:right="100" w:firstLine="360"/>
        <w:spacing w:after="0" w:line="187" w:lineRule="exact"/>
        <w:rPr>
          <w:sz w:val="20"/>
          <w:szCs w:val="20"/>
          <w:color w:val="auto"/>
        </w:rPr>
      </w:pPr>
      <w:r>
        <w:rPr>
          <w:rFonts w:ascii="Arial" w:cs="Arial" w:eastAsia="Arial" w:hAnsi="Arial"/>
          <w:sz w:val="15"/>
          <w:szCs w:val="15"/>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left="500" w:right="340" w:firstLine="360"/>
        <w:spacing w:after="0" w:line="187"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 -effective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left="500" w:right="540" w:firstLine="360"/>
        <w:spacing w:after="0" w:line="187"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left="500" w:right="480" w:firstLine="3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500" w:type="dxa"/>
        <w:tblCellMar>
          <w:top w:w="0" w:type="dxa"/>
          <w:left w:w="0" w:type="dxa"/>
          <w:bottom w:w="0" w:type="dxa"/>
          <w:right w:w="0" w:type="dxa"/>
        </w:tblCellMar>
      </w:tblPr>
      <w:tr>
        <w:trPr>
          <w:trHeight w:val="171"/>
        </w:trPr>
        <w:tc>
          <w:tcPr>
            <w:tcW w:w="2140" w:type="dxa"/>
            <w:vAlign w:val="bottom"/>
          </w:tcPr>
          <w:p>
            <w:pPr>
              <w:spacing w:after="0" w:line="171" w:lineRule="exact"/>
              <w:rPr>
                <w:sz w:val="20"/>
                <w:szCs w:val="20"/>
                <w:color w:val="auto"/>
              </w:rPr>
            </w:pPr>
            <w:r>
              <w:rPr>
                <w:rFonts w:ascii="Arial" w:cs="Arial" w:eastAsia="Arial" w:hAnsi="Arial"/>
                <w:sz w:val="15"/>
                <w:szCs w:val="15"/>
                <w:color w:val="auto"/>
              </w:rPr>
              <w:t>Large Accelerated Filer</w:t>
            </w:r>
          </w:p>
        </w:tc>
        <w:tc>
          <w:tcPr>
            <w:tcW w:w="164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3340" w:type="dxa"/>
            <w:vAlign w:val="bottom"/>
          </w:tcPr>
          <w:p>
            <w:pPr>
              <w:ind w:left="1180"/>
              <w:spacing w:after="0" w:line="171" w:lineRule="exact"/>
              <w:rPr>
                <w:sz w:val="20"/>
                <w:szCs w:val="20"/>
                <w:color w:val="auto"/>
              </w:rPr>
            </w:pPr>
            <w:r>
              <w:rPr>
                <w:rFonts w:ascii="Arial" w:cs="Arial" w:eastAsia="Arial" w:hAnsi="Arial"/>
                <w:sz w:val="15"/>
                <w:szCs w:val="15"/>
                <w:color w:val="auto"/>
              </w:rPr>
              <w:t>Accelerated Filer</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5"/>
        </w:trPr>
        <w:tc>
          <w:tcPr>
            <w:tcW w:w="2140" w:type="dxa"/>
            <w:vAlign w:val="bottom"/>
          </w:tcPr>
          <w:p>
            <w:pPr>
              <w:spacing w:after="0"/>
              <w:rPr>
                <w:sz w:val="20"/>
                <w:szCs w:val="20"/>
                <w:color w:val="auto"/>
              </w:rPr>
            </w:pPr>
            <w:r>
              <w:rPr>
                <w:rFonts w:ascii="Arial" w:cs="Arial" w:eastAsia="Arial" w:hAnsi="Arial"/>
                <w:sz w:val="15"/>
                <w:szCs w:val="15"/>
                <w:color w:val="auto"/>
              </w:rPr>
              <w:t>Non-accelerated Filer</w:t>
            </w:r>
          </w:p>
        </w:tc>
        <w:tc>
          <w:tcPr>
            <w:tcW w:w="164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3340" w:type="dxa"/>
            <w:vAlign w:val="bottom"/>
          </w:tcPr>
          <w:p>
            <w:pPr>
              <w:ind w:left="1180"/>
              <w:spacing w:after="0"/>
              <w:rPr>
                <w:sz w:val="20"/>
                <w:szCs w:val="20"/>
                <w:color w:val="auto"/>
              </w:rPr>
            </w:pPr>
            <w:r>
              <w:rPr>
                <w:rFonts w:ascii="Arial" w:cs="Arial" w:eastAsia="Arial" w:hAnsi="Arial"/>
                <w:sz w:val="15"/>
                <w:szCs w:val="15"/>
                <w:color w:val="auto"/>
              </w:rPr>
              <w:t>Smaller Reporting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1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164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334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71" w:lineRule="exact"/>
        <w:rPr>
          <w:sz w:val="24"/>
          <w:szCs w:val="24"/>
          <w:color w:val="auto"/>
        </w:rPr>
      </w:pPr>
    </w:p>
    <w:p>
      <w:pPr>
        <w:ind w:left="500" w:right="80" w:firstLine="360"/>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 w:lineRule="exact"/>
        <w:rPr>
          <w:sz w:val="24"/>
          <w:szCs w:val="24"/>
          <w:color w:val="auto"/>
        </w:rPr>
      </w:pPr>
    </w:p>
    <w:p>
      <w:pPr>
        <w:ind w:left="3940"/>
        <w:spacing w:after="0"/>
        <w:rPr>
          <w:sz w:val="20"/>
          <w:szCs w:val="20"/>
          <w:color w:val="auto"/>
        </w:rPr>
      </w:pPr>
      <w:r>
        <w:rPr>
          <w:rFonts w:ascii="Arial" w:cs="Arial" w:eastAsia="Arial" w:hAnsi="Arial"/>
          <w:sz w:val="15"/>
          <w:szCs w:val="15"/>
          <w:b w:val="1"/>
          <w:bCs w:val="1"/>
          <w:color w:val="auto"/>
        </w:rPr>
        <w:t>CALCULATION OF REGISTRATION FEE</w:t>
      </w:r>
    </w:p>
    <w:p>
      <w:pPr>
        <w:spacing w:after="0" w:line="26"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3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340" w:type="dxa"/>
            <w:vAlign w:val="bottom"/>
            <w:tcBorders>
              <w:right w:val="single" w:sz="8" w:color="auto"/>
            </w:tcBorders>
            <w:vMerge w:val="restart"/>
          </w:tcPr>
          <w:p>
            <w:pPr>
              <w:ind w:left="1460"/>
              <w:spacing w:after="0"/>
              <w:rPr>
                <w:sz w:val="20"/>
                <w:szCs w:val="20"/>
                <w:color w:val="auto"/>
              </w:rPr>
            </w:pPr>
            <w:r>
              <w:rPr>
                <w:rFonts w:ascii="Arial" w:cs="Arial" w:eastAsia="Arial" w:hAnsi="Arial"/>
                <w:sz w:val="15"/>
                <w:szCs w:val="15"/>
                <w:b w:val="1"/>
                <w:bCs w:val="1"/>
                <w:color w:val="auto"/>
              </w:rPr>
              <w:t>Title of each class of</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8"/>
              </w:rPr>
              <w:t>Amount to be</w:t>
            </w:r>
          </w:p>
        </w:tc>
        <w:tc>
          <w:tcPr>
            <w:tcW w:w="15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5"/>
                <w:szCs w:val="15"/>
                <w:b w:val="1"/>
                <w:bCs w:val="1"/>
                <w:color w:val="auto"/>
                <w:w w:val="89"/>
              </w:rPr>
              <w:t>Proposed Maximum</w:t>
            </w:r>
          </w:p>
        </w:tc>
        <w:tc>
          <w:tcPr>
            <w:tcW w:w="15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5"/>
                <w:szCs w:val="15"/>
                <w:b w:val="1"/>
                <w:bCs w:val="1"/>
                <w:color w:val="auto"/>
                <w:w w:val="89"/>
              </w:rPr>
              <w:t>Proposed Maximum</w:t>
            </w:r>
          </w:p>
        </w:tc>
        <w:tc>
          <w:tcPr>
            <w:tcW w:w="12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7"/>
              </w:rPr>
              <w:t>Amount of</w:t>
            </w:r>
          </w:p>
        </w:tc>
        <w:tc>
          <w:tcPr>
            <w:tcW w:w="0" w:type="dxa"/>
            <w:vAlign w:val="bottom"/>
          </w:tcPr>
          <w:p>
            <w:pPr>
              <w:spacing w:after="0"/>
              <w:rPr>
                <w:sz w:val="1"/>
                <w:szCs w:val="1"/>
                <w:color w:val="auto"/>
              </w:rPr>
            </w:pPr>
          </w:p>
        </w:tc>
      </w:tr>
      <w:tr>
        <w:trPr>
          <w:trHeight w:val="149"/>
        </w:trPr>
        <w:tc>
          <w:tcPr>
            <w:tcW w:w="434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Aggregate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5"/>
                <w:szCs w:val="15"/>
                <w:b w:val="1"/>
                <w:bCs w:val="1"/>
                <w:color w:val="auto"/>
              </w:rPr>
              <w:t>securities to be Registered</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Registered</w:t>
            </w:r>
            <w:r>
              <w:rPr>
                <w:rFonts w:ascii="Arial" w:cs="Arial" w:eastAsia="Arial" w:hAnsi="Arial"/>
                <w:sz w:val="9"/>
                <w:szCs w:val="9"/>
                <w:b w:val="1"/>
                <w:bCs w:val="1"/>
                <w:color w:val="auto"/>
                <w:w w:val="88"/>
              </w:rPr>
              <w:t>(1)</w:t>
            </w:r>
          </w:p>
        </w:tc>
        <w:tc>
          <w:tcPr>
            <w:tcW w:w="15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5"/>
                <w:szCs w:val="15"/>
                <w:b w:val="1"/>
                <w:bCs w:val="1"/>
                <w:color w:val="auto"/>
                <w:w w:val="87"/>
              </w:rPr>
              <w:t>Per Unit</w:t>
            </w:r>
            <w:r>
              <w:rPr>
                <w:rFonts w:ascii="Arial" w:cs="Arial" w:eastAsia="Arial" w:hAnsi="Arial"/>
                <w:sz w:val="19"/>
                <w:szCs w:val="19"/>
                <w:b w:val="1"/>
                <w:bCs w:val="1"/>
                <w:color w:val="auto"/>
                <w:w w:val="87"/>
                <w:vertAlign w:val="superscript"/>
              </w:rPr>
              <w:t>(1)</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5"/>
                <w:szCs w:val="15"/>
                <w:b w:val="1"/>
                <w:bCs w:val="1"/>
                <w:color w:val="auto"/>
                <w:w w:val="87"/>
              </w:rPr>
              <w:t>Offering Price</w:t>
            </w:r>
            <w:r>
              <w:rPr>
                <w:rFonts w:ascii="Arial" w:cs="Arial" w:eastAsia="Arial" w:hAnsi="Arial"/>
                <w:sz w:val="19"/>
                <w:szCs w:val="19"/>
                <w:b w:val="1"/>
                <w:bCs w:val="1"/>
                <w:color w:val="auto"/>
                <w:w w:val="87"/>
                <w:vertAlign w:val="superscript"/>
              </w:rPr>
              <w:t>(1)</w:t>
            </w:r>
          </w:p>
        </w:tc>
        <w:tc>
          <w:tcPr>
            <w:tcW w:w="124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w w:val="88"/>
              </w:rPr>
              <w:t>Registration Fee</w:t>
            </w:r>
            <w:r>
              <w:rPr>
                <w:rFonts w:ascii="Arial" w:cs="Arial" w:eastAsia="Arial" w:hAnsi="Arial"/>
                <w:sz w:val="9"/>
                <w:szCs w:val="9"/>
                <w:b w:val="1"/>
                <w:bCs w:val="1"/>
                <w:color w:val="auto"/>
                <w:w w:val="88"/>
              </w:rPr>
              <w:t>(2)</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Debt Securities</w:t>
            </w:r>
          </w:p>
        </w:tc>
        <w:tc>
          <w:tcPr>
            <w:tcW w:w="1080" w:type="dxa"/>
            <w:vAlign w:val="bottom"/>
            <w:tcBorders>
              <w:bottom w:val="single" w:sz="8" w:color="auto"/>
              <w:right w:val="single" w:sz="8" w:color="auto"/>
            </w:tcBorders>
            <w:shd w:val="clear" w:color="auto" w:fill="CCEEFF"/>
          </w:tcPr>
          <w:p>
            <w:pPr>
              <w:spacing w:after="0"/>
              <w:rPr>
                <w:sz w:val="14"/>
                <w:szCs w:val="14"/>
                <w:color w:val="auto"/>
              </w:rPr>
            </w:pPr>
          </w:p>
        </w:tc>
        <w:tc>
          <w:tcPr>
            <w:tcW w:w="1520" w:type="dxa"/>
            <w:vAlign w:val="bottom"/>
            <w:tcBorders>
              <w:bottom w:val="single" w:sz="8" w:color="auto"/>
              <w:right w:val="single" w:sz="8" w:color="auto"/>
            </w:tcBorders>
            <w:shd w:val="clear" w:color="auto" w:fill="CCEEFF"/>
          </w:tcPr>
          <w:p>
            <w:pPr>
              <w:spacing w:after="0"/>
              <w:rPr>
                <w:sz w:val="14"/>
                <w:szCs w:val="14"/>
                <w:color w:val="auto"/>
              </w:rPr>
            </w:pPr>
          </w:p>
        </w:tc>
        <w:tc>
          <w:tcPr>
            <w:tcW w:w="1540" w:type="dxa"/>
            <w:vAlign w:val="bottom"/>
            <w:tcBorders>
              <w:bottom w:val="single" w:sz="8" w:color="auto"/>
              <w:right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Common Stock</w:t>
            </w:r>
          </w:p>
        </w:tc>
        <w:tc>
          <w:tcPr>
            <w:tcW w:w="10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Preferred Stock</w:t>
            </w:r>
          </w:p>
        </w:tc>
        <w:tc>
          <w:tcPr>
            <w:tcW w:w="1080" w:type="dxa"/>
            <w:vAlign w:val="bottom"/>
            <w:tcBorders>
              <w:bottom w:val="single" w:sz="8" w:color="auto"/>
              <w:right w:val="single" w:sz="8" w:color="auto"/>
            </w:tcBorders>
            <w:shd w:val="clear" w:color="auto" w:fill="CCEEFF"/>
          </w:tcPr>
          <w:p>
            <w:pPr>
              <w:spacing w:after="0"/>
              <w:rPr>
                <w:sz w:val="14"/>
                <w:szCs w:val="14"/>
                <w:color w:val="auto"/>
              </w:rPr>
            </w:pPr>
          </w:p>
        </w:tc>
        <w:tc>
          <w:tcPr>
            <w:tcW w:w="1520" w:type="dxa"/>
            <w:vAlign w:val="bottom"/>
            <w:tcBorders>
              <w:bottom w:val="single" w:sz="8" w:color="auto"/>
              <w:right w:val="single" w:sz="8" w:color="auto"/>
            </w:tcBorders>
            <w:shd w:val="clear" w:color="auto" w:fill="CCEEFF"/>
          </w:tcPr>
          <w:p>
            <w:pPr>
              <w:spacing w:after="0"/>
              <w:rPr>
                <w:sz w:val="14"/>
                <w:szCs w:val="14"/>
                <w:color w:val="auto"/>
              </w:rPr>
            </w:pPr>
          </w:p>
        </w:tc>
        <w:tc>
          <w:tcPr>
            <w:tcW w:w="1540" w:type="dxa"/>
            <w:vAlign w:val="bottom"/>
            <w:tcBorders>
              <w:bottom w:val="single" w:sz="8" w:color="auto"/>
              <w:right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Warrants</w:t>
            </w:r>
          </w:p>
        </w:tc>
        <w:tc>
          <w:tcPr>
            <w:tcW w:w="10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40" w:type="dxa"/>
            <w:vAlign w:val="bottom"/>
            <w:tcBorders>
              <w:bottom w:val="single" w:sz="8" w:color="auto"/>
              <w:right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Depositary Shares</w:t>
            </w:r>
            <w:r>
              <w:rPr>
                <w:rFonts w:ascii="Arial" w:cs="Arial" w:eastAsia="Arial" w:hAnsi="Arial"/>
                <w:sz w:val="19"/>
                <w:szCs w:val="19"/>
                <w:color w:val="auto"/>
                <w:vertAlign w:val="superscript"/>
              </w:rPr>
              <w:t>(3)</w:t>
            </w:r>
          </w:p>
        </w:tc>
        <w:tc>
          <w:tcPr>
            <w:tcW w:w="1080" w:type="dxa"/>
            <w:vAlign w:val="bottom"/>
            <w:tcBorders>
              <w:bottom w:val="single" w:sz="8" w:color="auto"/>
              <w:right w:val="single" w:sz="8" w:color="auto"/>
            </w:tcBorders>
            <w:shd w:val="clear" w:color="auto" w:fill="CCEEFF"/>
          </w:tcPr>
          <w:p>
            <w:pPr>
              <w:spacing w:after="0"/>
              <w:rPr>
                <w:sz w:val="15"/>
                <w:szCs w:val="15"/>
                <w:color w:val="auto"/>
              </w:rPr>
            </w:pPr>
          </w:p>
        </w:tc>
        <w:tc>
          <w:tcPr>
            <w:tcW w:w="1520" w:type="dxa"/>
            <w:vAlign w:val="bottom"/>
            <w:tcBorders>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Purchase Contracts</w:t>
            </w:r>
          </w:p>
        </w:tc>
        <w:tc>
          <w:tcPr>
            <w:tcW w:w="10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40" w:type="dxa"/>
            <w:vAlign w:val="bottom"/>
            <w:tcBorders>
              <w:bottom w:val="single" w:sz="8" w:color="auto"/>
              <w:right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Units</w:t>
            </w:r>
            <w:r>
              <w:rPr>
                <w:rFonts w:ascii="Arial" w:cs="Arial" w:eastAsia="Arial" w:hAnsi="Arial"/>
                <w:sz w:val="19"/>
                <w:szCs w:val="19"/>
                <w:color w:val="auto"/>
                <w:vertAlign w:val="superscript"/>
              </w:rPr>
              <w:t>(4)</w:t>
            </w:r>
          </w:p>
        </w:tc>
        <w:tc>
          <w:tcPr>
            <w:tcW w:w="1080" w:type="dxa"/>
            <w:vAlign w:val="bottom"/>
            <w:tcBorders>
              <w:bottom w:val="single" w:sz="8" w:color="auto"/>
              <w:right w:val="single" w:sz="8" w:color="auto"/>
            </w:tcBorders>
            <w:shd w:val="clear" w:color="auto" w:fill="CCEEFF"/>
          </w:tcPr>
          <w:p>
            <w:pPr>
              <w:spacing w:after="0"/>
              <w:rPr>
                <w:sz w:val="17"/>
                <w:szCs w:val="17"/>
                <w:color w:val="auto"/>
              </w:rPr>
            </w:pPr>
          </w:p>
        </w:tc>
        <w:tc>
          <w:tcPr>
            <w:tcW w:w="1520" w:type="dxa"/>
            <w:vAlign w:val="bottom"/>
            <w:tcBorders>
              <w:bottom w:val="single" w:sz="8" w:color="auto"/>
              <w:right w:val="single" w:sz="8" w:color="auto"/>
            </w:tcBorders>
            <w:shd w:val="clear" w:color="auto" w:fill="CCEEFF"/>
          </w:tcPr>
          <w:p>
            <w:pPr>
              <w:spacing w:after="0"/>
              <w:rPr>
                <w:sz w:val="17"/>
                <w:szCs w:val="17"/>
                <w:color w:val="auto"/>
              </w:rPr>
            </w:pPr>
          </w:p>
        </w:tc>
        <w:tc>
          <w:tcPr>
            <w:tcW w:w="154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4"/>
          <w:szCs w:val="24"/>
          <w:color w:val="auto"/>
        </w:rPr>
      </w:pPr>
    </w:p>
    <w:p>
      <w:pPr>
        <w:ind w:left="860" w:right="80" w:hanging="368"/>
        <w:spacing w:after="0" w:line="234" w:lineRule="auto"/>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Omitted pursuant to Form S-3 General Instruction II.E. An indeterminate amount of the securities of each identified class are being registered as may from time to time be offered hereunder at indeterminate prices, along with an indeterminate number of securities that may be issued upon exercise, settlement, exchange or conversion of securities offered or sold hereunder. Separate consideration may or may not be received for securities that are issuable upon exercise, settlement, exchange or conversion of other securities or that are issued in units or represented by depositary shares.</w:t>
      </w:r>
    </w:p>
    <w:p>
      <w:pPr>
        <w:spacing w:after="0" w:line="23" w:lineRule="exact"/>
        <w:rPr>
          <w:rFonts w:ascii="Arial" w:cs="Arial" w:eastAsia="Arial" w:hAnsi="Arial"/>
          <w:sz w:val="15"/>
          <w:szCs w:val="15"/>
          <w:color w:val="auto"/>
        </w:rPr>
      </w:pPr>
    </w:p>
    <w:p>
      <w:pPr>
        <w:ind w:left="860" w:right="200" w:hanging="368"/>
        <w:spacing w:after="0" w:line="291"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of 1933, as amended (the “Securities Act”), the registrant is deferring payment of all of the registration fee. Any registration fees will be paid subsequently on a pay-as-you-go basis in accordance with Rule 457(r).</w:t>
      </w:r>
    </w:p>
    <w:p>
      <w:pPr>
        <w:spacing w:after="0" w:line="1" w:lineRule="exact"/>
        <w:rPr>
          <w:rFonts w:ascii="Arial" w:cs="Arial" w:eastAsia="Arial" w:hAnsi="Arial"/>
          <w:sz w:val="14"/>
          <w:szCs w:val="14"/>
          <w:color w:val="auto"/>
        </w:rPr>
      </w:pPr>
    </w:p>
    <w:p>
      <w:pPr>
        <w:ind w:left="860" w:hanging="368"/>
        <w:spacing w:after="0"/>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Each depositary share will be issued under a depositary agreement and will be evidenced by a depositary receipt.</w:t>
      </w:r>
    </w:p>
    <w:p>
      <w:pPr>
        <w:spacing w:after="0" w:line="57" w:lineRule="exact"/>
        <w:rPr>
          <w:rFonts w:ascii="Arial" w:cs="Arial" w:eastAsia="Arial" w:hAnsi="Arial"/>
          <w:sz w:val="15"/>
          <w:szCs w:val="15"/>
          <w:color w:val="auto"/>
        </w:rPr>
      </w:pPr>
    </w:p>
    <w:p>
      <w:pPr>
        <w:ind w:left="860" w:hanging="368"/>
        <w:spacing w:after="0"/>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Any securities registered hereunder may be sold separately or as units with other securities registered hereunder.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53340</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78740</wp:posOffset>
            </wp:positionV>
            <wp:extent cx="618934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340360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9"/>
          <w:szCs w:val="29"/>
          <w:b w:val="1"/>
          <w:bCs w:val="1"/>
          <w:color w:val="auto"/>
        </w:rPr>
        <w:t>AVNET, INC.</w:t>
      </w:r>
    </w:p>
    <w:p>
      <w:pPr>
        <w:spacing w:after="0" w:line="132" w:lineRule="exact"/>
        <w:rPr>
          <w:sz w:val="20"/>
          <w:szCs w:val="20"/>
          <w:color w:val="auto"/>
        </w:rPr>
      </w:pPr>
    </w:p>
    <w:p>
      <w:pPr>
        <w:jc w:val="center"/>
        <w:ind w:right="-800"/>
        <w:spacing w:after="0"/>
        <w:rPr>
          <w:sz w:val="20"/>
          <w:szCs w:val="20"/>
          <w:color w:val="auto"/>
        </w:rPr>
      </w:pPr>
      <w:r>
        <w:rPr>
          <w:rFonts w:ascii="Arial" w:cs="Arial" w:eastAsia="Arial" w:hAnsi="Arial"/>
          <w:sz w:val="25"/>
          <w:szCs w:val="25"/>
          <w:b w:val="1"/>
          <w:bCs w:val="1"/>
          <w:color w:val="auto"/>
        </w:rPr>
        <w:t>DEBT SECURITIES</w:t>
      </w:r>
    </w:p>
    <w:p>
      <w:pPr>
        <w:jc w:val="center"/>
        <w:ind w:right="-800"/>
        <w:spacing w:after="0" w:line="180" w:lineRule="auto"/>
        <w:rPr>
          <w:sz w:val="20"/>
          <w:szCs w:val="20"/>
          <w:color w:val="auto"/>
        </w:rPr>
      </w:pPr>
      <w:r>
        <w:rPr>
          <w:rFonts w:ascii="Arial" w:cs="Arial" w:eastAsia="Arial" w:hAnsi="Arial"/>
          <w:sz w:val="25"/>
          <w:szCs w:val="25"/>
          <w:b w:val="1"/>
          <w:bCs w:val="1"/>
          <w:color w:val="auto"/>
        </w:rPr>
        <w:t>COMMON STOCK</w:t>
      </w:r>
    </w:p>
    <w:p>
      <w:pPr>
        <w:jc w:val="center"/>
        <w:ind w:right="-800"/>
        <w:spacing w:after="0" w:line="180" w:lineRule="auto"/>
        <w:rPr>
          <w:sz w:val="20"/>
          <w:szCs w:val="20"/>
          <w:color w:val="auto"/>
        </w:rPr>
      </w:pPr>
      <w:r>
        <w:rPr>
          <w:rFonts w:ascii="Arial" w:cs="Arial" w:eastAsia="Arial" w:hAnsi="Arial"/>
          <w:sz w:val="25"/>
          <w:szCs w:val="25"/>
          <w:b w:val="1"/>
          <w:bCs w:val="1"/>
          <w:color w:val="auto"/>
        </w:rPr>
        <w:t>PREFERRED STOCK</w:t>
      </w:r>
    </w:p>
    <w:p>
      <w:pPr>
        <w:jc w:val="center"/>
        <w:ind w:right="-800"/>
        <w:spacing w:after="0" w:line="180" w:lineRule="auto"/>
        <w:rPr>
          <w:sz w:val="20"/>
          <w:szCs w:val="20"/>
          <w:color w:val="auto"/>
        </w:rPr>
      </w:pPr>
      <w:r>
        <w:rPr>
          <w:rFonts w:ascii="Arial" w:cs="Arial" w:eastAsia="Arial" w:hAnsi="Arial"/>
          <w:sz w:val="25"/>
          <w:szCs w:val="25"/>
          <w:b w:val="1"/>
          <w:bCs w:val="1"/>
          <w:color w:val="auto"/>
        </w:rPr>
        <w:t>WARRANTS</w:t>
      </w:r>
    </w:p>
    <w:p>
      <w:pPr>
        <w:jc w:val="center"/>
        <w:ind w:right="-800"/>
        <w:spacing w:after="0" w:line="181" w:lineRule="auto"/>
        <w:rPr>
          <w:sz w:val="20"/>
          <w:szCs w:val="20"/>
          <w:color w:val="auto"/>
        </w:rPr>
      </w:pPr>
      <w:r>
        <w:rPr>
          <w:rFonts w:ascii="Arial" w:cs="Arial" w:eastAsia="Arial" w:hAnsi="Arial"/>
          <w:sz w:val="25"/>
          <w:szCs w:val="25"/>
          <w:b w:val="1"/>
          <w:bCs w:val="1"/>
          <w:color w:val="auto"/>
        </w:rPr>
        <w:t>DEPOSITARY SHARES</w:t>
      </w:r>
    </w:p>
    <w:p>
      <w:pPr>
        <w:jc w:val="center"/>
        <w:ind w:right="-800"/>
        <w:spacing w:after="0" w:line="180" w:lineRule="auto"/>
        <w:rPr>
          <w:sz w:val="20"/>
          <w:szCs w:val="20"/>
          <w:color w:val="auto"/>
        </w:rPr>
      </w:pPr>
      <w:r>
        <w:rPr>
          <w:rFonts w:ascii="Arial" w:cs="Arial" w:eastAsia="Arial" w:hAnsi="Arial"/>
          <w:sz w:val="25"/>
          <w:szCs w:val="25"/>
          <w:b w:val="1"/>
          <w:bCs w:val="1"/>
          <w:color w:val="auto"/>
        </w:rPr>
        <w:t>PURCHASE CONTRACTS</w:t>
      </w:r>
    </w:p>
    <w:p>
      <w:pPr>
        <w:spacing w:after="0" w:line="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UNITS</w:t>
      </w:r>
    </w:p>
    <w:p>
      <w:pPr>
        <w:spacing w:after="0" w:line="19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may from time to time offer to sell, together or separately, debt securities, common stock, preferred stock, warrants, depositary shares, purchase contracts or units. Each time we sell securities pursuant to this prospectus, we will provide a supplement to this prospectus that contains specific information about the offering and the specific terms of the securities offered. This prospectus may not be used to sell securities unless accompanied by a prospectus supplement. You should read this prospectus and the applicable prospectus supplement carefully before you invest.</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Avnet’s common stock is listed on The Nasdaq Global Select Market under the symbol “AVT.”</w:t>
      </w:r>
    </w:p>
    <w:p>
      <w:pPr>
        <w:spacing w:after="0" w:line="154" w:lineRule="exact"/>
        <w:rPr>
          <w:sz w:val="20"/>
          <w:szCs w:val="20"/>
          <w:color w:val="auto"/>
        </w:rPr>
      </w:pPr>
    </w:p>
    <w:p>
      <w:pPr>
        <w:ind w:left="1260" w:right="53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a number of risks. See “Risk Factors” on page </w:t>
      </w:r>
      <w:hyperlink w:anchor="page6">
        <w:r>
          <w:rPr>
            <w:rFonts w:ascii="Arial" w:cs="Arial" w:eastAsia="Arial" w:hAnsi="Arial"/>
            <w:sz w:val="18"/>
            <w:szCs w:val="18"/>
            <w:b w:val="1"/>
            <w:bCs w:val="1"/>
            <w:u w:val="single" w:color="auto"/>
            <w:color w:val="0000EE"/>
          </w:rPr>
          <w:t>4</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before you make your investment decision.</w:t>
      </w:r>
    </w:p>
    <w:p>
      <w:pPr>
        <w:spacing w:after="0" w:line="9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We may offer securities through an underwriting syndicate managed or co-managed by one or more underwriters or dealers, through agents or directly to purchasers. If required, the prospectus supplement for each offering of securities will describe the plan of distribution for that offering.</w:t>
      </w:r>
    </w:p>
    <w:p>
      <w:pPr>
        <w:spacing w:after="0" w:line="99" w:lineRule="exact"/>
        <w:rPr>
          <w:sz w:val="20"/>
          <w:szCs w:val="20"/>
          <w:color w:val="auto"/>
        </w:rPr>
      </w:pPr>
    </w:p>
    <w:p>
      <w:pPr>
        <w:ind w:left="1260" w:right="6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8" w:lineRule="exact"/>
        <w:rPr>
          <w:sz w:val="20"/>
          <w:szCs w:val="20"/>
          <w:color w:val="auto"/>
        </w:rPr>
      </w:pPr>
    </w:p>
    <w:p>
      <w:pPr>
        <w:ind w:left="1260" w:right="539" w:firstLine="360"/>
        <w:spacing w:after="0" w:line="317"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being registered hereby are unlawful, or if you are a person to whom it is unlawful to direct these types of activities, then any offer of such securities through this prospectus and the applicable supplement does not extend to you. The information contained in this document speaks only as of the date of this document and any information contained in a document incorporated by reference is accurate only as of the date of that incorporated document, unless the information specifically indicates that another date applies.</w:t>
      </w:r>
    </w:p>
    <w:p>
      <w:pPr>
        <w:spacing w:after="0" w:line="14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The date of this prospectus is 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2807970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8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10"/>
        </w:trPr>
        <w:tc>
          <w:tcPr>
            <w:tcW w:w="7880" w:type="dxa"/>
            <w:vAlign w:val="bottom"/>
            <w:gridSpan w:val="12"/>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220" w:type="dxa"/>
            <w:vAlign w:val="bottom"/>
            <w:gridSpan w:val="2"/>
            <w:shd w:val="clear" w:color="auto" w:fill="CCEEFF"/>
          </w:tcPr>
          <w:p>
            <w:pPr>
              <w:jc w:val="center"/>
              <w:ind w:left="32"/>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00" w:type="dxa"/>
            <w:vAlign w:val="bottom"/>
            <w:shd w:val="clear" w:color="auto" w:fill="CCEEFF"/>
          </w:tcPr>
          <w:p>
            <w:pPr>
              <w:spacing w:after="0"/>
              <w:rPr>
                <w:sz w:val="18"/>
                <w:szCs w:val="18"/>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220" w:type="dxa"/>
            <w:vAlign w:val="bottom"/>
            <w:gridSpan w:val="2"/>
          </w:tcPr>
          <w:p>
            <w:pPr>
              <w:jc w:val="center"/>
              <w:ind w:left="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100" w:type="dxa"/>
            <w:vAlign w:val="bottom"/>
          </w:tcPr>
          <w:p>
            <w:pPr>
              <w:spacing w:after="0"/>
              <w:rPr>
                <w:sz w:val="18"/>
                <w:szCs w:val="18"/>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880" w:type="dxa"/>
            <w:vAlign w:val="bottom"/>
            <w:gridSpan w:val="12"/>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INCORPORATION OF CERTAIN DOCUMENTS BY REFERENCE</w:t>
              </w:r>
            </w:hyperlink>
          </w:p>
        </w:tc>
        <w:tc>
          <w:tcPr>
            <w:tcW w:w="220" w:type="dxa"/>
            <w:vAlign w:val="bottom"/>
            <w:gridSpan w:val="2"/>
            <w:shd w:val="clear" w:color="auto" w:fill="CCEEFF"/>
          </w:tcPr>
          <w:p>
            <w:pPr>
              <w:jc w:val="center"/>
              <w:ind w:left="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100" w:type="dxa"/>
            <w:vAlign w:val="bottom"/>
            <w:shd w:val="clear" w:color="auto" w:fill="CCEEFF"/>
          </w:tcPr>
          <w:p>
            <w:pPr>
              <w:spacing w:after="0"/>
              <w:rPr>
                <w:sz w:val="18"/>
                <w:szCs w:val="18"/>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NOTICE REGARDING FORWARD-LOOKING STATEMENTS</w:t>
              </w:r>
            </w:hyperlink>
          </w:p>
        </w:tc>
        <w:tc>
          <w:tcPr>
            <w:tcW w:w="220" w:type="dxa"/>
            <w:vAlign w:val="bottom"/>
            <w:gridSpan w:val="2"/>
          </w:tcPr>
          <w:p>
            <w:pPr>
              <w:jc w:val="center"/>
              <w:ind w:left="32"/>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10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2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THE COMPANY</w:t>
              </w:r>
            </w:hyperlink>
          </w:p>
        </w:tc>
        <w:tc>
          <w:tcPr>
            <w:tcW w:w="6560" w:type="dxa"/>
            <w:vAlign w:val="bottom"/>
            <w:tcBorders>
              <w:bottom w:val="single" w:sz="8" w:color="CCEEFF"/>
            </w:tcBorders>
            <w:gridSpan w:val="9"/>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20" w:type="dxa"/>
            <w:vAlign w:val="bottom"/>
            <w:gridSpan w:val="2"/>
          </w:tcPr>
          <w:p>
            <w:pPr>
              <w:jc w:val="center"/>
              <w:ind w:left="32"/>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10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USE OF PROCEEDS</w:t>
              </w:r>
            </w:hyperlink>
          </w:p>
        </w:tc>
        <w:tc>
          <w:tcPr>
            <w:tcW w:w="6240" w:type="dxa"/>
            <w:vAlign w:val="bottom"/>
            <w:tcBorders>
              <w:bottom w:val="single" w:sz="8" w:color="CCEEFF"/>
            </w:tcBorders>
            <w:gridSpan w:val="8"/>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DESCRIPTION OF SECURITIES</w:t>
              </w:r>
            </w:hyperlink>
          </w:p>
        </w:tc>
        <w:tc>
          <w:tcPr>
            <w:tcW w:w="220" w:type="dxa"/>
            <w:vAlign w:val="bottom"/>
            <w:gridSpan w:val="2"/>
          </w:tcPr>
          <w:p>
            <w:pPr>
              <w:jc w:val="center"/>
              <w:ind w:left="32"/>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10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120" w:type="dxa"/>
            <w:vAlign w:val="bottom"/>
            <w:tcBorders>
              <w:bottom w:val="single" w:sz="8" w:color="0000EE"/>
            </w:tcBorders>
            <w:gridSpan w:val="5"/>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PLAN OF DISTRIBUTION</w:t>
              </w:r>
            </w:hyperlink>
          </w:p>
        </w:tc>
        <w:tc>
          <w:tcPr>
            <w:tcW w:w="5760" w:type="dxa"/>
            <w:vAlign w:val="bottom"/>
            <w:tcBorders>
              <w:bottom w:val="single" w:sz="8" w:color="CCEEFF"/>
            </w:tcBorders>
            <w:gridSpan w:val="7"/>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VALIDITY OF SECURITIES</w:t>
              </w:r>
            </w:hyperlink>
          </w:p>
        </w:tc>
        <w:tc>
          <w:tcPr>
            <w:tcW w:w="220" w:type="dxa"/>
            <w:vAlign w:val="bottom"/>
            <w:gridSpan w:val="2"/>
          </w:tcPr>
          <w:p>
            <w:pPr>
              <w:jc w:val="center"/>
              <w:ind w:left="32"/>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10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880" w:type="dxa"/>
            <w:vAlign w:val="bottom"/>
            <w:gridSpan w:val="12"/>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220" w:type="dxa"/>
            <w:vAlign w:val="bottom"/>
            <w:gridSpan w:val="2"/>
            <w:shd w:val="clear" w:color="auto" w:fill="CCEEFF"/>
          </w:tcPr>
          <w:p>
            <w:pPr>
              <w:jc w:val="center"/>
              <w:ind w:left="32"/>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10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-1868170</wp:posOffset>
            </wp:positionV>
            <wp:extent cx="4997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5902325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This prospectus is part of a registration statement filed with the Securities and Exchange Commission (“SEC”) using a “shelf” registration process. We may use this prospectus to sell any one or a combination of the securities described in this prospectus from time to time:</w:t>
      </w:r>
    </w:p>
    <w:p>
      <w:pPr>
        <w:spacing w:after="0" w:line="76"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57" w:lineRule="exact"/>
        <w:rPr>
          <w:rFonts w:ascii="Arial" w:cs="Arial" w:eastAsia="Arial" w:hAnsi="Arial"/>
          <w:sz w:val="18"/>
          <w:szCs w:val="18"/>
          <w:color w:val="auto"/>
        </w:rPr>
      </w:pPr>
    </w:p>
    <w:p>
      <w:pPr>
        <w:ind w:left="1720" w:hanging="100"/>
        <w:spacing w:after="0"/>
        <w:tabs>
          <w:tab w:leader="none" w:pos="1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This prospectus only provides you with a general description of the securities that we may offer. Each time we sell securities pursuant to this prospectus, we will describe in a prospectus supplement, which will be delivered with this prospectus, specific information about the offering and the terms of the particular securities offered. The prospectus supplement may also add, update or change the information contained in this prospectus. Before purchasing any securities, you should carefully read both this prospectus and the accompanying prospectus supplement and any free writing prospectus prepared by or on behalf of us, together with the additional information described under the heading “Where You Can Find More Information.”</w:t>
      </w:r>
    </w:p>
    <w:p>
      <w:pPr>
        <w:spacing w:after="0" w:line="11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For more detailed information about the securities, we urge you to read the exhibits to the registration statement. Those exhibits may be filed with the registration statement or incorporated by reference to our earlier SEC filings or in subsequent filings that we may make with the SEC under the Securities Exchange Act of 1934, as amended (the “Exchange Act”).</w:t>
      </w:r>
    </w:p>
    <w:p>
      <w:pPr>
        <w:spacing w:after="0" w:line="11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subsequent filings we make with the SEC that are incorporated by reference into the registration statement of which this prospectus is a part or by any other method as may then be permitted under applicable law, rules or regulations.</w:t>
      </w:r>
    </w:p>
    <w:p>
      <w:pPr>
        <w:spacing w:after="0" w:line="127" w:lineRule="exact"/>
        <w:rPr>
          <w:sz w:val="20"/>
          <w:szCs w:val="20"/>
          <w:color w:val="auto"/>
        </w:rPr>
      </w:pPr>
    </w:p>
    <w:p>
      <w:pPr>
        <w:jc w:val="both"/>
        <w:ind w:left="1260" w:right="639" w:firstLine="360"/>
        <w:spacing w:after="0" w:line="308" w:lineRule="auto"/>
        <w:rPr>
          <w:sz w:val="20"/>
          <w:szCs w:val="20"/>
          <w:color w:val="auto"/>
        </w:rPr>
      </w:pPr>
      <w:r>
        <w:rPr>
          <w:rFonts w:ascii="Arial" w:cs="Arial" w:eastAsia="Arial" w:hAnsi="Arial"/>
          <w:sz w:val="17"/>
          <w:szCs w:val="17"/>
          <w:color w:val="auto"/>
        </w:rPr>
        <w:t>When used in this prospectus, the terms “Avnet, Inc.,” the “Company,” “we,” “our” and “us” refer to Avnet, Inc. and its consolidated subsidiaries, unless otherwise specified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may be accessed through the SEC’s electronic data gathering, analysis and retrieval system, or EDGAR, via the SEC’s website at http://www.sec.gov and are available on our investor relations website at http://ir.avnet.com. Important information, including financial information, analyst presentations, financial news releases and other material information about us, is routinely posted on and accessible at http://ir.avnet.com</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information contained in or accessible from our website is neither incorporated into nor made part of this prospectus or any applicable prospectus supplement.</w:t>
      </w:r>
    </w:p>
    <w:p>
      <w:pPr>
        <w:spacing w:after="0" w:line="11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under the Securities Act of 1933, as amended (“Securities Act”). The registration statement contains additional information about us and the securities we may issue that is not included within this prospectus. Statements in this prospectus concerning any document we filed as an exhibit to the registration statement or that we otherwise filed with the SEC are not intended to be comprehensive and are qualified by reference to these filings and the exhibits attached thereto.</w:t>
      </w: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to those documents. The information incorporated by reference is an important part of this prospectus and any information we file later with the SEC will automatically update and supersede any inconsistent information in this prospectus and in our other SEC filings. We hereby incorporate by reference the following documents or information filed with the SEC (other than, in each case, documents or information deemed to have been furnished and not filed in accordance with SEC rules) and all documents subsequently filed with the SEC under Sections 13(a), 13(c), 14 or 15(d) of the Exchange Act after the date of this prospectus and, in the case of any particular offering of securities, before the termination of such offering:</w:t>
      </w:r>
    </w:p>
    <w:p>
      <w:pPr>
        <w:spacing w:after="0" w:line="88" w:lineRule="exact"/>
        <w:rPr>
          <w:sz w:val="20"/>
          <w:szCs w:val="20"/>
          <w:color w:val="auto"/>
        </w:rPr>
      </w:pPr>
    </w:p>
    <w:p>
      <w:pPr>
        <w:ind w:left="1800" w:right="839" w:hanging="180"/>
        <w:spacing w:after="0" w:line="263" w:lineRule="auto"/>
        <w:tabs>
          <w:tab w:leader="none" w:pos="1800" w:val="left"/>
        </w:tabs>
        <w:numPr>
          <w:ilvl w:val="0"/>
          <w:numId w:val="3"/>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Annual Report on Form 10-K for the fiscal year ended July 3, 2021, including the information</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specifically incorporated by reference into the Annual Report on Form 10-K from our definitive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proxy statement for the 2021 Annual Meeting of Shareholders;</w:t>
        </w:r>
      </w:hyperlink>
    </w:p>
    <w:p>
      <w:pPr>
        <w:spacing w:after="0" w:line="75"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3"/>
        </w:numPr>
        <w:rPr>
          <w:rFonts w:ascii="Arial" w:cs="Arial" w:eastAsia="Arial" w:hAnsi="Arial"/>
          <w:sz w:val="17"/>
          <w:szCs w:val="17"/>
          <w:color w:val="0000EE"/>
        </w:rPr>
      </w:pPr>
      <w:hyperlink r:id="rId18">
        <w:r>
          <w:rPr>
            <w:rFonts w:ascii="Arial" w:cs="Arial" w:eastAsia="Arial" w:hAnsi="Arial"/>
            <w:sz w:val="17"/>
            <w:szCs w:val="17"/>
            <w:u w:val="single" w:color="auto"/>
            <w:color w:val="0000EE"/>
          </w:rPr>
          <w:t>Quarterly Reports on Form 10-Q for the fiscal quarters ended October 2, 2021</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19">
        <w:r>
          <w:rPr>
            <w:rFonts w:ascii="Arial" w:cs="Arial" w:eastAsia="Arial" w:hAnsi="Arial"/>
            <w:sz w:val="17"/>
            <w:szCs w:val="17"/>
            <w:u w:val="single" w:color="auto"/>
            <w:color w:val="0000EE"/>
          </w:rPr>
          <w:t>January 1, 2022</w:t>
        </w:r>
      </w:hyperlink>
      <w:r>
        <w:rPr>
          <w:rFonts w:ascii="Arial" w:cs="Arial" w:eastAsia="Arial" w:hAnsi="Arial"/>
          <w:sz w:val="17"/>
          <w:szCs w:val="17"/>
          <w:color w:val="000000"/>
        </w:rPr>
        <w:t>;</w:t>
      </w:r>
    </w:p>
    <w:p>
      <w:pPr>
        <w:spacing w:after="0" w:line="128" w:lineRule="exact"/>
        <w:rPr>
          <w:rFonts w:ascii="Arial" w:cs="Arial" w:eastAsia="Arial" w:hAnsi="Arial"/>
          <w:sz w:val="17"/>
          <w:szCs w:val="17"/>
          <w:color w:val="0000EE"/>
        </w:rPr>
      </w:pPr>
    </w:p>
    <w:p>
      <w:pPr>
        <w:ind w:left="1800" w:right="939" w:hanging="180"/>
        <w:spacing w:after="0" w:line="277" w:lineRule="auto"/>
        <w:tabs>
          <w:tab w:leader="none" w:pos="180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20">
        <w:r>
          <w:rPr>
            <w:rFonts w:ascii="Arial" w:cs="Arial" w:eastAsia="Arial" w:hAnsi="Arial"/>
            <w:sz w:val="18"/>
            <w:szCs w:val="18"/>
            <w:u w:val="single" w:color="auto"/>
            <w:color w:val="0000EE"/>
          </w:rPr>
          <w:t>August 18,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August 25,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October 6,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3">
        <w:r>
          <w:rPr>
            <w:rFonts w:ascii="Arial" w:cs="Arial" w:eastAsia="Arial" w:hAnsi="Arial"/>
            <w:sz w:val="18"/>
            <w:szCs w:val="18"/>
            <w:u w:val="single" w:color="auto"/>
            <w:color w:val="0000EE"/>
          </w:rPr>
          <w:t>November 19,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jc w:val="both"/>
        <w:ind w:left="1800" w:right="499" w:hanging="180"/>
        <w:spacing w:after="0" w:line="263" w:lineRule="auto"/>
        <w:tabs>
          <w:tab w:leader="none" w:pos="1800" w:val="left"/>
        </w:tabs>
        <w:numPr>
          <w:ilvl w:val="0"/>
          <w:numId w:val="3"/>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the description of our common stock set forth in Exhibit 4.1 to our Annual Report on Form 10-K for</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the fiscal year ended June 29, 2019, and including any amendment or report filed for the purpose of</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updating such description.</w:t>
        </w:r>
      </w:hyperlink>
    </w:p>
    <w:p>
      <w:pPr>
        <w:spacing w:after="0" w:line="103" w:lineRule="exact"/>
        <w:rPr>
          <w:rFonts w:ascii="Arial" w:cs="Arial" w:eastAsia="Arial" w:hAnsi="Arial"/>
          <w:sz w:val="18"/>
          <w:szCs w:val="18"/>
          <w:u w:val="single" w:color="auto"/>
          <w:color w:val="0000EE"/>
        </w:rPr>
      </w:pPr>
    </w:p>
    <w:p>
      <w:pPr>
        <w:ind w:left="1260" w:right="459" w:firstLine="360"/>
        <w:spacing w:after="0" w:line="277" w:lineRule="auto"/>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03" w:lineRule="exact"/>
        <w:rPr>
          <w:rFonts w:ascii="Arial" w:cs="Arial" w:eastAsia="Arial" w:hAnsi="Arial"/>
          <w:sz w:val="18"/>
          <w:szCs w:val="18"/>
          <w:u w:val="single" w:color="auto"/>
          <w:color w:val="0000EE"/>
        </w:rPr>
      </w:pPr>
    </w:p>
    <w:p>
      <w:pPr>
        <w:ind w:left="4580"/>
        <w:spacing w:after="0"/>
        <w:rPr>
          <w:sz w:val="20"/>
          <w:szCs w:val="20"/>
          <w:color w:val="auto"/>
        </w:rPr>
      </w:pPr>
      <w:r>
        <w:rPr>
          <w:rFonts w:ascii="Arial" w:cs="Arial" w:eastAsia="Arial" w:hAnsi="Arial"/>
          <w:sz w:val="18"/>
          <w:szCs w:val="18"/>
          <w:color w:val="auto"/>
        </w:rPr>
        <w:t>Corporate Secretary</w:t>
      </w:r>
    </w:p>
    <w:p>
      <w:pPr>
        <w:spacing w:after="0" w:line="23" w:lineRule="exact"/>
        <w:rPr>
          <w:rFonts w:ascii="Arial" w:cs="Arial" w:eastAsia="Arial" w:hAnsi="Arial"/>
          <w:sz w:val="18"/>
          <w:szCs w:val="18"/>
          <w:u w:val="single" w:color="auto"/>
          <w:color w:val="0000EE"/>
        </w:rPr>
      </w:pPr>
    </w:p>
    <w:p>
      <w:pPr>
        <w:ind w:left="4920"/>
        <w:spacing w:after="0"/>
        <w:rPr>
          <w:sz w:val="20"/>
          <w:szCs w:val="20"/>
          <w:color w:val="auto"/>
        </w:rPr>
      </w:pPr>
      <w:r>
        <w:rPr>
          <w:rFonts w:ascii="Arial" w:cs="Arial" w:eastAsia="Arial" w:hAnsi="Arial"/>
          <w:sz w:val="18"/>
          <w:szCs w:val="18"/>
          <w:color w:val="auto"/>
        </w:rPr>
        <w:t>Avnet, Inc.</w:t>
      </w:r>
    </w:p>
    <w:p>
      <w:pPr>
        <w:spacing w:after="0" w:line="9" w:lineRule="exact"/>
        <w:rPr>
          <w:rFonts w:ascii="Arial" w:cs="Arial" w:eastAsia="Arial" w:hAnsi="Arial"/>
          <w:sz w:val="18"/>
          <w:szCs w:val="18"/>
          <w:u w:val="single" w:color="auto"/>
          <w:color w:val="0000EE"/>
        </w:rPr>
      </w:pPr>
    </w:p>
    <w:p>
      <w:pPr>
        <w:ind w:left="4480"/>
        <w:spacing w:after="0"/>
        <w:rPr>
          <w:sz w:val="20"/>
          <w:szCs w:val="20"/>
          <w:color w:val="auto"/>
        </w:rPr>
      </w:pPr>
      <w:r>
        <w:rPr>
          <w:rFonts w:ascii="Arial" w:cs="Arial" w:eastAsia="Arial" w:hAnsi="Arial"/>
          <w:sz w:val="18"/>
          <w:szCs w:val="18"/>
          <w:color w:val="auto"/>
        </w:rPr>
        <w:t>2211 South 47th Street</w:t>
      </w:r>
    </w:p>
    <w:p>
      <w:pPr>
        <w:spacing w:after="0" w:line="9" w:lineRule="exact"/>
        <w:rPr>
          <w:rFonts w:ascii="Arial" w:cs="Arial" w:eastAsia="Arial" w:hAnsi="Arial"/>
          <w:sz w:val="18"/>
          <w:szCs w:val="18"/>
          <w:u w:val="single" w:color="auto"/>
          <w:color w:val="0000EE"/>
        </w:rPr>
      </w:pPr>
    </w:p>
    <w:p>
      <w:pPr>
        <w:ind w:left="4420"/>
        <w:spacing w:after="0"/>
        <w:rPr>
          <w:sz w:val="20"/>
          <w:szCs w:val="20"/>
          <w:color w:val="auto"/>
        </w:rPr>
      </w:pPr>
      <w:r>
        <w:rPr>
          <w:rFonts w:ascii="Arial" w:cs="Arial" w:eastAsia="Arial" w:hAnsi="Arial"/>
          <w:sz w:val="18"/>
          <w:szCs w:val="18"/>
          <w:color w:val="auto"/>
        </w:rPr>
        <w:t>Phoenix, Arizona 85034</w:t>
      </w:r>
    </w:p>
    <w:p>
      <w:pPr>
        <w:spacing w:after="0" w:line="9" w:lineRule="exact"/>
        <w:rPr>
          <w:rFonts w:ascii="Arial" w:cs="Arial" w:eastAsia="Arial" w:hAnsi="Arial"/>
          <w:sz w:val="18"/>
          <w:szCs w:val="18"/>
          <w:u w:val="single" w:color="auto"/>
          <w:color w:val="0000EE"/>
        </w:rPr>
      </w:pPr>
    </w:p>
    <w:p>
      <w:pPr>
        <w:ind w:left="4780"/>
        <w:spacing w:after="0"/>
        <w:rPr>
          <w:sz w:val="20"/>
          <w:szCs w:val="20"/>
          <w:color w:val="auto"/>
        </w:rPr>
      </w:pPr>
      <w:r>
        <w:rPr>
          <w:rFonts w:ascii="Arial" w:cs="Arial" w:eastAsia="Arial" w:hAnsi="Arial"/>
          <w:sz w:val="18"/>
          <w:szCs w:val="18"/>
          <w:color w:val="auto"/>
        </w:rPr>
        <w:t>(480) 643-2000</w:t>
      </w:r>
    </w:p>
    <w:p>
      <w:pPr>
        <w:spacing w:after="0" w:line="143" w:lineRule="exact"/>
        <w:rPr>
          <w:rFonts w:ascii="Arial" w:cs="Arial" w:eastAsia="Arial" w:hAnsi="Arial"/>
          <w:sz w:val="18"/>
          <w:szCs w:val="18"/>
          <w:u w:val="single" w:color="auto"/>
          <w:color w:val="0000EE"/>
        </w:rPr>
      </w:pPr>
    </w:p>
    <w:p>
      <w:pPr>
        <w:ind w:left="1260" w:right="639" w:firstLine="360"/>
        <w:spacing w:after="0" w:line="263" w:lineRule="auto"/>
        <w:rPr>
          <w:sz w:val="20"/>
          <w:szCs w:val="20"/>
          <w:color w:val="auto"/>
        </w:rPr>
      </w:pPr>
      <w:r>
        <w:rPr>
          <w:rFonts w:ascii="Arial" w:cs="Arial" w:eastAsia="Arial" w:hAnsi="Arial"/>
          <w:sz w:val="18"/>
          <w:szCs w:val="18"/>
          <w:color w:val="auto"/>
        </w:rPr>
        <w:t>You should rely only on the information incorporated by reference or provided in this prospectus and the accompanying prospectus supplement. We have not authorized anyone else to provide you with additional or different information.</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78" w:lineRule="exact"/>
        <w:rPr>
          <w:rFonts w:ascii="Arial" w:cs="Arial" w:eastAsia="Arial" w:hAnsi="Arial"/>
          <w:sz w:val="18"/>
          <w:szCs w:val="18"/>
          <w:u w:val="single" w:color="auto"/>
          <w:color w:val="0000EE"/>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Some of the information included in this prospectus, the prospectus supplement applicable to each sale of securities offered pursuant to this prospectus and the documents we have incorporated by reference may include statements of our expectations, intentions, plans and beliefs that constitute “forward -looking statements” within the meaning of Section 27A of the Securities Act and Section 21E of the Exchange Act, and are intended to come within the safe harbor protection provided by those sections. These statements relate to future events or our future financial performance. We use words such as “anticipate,” “believe,” “could,” “estimate,” “expect,” “intend,” “may,” “plan,” “potential,” “predict,” “project,” “will,” “should” or other similar words to identify forward-looking statements. These forward-looking statements are subject to numerous assumptions, risks, and uncertainties, and actual results could differ materially. Any forward-looking statement speaks only as of the date on which the statement is made, and except as required by law we do not undertake any obligation to update any forward-looking statement to reflect events or circumstances that occur after the date on which the statement is made.</w:t>
      </w:r>
    </w:p>
    <w:p>
      <w:pPr>
        <w:spacing w:after="0" w:line="116"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Factors that could affect our future results of operations, and could cause those results or other outcomes to differ materially from those expressed or implied in the forward-looking statements include, but are not limited to, the following:</w:t>
      </w:r>
    </w:p>
    <w:p>
      <w:pPr>
        <w:spacing w:after="0" w:line="74" w:lineRule="exact"/>
        <w:rPr>
          <w:sz w:val="20"/>
          <w:szCs w:val="20"/>
          <w:color w:val="auto"/>
        </w:rPr>
      </w:pPr>
    </w:p>
    <w:p>
      <w:pPr>
        <w:ind w:left="1800" w:right="899" w:hanging="180"/>
        <w:spacing w:after="0" w:line="308"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and duration of the COVID-19 pandemic and its impact on global economic systems, access to financial markets, and our employees, operations, customers, and supply chain;</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industry down-cycle in semiconductors;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117"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international sales and operations, including risks relating to the ability to repatriate cash, foreign currency fluctuations, duties and taxes, and compliance with international and U.S. laws;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supply chain;</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of our distribution centers, shipping costs, third-party service providers, customers and suppliers, including as a result of issues caused by natural and weather-related disasters, pandemics and health related crisis, or warehouse modernization and relocation efforts;</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cyber-attacks, other privacy and security incidents and information systems failures, including related to current or future implementations, integrations or upgrades;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foreign and global) affecting our operations and financial performance and, indirectly, our credit ratings, debt covenant compliance, liquidity, and access to financing;</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employee retention and hiring;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events;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or regulatory changes affecting our businesses.</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We are a global technology distributor and solutions company that supports customers at every stage of the product lifecycle, from idea to design and prototype to production. Our unique position at the center of the technology value chain enables us to accelerate the design and supply stages of product development so customers can realize revenue faster. Founded in 1921 and incorporated in New York in 1955, we work with suppliers in every major technology segment to serve 2.1 million customers in more than 140 countries.</w:t>
      </w:r>
    </w:p>
    <w:p>
      <w:pPr>
        <w:spacing w:after="0" w:line="106" w:lineRule="exact"/>
        <w:rPr>
          <w:sz w:val="20"/>
          <w:szCs w:val="20"/>
          <w:color w:val="auto"/>
        </w:rPr>
      </w:pPr>
    </w:p>
    <w:p>
      <w:pPr>
        <w:ind w:left="1260" w:right="619" w:firstLine="360"/>
        <w:spacing w:after="0" w:line="270" w:lineRule="auto"/>
        <w:rPr>
          <w:sz w:val="20"/>
          <w:szCs w:val="20"/>
          <w:color w:val="auto"/>
        </w:rPr>
      </w:pPr>
      <w:r>
        <w:rPr>
          <w:rFonts w:ascii="Arial" w:cs="Arial" w:eastAsia="Arial" w:hAnsi="Arial"/>
          <w:sz w:val="17"/>
          <w:szCs w:val="17"/>
          <w:color w:val="auto"/>
        </w:rPr>
        <w:t>For a century, we have helped our customers and suppliers realize the transformative possibilities of technology while continually expanding the breadth and depth of our capabilities. We can support every stage of the electronic product lifecycle and serve a wide range of customers: from startups and mid-sized</w:t>
      </w: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businesses to enterprise-level original equipment manufacturers (OEMs), electronic manufacturing services (EMS) providers and original design manufacturers (ODMs)</w:t>
      </w:r>
    </w:p>
    <w:p>
      <w:pPr>
        <w:spacing w:after="0" w:line="90"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Our principal executive offices are located at 2211 South 47th Street, Phoenix, Arizona 85034, telephone (480) 643-2000. Our website address is http://www.avnet.com. The information contained on, or that can be accessed through, our website is not part of this prospectus.</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Investing in our securities involves risks. Before you invest in our securities, you should carefully consider the risk factors described in our most recent Annual Report on Form 10-K, in subsequently filed Quarterly Reports on Form 10-Q and Current Reports on Form 8-K, and in any applicable prospectus supplement, as well as the risks described in “Management’s Discussion and Analysis of Financial Condition and Results of Operations” and cautionary notes regarding forward-looking statements included or incorporated by reference herein, together with all other information included or incorporated by reference in this prospectus and any applicable prospectus supplement. These risks could materially affect our business, results of operations or financial condition and cause the value of our securities to decline. You could lose all or part of your investment.</w:t>
      </w:r>
    </w:p>
    <w:p>
      <w:pPr>
        <w:spacing w:after="0" w:line="1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7"/>
          <w:szCs w:val="17"/>
          <w:color w:val="auto"/>
        </w:rPr>
        <w:t>Unless the applicable prospectus supplement indicates otherwise, we intend to use net proceeds from the sale of the securities for our general corporate purposes, which may include the refinancing of existing debt, capital expenditures, acquisitions, repurchases of our common stock and working capital. We may temporarily invest funds that are not immediately needed for these purposes in short-term securities.</w:t>
      </w:r>
    </w:p>
    <w:p>
      <w:pPr>
        <w:spacing w:after="0" w:line="16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will describe the material terms of any securities to be offered in one or more supplements to this prospectus. Debt securities offered under this prospectus will be governed by a document called an “Indenture.” Unless we specify otherwise in the applicable prospectus supplement, the debt securities will be issued under an Indenture, dated as of June 22, 2010, between us and Wells Fargo Bank, National Association, which acts as Trustee. In addition to the material terms of the Indenture described in the applicable prospectus supplement, you are urged to review the Indenture, which is incorporated by reference as an exhibit to the registration statement of which this prospectus is a part.</w:t>
      </w:r>
    </w:p>
    <w:p>
      <w:pPr>
        <w:spacing w:after="0" w:line="18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sell the offered securities:</w:t>
      </w:r>
    </w:p>
    <w:p>
      <w:pPr>
        <w:spacing w:after="0" w:line="117"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a number of direct sales or auctions performed by utilizing the Internet or a bidding or ordering system.</w:t>
      </w:r>
    </w:p>
    <w:p>
      <w:pPr>
        <w:spacing w:after="0" w:line="8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may distribute the securities from time to time in one or more transactions at a fixed price or prices, which may be changed, or at market prices prevailing at the time of sale, at prices related to the prevailing market prices or at negotiated prices.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If we use underwriters or dealers in the sale of offered securities, such underwriters or dealers will acquire the securities for their own account. The underwriters or dealers may resell the securities in one or more transactions, including negotiated transactions, at a fixed public offering price or at varying prices determined at the time of sale. The obligations of the underwriters or dealers to purchase the securities will be subject to certain conditions. The underwriters or dealers will be obligated to purchase all the securities of</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63" w:lineRule="auto"/>
        <w:rPr>
          <w:sz w:val="20"/>
          <w:szCs w:val="20"/>
          <w:color w:val="auto"/>
        </w:rPr>
      </w:pPr>
      <w:r>
        <w:rPr>
          <w:rFonts w:ascii="Arial" w:cs="Arial" w:eastAsia="Arial" w:hAnsi="Arial"/>
          <w:sz w:val="18"/>
          <w:szCs w:val="18"/>
          <w:color w:val="auto"/>
        </w:rPr>
        <w:t>the series offered if any of the securities are purchased. The underwriters or dealers may change from time to time any initial public offering price and any discounts or concessions allowed or re-allowed or paid to dealers.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 Through Agents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may sell offered securities through agents designated by us. Unless indicated in the applicable prospectus supplement, the agents will agree to use their reasonable best efforts to solicit purchases for the period of their appointment.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 Sales</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We may also sell offered securities directly to the public. In this case, no underwriters or agents would be involved.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 Through the Internet</w:t>
      </w:r>
    </w:p>
    <w:p>
      <w:pPr>
        <w:spacing w:after="0" w:line="162"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We may from time to time offer securities directly to the public, with or without the involvement of agents, underwriters or dealers, and may utilize the Internet or another electronic bidding or ordering system for the pricing and allocation of such securities. Such a system may allow bidders to directly participate, through electronic access to an auction site, by submitting conditional offers to buy that are subject to acceptance by us, and which may directly affect the price or other terms at which such securities are sold.</w:t>
      </w:r>
    </w:p>
    <w:p>
      <w:pPr>
        <w:spacing w:after="0" w:line="95"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Such a bidding or ordering system may present to each bidder, on a real-time basis, relevant information to assist the bidder in making a bid, such as the clearing spread at which the offering would be sold, based on the bids submitted, and whether a bidder’s individual bids would be accepted, prorated or rejected. Typically the clearing spread will be indicated as a number of basis points above an index treasury note. Other pricing methods may also be used. Upon completion of such an auction process, securities will be allocated based on prices bid, terms of bid or other factors.</w:t>
      </w:r>
    </w:p>
    <w:p>
      <w:pPr>
        <w:spacing w:after="0" w:line="12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final offering price at which securities would be sold and the allocation of securities among bidders, would be based in whole or in part on the results of the Internet bidding process or auction. Many variations of Internet auction or pricing and allocation systems are likely to be developed in the future, and we may utilize such systems in connection with the sale of securities. The specific rules of such an auction would be distributed to potential bidders in an applicable prospectus supplement.</w:t>
      </w:r>
    </w:p>
    <w:p>
      <w:pPr>
        <w:spacing w:after="0" w:line="120"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If an offering is made using such bidding or ordering system you should review the auction rules, as described in the applicable prospectus supplement, for a more detailed description of such offering procedures.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Information</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offered securities may be underwriters as defined in the Securities Act, and any discounts or commissions received by them from us and any profit on the resale of the offered securities by them may be treated as underwriting discounts and commissions under the Securities Act. We will identify any underwriters, dealers or agents, and describe their compensation, in the applicable prospectus supplement.</w:t>
      </w:r>
    </w:p>
    <w:p>
      <w:pPr>
        <w:spacing w:after="0" w:line="120"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We may have agreements with the underwriters, dealers and agents to indemnify them against certain civil liabilities, including liabilities under the Securities Act, or to contribute with respect to payments which the underwriters, dealers or agents may be required to make. Underwriters, dealers and agents may engage in transactions with, or perform services for, us or our subsidiaries in the ordinary course of their businesses.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VALIDITY OF SECURITIES</w:t>
      </w:r>
    </w:p>
    <w:p>
      <w:pPr>
        <w:spacing w:after="0" w:line="162"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The validity of any offered securities will be passed upon for us by Michael R. McCoy, Esq., General Counsel of Avnet, Inc. Mr. McCoy is the beneficial owner of less than 1% of our outstanding shares of</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common stock. Certain legal matters with respect to the offered securities will be passed upon for the underwriters, dealers or agents, if any, by their counsel.</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539" w:firstLine="360"/>
        <w:spacing w:after="0" w:line="273" w:lineRule="auto"/>
        <w:rPr>
          <w:rFonts w:ascii="Arial" w:cs="Arial" w:eastAsia="Arial" w:hAnsi="Arial"/>
          <w:sz w:val="17"/>
          <w:szCs w:val="17"/>
          <w:color w:val="0000EE"/>
        </w:rPr>
      </w:pPr>
      <w:r>
        <w:rPr>
          <w:rFonts w:ascii="Arial" w:cs="Arial" w:eastAsia="Arial" w:hAnsi="Arial"/>
          <w:sz w:val="17"/>
          <w:szCs w:val="17"/>
          <w:color w:val="auto"/>
        </w:rPr>
        <w:t xml:space="preserve">Our consolidated financial statements and financial statement Schedule II as of July 3, 2021 and for each of the years in the three-year period ended July 3, 2021, and management’s assessment of the </w:t>
      </w:r>
      <w:hyperlink r:id="rId17">
        <w:r>
          <w:rPr>
            <w:rFonts w:ascii="Arial" w:cs="Arial" w:eastAsia="Arial" w:hAnsi="Arial"/>
            <w:sz w:val="17"/>
            <w:szCs w:val="17"/>
            <w:color w:val="auto"/>
          </w:rPr>
          <w:t xml:space="preserve">effectiveness of internal control over financial reporting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17">
        <w:r>
          <w:rPr>
            <w:rFonts w:ascii="Arial" w:cs="Arial" w:eastAsia="Arial" w:hAnsi="Arial"/>
            <w:sz w:val="17"/>
            <w:szCs w:val="17"/>
            <w:u w:val="single" w:color="auto"/>
            <w:color w:val="0000EE"/>
          </w:rPr>
          <w:t>the fiscal year ended July 3, 2021</w:t>
        </w:r>
        <w:r>
          <w:rPr>
            <w:rFonts w:ascii="Arial" w:cs="Arial" w:eastAsia="Arial" w:hAnsi="Arial"/>
            <w:sz w:val="17"/>
            <w:szCs w:val="17"/>
            <w:color w:val="0000EE"/>
          </w:rPr>
          <w:t xml:space="preserve"> </w:t>
        </w:r>
        <w:r>
          <w:rPr>
            <w:rFonts w:ascii="Arial" w:cs="Arial" w:eastAsia="Arial" w:hAnsi="Arial"/>
            <w:sz w:val="17"/>
            <w:szCs w:val="17"/>
            <w:color w:val="000000"/>
          </w:rPr>
          <w:t>have been incorporated by reference herein and in the registration</w:t>
        </w:r>
      </w:hyperlink>
      <w:r>
        <w:rPr>
          <w:rFonts w:ascii="Arial" w:cs="Arial" w:eastAsia="Arial" w:hAnsi="Arial"/>
          <w:sz w:val="17"/>
          <w:szCs w:val="17"/>
          <w:color w:val="0000EE"/>
        </w:rPr>
        <w:t xml:space="preserve"> </w:t>
      </w:r>
      <w:r>
        <w:rPr>
          <w:rFonts w:ascii="Arial" w:cs="Arial" w:eastAsia="Arial" w:hAnsi="Arial"/>
          <w:sz w:val="17"/>
          <w:szCs w:val="17"/>
          <w:color w:val="000000"/>
        </w:rPr>
        <w:t>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4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 sets forth the estimated fees and expenses payable by us in connection with the registration of the securities registered hereby:</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Trustees’ and transfer agents’ fees</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printing and engraving</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 (including blue sky fees)</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60" w:type="dxa"/>
            <w:vAlign w:val="bottom"/>
          </w:tcPr>
          <w:p>
            <w:pPr>
              <w:spacing w:after="0"/>
              <w:rPr>
                <w:sz w:val="22"/>
                <w:szCs w:val="22"/>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94"/>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34" w:lineRule="exact"/>
        <w:rPr>
          <w:sz w:val="20"/>
          <w:szCs w:val="20"/>
          <w:color w:val="auto"/>
        </w:rPr>
      </w:pPr>
    </w:p>
    <w:p>
      <w:pPr>
        <w:ind w:left="1620" w:right="779" w:hanging="36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Rule 456(b) and 457(r), we are deferring payment of the registration fee for the securities being registered hereby.</w:t>
      </w:r>
    </w:p>
    <w:p>
      <w:pPr>
        <w:spacing w:after="0" w:line="35" w:lineRule="exact"/>
        <w:rPr>
          <w:sz w:val="20"/>
          <w:szCs w:val="20"/>
          <w:color w:val="auto"/>
        </w:rPr>
      </w:pPr>
    </w:p>
    <w:p>
      <w:pPr>
        <w:ind w:left="1620" w:right="439" w:hanging="360"/>
        <w:spacing w:after="0" w:line="259"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an indeterminate amount of securities is covered by this registration statement, the expenses in connection with the issuance and distribution of the securities are not currently determinable. The estimate of such expenses in connection with securities offered and sold pursuant to this registration statement will be included in the prospectus supplement.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4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Section 721 of the New York Business Corporation Law (the “NYBCL”) provides that indemnification and advancement of expenses granted pursuant to the NYBCL are not exclusive of any other rights to indemnification and advancement of expenses that a corporation may grant to a director or officer through its certificate of incorporation or by-laws or, when authorized by such certificate of incorporation or by-laws, by a duly authorized resolution of its shareowners or directors or by agreement,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w:t>
      </w:r>
    </w:p>
    <w:p>
      <w:pPr>
        <w:spacing w:after="0" w:line="11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Section 722(a) of the NYBCL provides that a corporation may indemnify a director or officer made, or threatened to be made, a party to any action or proceeding (other than one by or in the right of the corporation to procure a judgment in its favor), whether civil or criminal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for any other enterprise, not opposed to, the best interests of the corporation and, in criminal actions or proceedings, in addition, had no reasonable cause to believe that his conduct was unlawful.</w:t>
      </w:r>
    </w:p>
    <w:p>
      <w:pPr>
        <w:spacing w:after="0" w:line="12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Section 722(c) of the NYBCL provides that a corporation may indemnify a director or officer, made or threatened to be made a party in a derivative action, against amounts paid in settlement and reasonable expenses, including attorneys’ fees, actually and necessarily incurred by him in connection with the defense or settlement of such action, or in connection with an appeal therein, if such director or officer acted, in good faith, for a purpose which he reasonably believed to be in, or, in the case of service for any other enterprise, not opposed to, the best interests of the corporation, except that no indemnification will be available in respect of (1) a threatened or pending action which is settled or otherwise disposed of, or</w:t>
      </w:r>
    </w:p>
    <w:p>
      <w:pPr>
        <w:spacing w:after="0" w:line="4" w:lineRule="exact"/>
        <w:rPr>
          <w:sz w:val="20"/>
          <w:szCs w:val="20"/>
          <w:color w:val="auto"/>
        </w:rPr>
      </w:pPr>
    </w:p>
    <w:p>
      <w:pPr>
        <w:ind w:left="1260" w:right="439"/>
        <w:spacing w:after="0" w:line="253" w:lineRule="auto"/>
        <w:tabs>
          <w:tab w:leader="none" w:pos="152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claim, issue or matter as to which such director or officer shall have been adjudged liable to the corporation, unless and only to the extent that the court in which the action was brought, or, if no action was brought, any court of competent jurisdiction, determines upon application that, in view of all the circumstances of the case, the</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color w:val="auto"/>
        </w:rPr>
        <w:t>director or officer is fairly and reasonably entitled to indemnity for such portion of the settlement amount and expenses as the court deems proper.</w:t>
      </w:r>
    </w:p>
    <w:p>
      <w:pPr>
        <w:spacing w:after="0" w:line="9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Section 723 of the NYBCL specifies the manner in which payment of indemnification under Section 722 of the NYBCL or indemnification permitted under Section 721 of the NYBCL may be authorized by the corporation. It provides that indemnification by a corporation is mandatory in any case in which the director or officer has been successful, whether on the merits or otherwise, in defending an action. In the event that the director or officer has not been successful or the action is settled, indemnification must be authorized by the appropriate corporate action as set forth in Section 723. Section 724 of the NYBCL provides that, upon application by a director or officer, indemnification may be awarded by a court to the extent authorized under Section 722 and Section 723 of the NYBCL.</w:t>
      </w:r>
    </w:p>
    <w:p>
      <w:pPr>
        <w:spacing w:after="0" w:line="12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Subject to certain limitations, Section 726 of the NYBCL authorizes a corporation to purchase and maintain insurance to indemnify (1) the corporation for any obligation that it incurs as a result of the indemnification of directors and officers under the provisions of Article 7 of the NYBCL, (2) directors and officers in instances in which they may be indemnified by a corporation under the provisions of Article 7 of the NYBCL, and (3) directors and officers in instances in which they may not otherwise be indemnified by a corporation under Article 7 of the NYBCL, provided the contract of insurance covering such directors and officers provides, in a manner acceptable to the superintendent of financial services, for a retention amount and for co-insurance.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Article VIII of our Restated Certificate of Incorporation provides as follows:</w:t>
      </w:r>
    </w:p>
    <w:p>
      <w:pPr>
        <w:spacing w:after="0" w:line="144" w:lineRule="exact"/>
        <w:rPr>
          <w:sz w:val="20"/>
          <w:szCs w:val="20"/>
          <w:color w:val="auto"/>
        </w:rPr>
      </w:pPr>
    </w:p>
    <w:p>
      <w:pPr>
        <w:ind w:left="1620" w:right="419" w:firstLine="360"/>
        <w:spacing w:after="0" w:line="254" w:lineRule="auto"/>
        <w:rPr>
          <w:sz w:val="20"/>
          <w:szCs w:val="20"/>
          <w:color w:val="auto"/>
        </w:rPr>
      </w:pPr>
      <w:r>
        <w:rPr>
          <w:rFonts w:ascii="Arial" w:cs="Arial" w:eastAsia="Arial" w:hAnsi="Arial"/>
          <w:sz w:val="17"/>
          <w:szCs w:val="17"/>
          <w:color w:val="auto"/>
        </w:rPr>
        <w:t>No director of the Corporation shall be personally liable to the Corporation or its shareholders for damages for any breach of duty as a director, provided that nothing contained in this Article VIII shall eliminate or limit the liability of any director if a judgment or other final adjudication adverse to him or her establishes that his or her acts or omissions were in bad faith or involved intentional misconduct or a knowing violation of law or that he or she personally gained in fact a financial profit or other advantage to which he or she was not legally entitled or that his or her acts violated Section 719 of the NYBCL. No amendment, modification or repeal of this Article VIII shall adversely affect any right or protection of a director that exists at the time of such amendment, modification or repeal.</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 6.6 of our By-laws provides as follows:</w:t>
      </w:r>
    </w:p>
    <w:p>
      <w:pPr>
        <w:spacing w:after="0" w:line="158" w:lineRule="exact"/>
        <w:rPr>
          <w:sz w:val="20"/>
          <w:szCs w:val="20"/>
          <w:color w:val="auto"/>
        </w:rPr>
      </w:pPr>
    </w:p>
    <w:p>
      <w:pPr>
        <w:ind w:left="1620" w:right="439" w:firstLine="360"/>
        <w:spacing w:after="0" w:line="250" w:lineRule="auto"/>
        <w:rPr>
          <w:sz w:val="20"/>
          <w:szCs w:val="20"/>
          <w:color w:val="auto"/>
        </w:rPr>
      </w:pPr>
      <w:r>
        <w:rPr>
          <w:rFonts w:ascii="Arial" w:cs="Arial" w:eastAsia="Arial" w:hAnsi="Arial"/>
          <w:sz w:val="17"/>
          <w:szCs w:val="17"/>
          <w:color w:val="auto"/>
        </w:rPr>
        <w:t>The Corporation shall indemnify to the full extent permitted by law any person made or threatened to be made a party to any action or proceeding, whether civil, criminal, administrative or investigative, including an action by or in the right of any other enterprise which any director or officer of the Corporation served in any capacity, by reason of the fact that such person or such person’s testator or intestate is or was a director or officer of the Corporation or serves or served such other enterprise in any capacity at the request of the Corporation. Expenses incurred by any such person in defending any such action or proceeding shall be paid or reimbursed by the Corporation in advance of the final disposition of such action or proceeding promptly upon receipt by it of an undertaking by or on behalf of such person to repay such expenses if it shall ultimately be determined that such person is not entitled to be indemnified by the Corporation. The rights provided to any person by this by-law shall be enforceable against the Corporation by such person who shall be presumed to have relied upon it in serving or continuing to serve as a director or officer as provided above. No amendment of this by-law shall impair the rights of any person arising at any time with respect to events occurring prior to such amendment. For purposes of this by-law, the term “corporation” shall include any constituent or subsidiary corporation (including any constituent of a constituent or subsidiary of a subsidiary) absorbed by the Corporation in a consolidation or merger; the term “other enterprise” shall include any corporation, partnership, joint venture, trust, employee benefit plan or other enterprise; service “at the request of the Corporation” shall include service as a director, officer or employee of the Corporation which imposes duties on, or involves services by, such director, officer or employee with respect to an employee benefit plan, its participants or beneficiaries; any excise taxes assessed on a person with respect to an employee benefit plan shall be deemed to be indemnifiable expenses; and action taken or omitted by a person with respect to an employee benefit plan which such person reasonably believes to be in the interest of the participants and beneficiaries of such plan shall be deemed to be action not opposed to the best interests of the Corporation.</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As permitted under the NYBCL and our governing documents, we have entered into indemnification agreements with each of our directors and officers. In addition to providing for indemnification to directors and officers in specified circumstances, these agreements require us to advance certain expenses to a director or officer in an action that may give rise to an indemnification right, provided that, among other things, we receive an undertaking from the director or officer to repay such expenses if the director or officer is ultimately found not to be entitled to indemnification, as required by Section 726 of the NYBCL.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Exhibit</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Underwriting Agreement or Purchase Agreement.</w:t>
            </w:r>
          </w:p>
        </w:tc>
      </w:tr>
      <w:tr>
        <w:trPr>
          <w:trHeight w:val="203"/>
        </w:trPr>
        <w:tc>
          <w:tcPr>
            <w:tcW w:w="5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7480" w:type="dxa"/>
            <w:vAlign w:val="bottom"/>
            <w:gridSpan w:val="14"/>
          </w:tcPr>
          <w:p>
            <w:pPr>
              <w:spacing w:after="0" w:line="202" w:lineRule="exact"/>
              <w:rPr>
                <w:rFonts w:ascii="Arial" w:cs="Arial" w:eastAsia="Arial" w:hAnsi="Arial"/>
                <w:sz w:val="18"/>
                <w:szCs w:val="18"/>
                <w:color w:val="0000EE"/>
              </w:rPr>
            </w:pPr>
            <w:hyperlink r:id="rId32">
              <w:r>
                <w:rPr>
                  <w:rFonts w:ascii="Arial" w:cs="Arial" w:eastAsia="Arial" w:hAnsi="Arial"/>
                  <w:sz w:val="18"/>
                  <w:szCs w:val="18"/>
                  <w:color w:val="0000EE"/>
                </w:rPr>
                <w:t>Restated Certificate of Incorporation of the Company (incorporated herein by reference to</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Exhibit 3(i) to the Company’s Current Report on Form 8-K filed on February 12, 2001).</w:t>
              </w:r>
            </w:hyperlink>
          </w:p>
        </w:tc>
        <w:tc>
          <w:tcPr>
            <w:tcW w:w="140" w:type="dxa"/>
            <w:vAlign w:val="bottom"/>
            <w:tcBorders>
              <w:top w:val="single" w:sz="8" w:color="0000EE"/>
            </w:tcBorders>
          </w:tcPr>
          <w:p>
            <w:pPr>
              <w:spacing w:after="0"/>
              <w:rPr>
                <w:sz w:val="17"/>
                <w:szCs w:val="17"/>
                <w:color w:val="auto"/>
              </w:rPr>
            </w:pPr>
          </w:p>
        </w:tc>
        <w:tc>
          <w:tcPr>
            <w:tcW w:w="680" w:type="dxa"/>
            <w:vAlign w:val="bottom"/>
            <w:gridSpan w:val="6"/>
          </w:tcPr>
          <w:p>
            <w:pPr>
              <w:spacing w:after="0"/>
              <w:rPr>
                <w:sz w:val="17"/>
                <w:szCs w:val="17"/>
                <w:color w:val="auto"/>
              </w:rPr>
            </w:pPr>
          </w:p>
        </w:tc>
      </w:tr>
      <w:tr>
        <w:trPr>
          <w:trHeight w:val="237"/>
        </w:trPr>
        <w:tc>
          <w:tcPr>
            <w:tcW w:w="52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7480" w:type="dxa"/>
            <w:vAlign w:val="bottom"/>
            <w:tcBorders>
              <w:bottom w:val="single" w:sz="8" w:color="0000EE"/>
            </w:tcBorders>
            <w:gridSpan w:val="14"/>
          </w:tcPr>
          <w:p>
            <w:pPr>
              <w:spacing w:after="0"/>
              <w:rPr>
                <w:rFonts w:ascii="Arial" w:cs="Arial" w:eastAsia="Arial" w:hAnsi="Arial"/>
                <w:sz w:val="18"/>
                <w:szCs w:val="18"/>
                <w:color w:val="0000EE"/>
                <w:w w:val="96"/>
              </w:rPr>
            </w:pPr>
            <w:hyperlink r:id="rId33">
              <w:r>
                <w:rPr>
                  <w:rFonts w:ascii="Arial" w:cs="Arial" w:eastAsia="Arial" w:hAnsi="Arial"/>
                  <w:sz w:val="18"/>
                  <w:szCs w:val="18"/>
                  <w:color w:val="0000EE"/>
                  <w:w w:val="96"/>
                </w:rPr>
                <w:t>By-laws of the Company, effective May 9, 2014 (incorporated herein by reference to Exhibit 3.1 to</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the Company’s Current Report on Form 8-K filed on May 12, 2014).</w:t>
              </w:r>
            </w:hyperlink>
          </w:p>
        </w:tc>
        <w:tc>
          <w:tcPr>
            <w:tcW w:w="2280" w:type="dxa"/>
            <w:vAlign w:val="bottom"/>
            <w:gridSpan w:val="8"/>
          </w:tcPr>
          <w:p>
            <w:pPr>
              <w:spacing w:after="0"/>
              <w:rPr>
                <w:sz w:val="17"/>
                <w:szCs w:val="17"/>
                <w:color w:val="auto"/>
              </w:rPr>
            </w:pPr>
          </w:p>
        </w:tc>
      </w:tr>
      <w:tr>
        <w:trPr>
          <w:trHeight w:val="291"/>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Preferred Stock Certificate.</w:t>
            </w:r>
          </w:p>
        </w:tc>
      </w:tr>
      <w:tr>
        <w:trPr>
          <w:trHeight w:val="202"/>
        </w:trPr>
        <w:tc>
          <w:tcPr>
            <w:tcW w:w="5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7480" w:type="dxa"/>
            <w:vAlign w:val="bottom"/>
            <w:gridSpan w:val="14"/>
          </w:tcPr>
          <w:p>
            <w:pPr>
              <w:spacing w:after="0" w:line="202" w:lineRule="exact"/>
              <w:rPr>
                <w:rFonts w:ascii="Arial" w:cs="Arial" w:eastAsia="Arial" w:hAnsi="Arial"/>
                <w:sz w:val="18"/>
                <w:szCs w:val="18"/>
                <w:color w:val="0000EE"/>
              </w:rPr>
            </w:pPr>
            <w:hyperlink r:id="rId34">
              <w:r>
                <w:rPr>
                  <w:rFonts w:ascii="Arial" w:cs="Arial" w:eastAsia="Arial" w:hAnsi="Arial"/>
                  <w:sz w:val="18"/>
                  <w:szCs w:val="18"/>
                  <w:color w:val="0000EE"/>
                </w:rPr>
                <w:t>Indenture, dated as of June 22, 2010, between the Company and Wells Fargo Bank, National</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34">
              <w:r>
                <w:rPr>
                  <w:rFonts w:ascii="Arial" w:cs="Arial" w:eastAsia="Arial" w:hAnsi="Arial"/>
                  <w:sz w:val="18"/>
                  <w:szCs w:val="18"/>
                  <w:color w:val="0000EE"/>
                  <w:w w:val="95"/>
                </w:rPr>
                <w:t>Association, as trustee (incorporated herein by reference to Exhibit 4.1 to the Company’s Current</w:t>
              </w:r>
            </w:hyperlink>
          </w:p>
        </w:tc>
        <w:tc>
          <w:tcPr>
            <w:tcW w:w="1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34">
              <w:r>
                <w:rPr>
                  <w:rFonts w:ascii="Arial" w:cs="Arial" w:eastAsia="Arial" w:hAnsi="Arial"/>
                  <w:sz w:val="18"/>
                  <w:szCs w:val="18"/>
                  <w:color w:val="0000EE"/>
                  <w:w w:val="95"/>
                </w:rPr>
                <w:t>Report on Form 8-K filed on June 22, 2010).</w:t>
              </w:r>
            </w:hyperlink>
          </w:p>
        </w:tc>
        <w:tc>
          <w:tcPr>
            <w:tcW w:w="4080" w:type="dxa"/>
            <w:vAlign w:val="bottom"/>
            <w:gridSpan w:val="10"/>
          </w:tcPr>
          <w:p>
            <w:pPr>
              <w:spacing w:after="0"/>
              <w:rPr>
                <w:sz w:val="17"/>
                <w:szCs w:val="17"/>
                <w:color w:val="auto"/>
              </w:rPr>
            </w:pPr>
          </w:p>
        </w:tc>
      </w:tr>
      <w:tr>
        <w:trPr>
          <w:trHeight w:val="304"/>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Officer’s Certificate.</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Stock Purchase Contract.</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Remarketing Agreement.</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Pledge Agreement.</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Warrant Agreement, including Form of Warrant.</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Depositary Agreement.</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Depositary Receipt.</w:t>
            </w:r>
          </w:p>
        </w:tc>
      </w:tr>
      <w:tr>
        <w:trPr>
          <w:trHeight w:val="270"/>
        </w:trPr>
        <w:tc>
          <w:tcPr>
            <w:tcW w:w="5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3"/>
                <w:szCs w:val="23"/>
                <w:color w:val="auto"/>
              </w:rPr>
            </w:pPr>
          </w:p>
        </w:tc>
        <w:tc>
          <w:tcPr>
            <w:tcW w:w="7480" w:type="dxa"/>
            <w:vAlign w:val="bottom"/>
            <w:gridSpan w:val="14"/>
          </w:tcPr>
          <w:p>
            <w:pPr>
              <w:spacing w:after="0"/>
              <w:rPr>
                <w:sz w:val="20"/>
                <w:szCs w:val="20"/>
                <w:color w:val="auto"/>
              </w:rPr>
            </w:pPr>
            <w:r>
              <w:rPr>
                <w:rFonts w:ascii="Arial" w:cs="Arial" w:eastAsia="Arial" w:hAnsi="Arial"/>
                <w:sz w:val="18"/>
                <w:szCs w:val="18"/>
                <w:color w:val="auto"/>
              </w:rPr>
              <w:t>Form of Unit Agreement.</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730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Opinion of Michael R. McCoy, Esq. with respect to the legality of the securities being registered</w:t>
              </w:r>
            </w:hyperlink>
          </w:p>
        </w:tc>
        <w:tc>
          <w:tcPr>
            <w:tcW w:w="180" w:type="dxa"/>
            <w:vAlign w:val="bottom"/>
            <w:gridSpan w:val="2"/>
          </w:tcPr>
          <w:p>
            <w:pPr>
              <w:spacing w:after="0"/>
              <w:rPr>
                <w:sz w:val="18"/>
                <w:szCs w:val="18"/>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hereunder</w:t>
              </w:r>
            </w:hyperlink>
          </w:p>
        </w:tc>
        <w:tc>
          <w:tcPr>
            <w:tcW w:w="6720" w:type="dxa"/>
            <w:vAlign w:val="bottom"/>
            <w:gridSpan w:val="13"/>
          </w:tcPr>
          <w:p>
            <w:pPr>
              <w:spacing w:after="0"/>
              <w:rPr>
                <w:sz w:val="17"/>
                <w:szCs w:val="17"/>
                <w:color w:val="auto"/>
              </w:rPr>
            </w:pPr>
          </w:p>
        </w:tc>
      </w:tr>
      <w:tr>
        <w:trPr>
          <w:trHeight w:val="264"/>
        </w:trPr>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2"/>
                <w:szCs w:val="22"/>
                <w:color w:val="auto"/>
              </w:rPr>
            </w:pPr>
          </w:p>
        </w:tc>
        <w:tc>
          <w:tcPr>
            <w:tcW w:w="18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Consent of KPMG LLP</w:t>
              </w:r>
            </w:hyperlink>
          </w:p>
        </w:tc>
        <w:tc>
          <w:tcPr>
            <w:tcW w:w="5680" w:type="dxa"/>
            <w:vAlign w:val="bottom"/>
            <w:gridSpan w:val="12"/>
          </w:tcPr>
          <w:p>
            <w:pPr>
              <w:spacing w:after="0"/>
              <w:rPr>
                <w:sz w:val="22"/>
                <w:szCs w:val="22"/>
                <w:color w:val="auto"/>
              </w:rPr>
            </w:pPr>
          </w:p>
        </w:tc>
      </w:tr>
      <w:tr>
        <w:trPr>
          <w:trHeight w:val="250"/>
        </w:trPr>
        <w:tc>
          <w:tcPr>
            <w:tcW w:w="520" w:type="dxa"/>
            <w:vAlign w:val="bottom"/>
          </w:tcPr>
          <w:p>
            <w:pPr>
              <w:jc w:val="right"/>
              <w:ind w:right="91"/>
              <w:spacing w:after="0"/>
              <w:rPr>
                <w:sz w:val="20"/>
                <w:szCs w:val="20"/>
                <w:color w:val="auto"/>
              </w:rPr>
            </w:pPr>
            <w:r>
              <w:rPr>
                <w:rFonts w:ascii="Arial" w:cs="Arial" w:eastAsia="Arial" w:hAnsi="Arial"/>
                <w:sz w:val="18"/>
                <w:szCs w:val="18"/>
                <w:color w:val="auto"/>
                <w:w w:val="91"/>
              </w:rPr>
              <w:t>23.2</w:t>
            </w:r>
          </w:p>
        </w:tc>
        <w:tc>
          <w:tcPr>
            <w:tcW w:w="200" w:type="dxa"/>
            <w:vAlign w:val="bottom"/>
          </w:tcPr>
          <w:p>
            <w:pPr>
              <w:spacing w:after="0"/>
              <w:rPr>
                <w:sz w:val="21"/>
                <w:szCs w:val="21"/>
                <w:color w:val="auto"/>
              </w:rPr>
            </w:pPr>
          </w:p>
        </w:tc>
        <w:tc>
          <w:tcPr>
            <w:tcW w:w="47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Consent of Michael R. McCoy, Esq. (included in Exhibit 5.1).</w:t>
              </w:r>
            </w:hyperlink>
          </w:p>
        </w:tc>
        <w:tc>
          <w:tcPr>
            <w:tcW w:w="2780" w:type="dxa"/>
            <w:vAlign w:val="bottom"/>
            <w:gridSpan w:val="9"/>
          </w:tcPr>
          <w:p>
            <w:pPr>
              <w:spacing w:after="0"/>
              <w:rPr>
                <w:sz w:val="21"/>
                <w:szCs w:val="21"/>
                <w:color w:val="auto"/>
              </w:rPr>
            </w:pPr>
          </w:p>
        </w:tc>
      </w:tr>
      <w:tr>
        <w:trPr>
          <w:trHeight w:val="250"/>
        </w:trPr>
        <w:tc>
          <w:tcPr>
            <w:tcW w:w="520" w:type="dxa"/>
            <w:vAlign w:val="bottom"/>
          </w:tcPr>
          <w:p>
            <w:pPr>
              <w:jc w:val="right"/>
              <w:ind w:right="91"/>
              <w:spacing w:after="0"/>
              <w:rPr>
                <w:sz w:val="20"/>
                <w:szCs w:val="20"/>
                <w:color w:val="auto"/>
              </w:rPr>
            </w:pPr>
            <w:r>
              <w:rPr>
                <w:rFonts w:ascii="Arial" w:cs="Arial" w:eastAsia="Arial" w:hAnsi="Arial"/>
                <w:sz w:val="18"/>
                <w:szCs w:val="18"/>
                <w:color w:val="auto"/>
                <w:w w:val="91"/>
              </w:rPr>
              <w:t>24.1</w:t>
            </w:r>
          </w:p>
        </w:tc>
        <w:tc>
          <w:tcPr>
            <w:tcW w:w="200" w:type="dxa"/>
            <w:vAlign w:val="bottom"/>
          </w:tcPr>
          <w:p>
            <w:pPr>
              <w:spacing w:after="0"/>
              <w:rPr>
                <w:sz w:val="21"/>
                <w:szCs w:val="21"/>
                <w:color w:val="auto"/>
              </w:rPr>
            </w:pPr>
          </w:p>
        </w:tc>
        <w:tc>
          <w:tcPr>
            <w:tcW w:w="68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Powers of Attorney (included as part of the signature page of this Registration Statement).</w:t>
              </w:r>
            </w:hyperlink>
          </w:p>
        </w:tc>
        <w:tc>
          <w:tcPr>
            <w:tcW w:w="640" w:type="dxa"/>
            <w:vAlign w:val="bottom"/>
            <w:gridSpan w:val="5"/>
          </w:tcPr>
          <w:p>
            <w:pPr>
              <w:spacing w:after="0"/>
              <w:rPr>
                <w:sz w:val="21"/>
                <w:szCs w:val="21"/>
                <w:color w:val="auto"/>
              </w:rPr>
            </w:pPr>
          </w:p>
        </w:tc>
      </w:tr>
      <w:tr>
        <w:trPr>
          <w:trHeight w:val="236"/>
        </w:trPr>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0"/>
                <w:szCs w:val="20"/>
                <w:color w:val="auto"/>
              </w:rPr>
            </w:pPr>
          </w:p>
        </w:tc>
        <w:tc>
          <w:tcPr>
            <w:tcW w:w="748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Form T-1 Statement of Eligibility under the Trust Indenture Act of 1939 of Wells Fargo Bank,</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National Association, as trustee</w:t>
              </w:r>
            </w:hyperlink>
          </w:p>
        </w:tc>
        <w:tc>
          <w:tcPr>
            <w:tcW w:w="4700" w:type="dxa"/>
            <w:vAlign w:val="bottom"/>
            <w:tcBorders>
              <w:top w:val="single" w:sz="8" w:color="0000EE"/>
            </w:tcBorders>
            <w:gridSpan w:val="8"/>
          </w:tcPr>
          <w:p>
            <w:pPr>
              <w:spacing w:after="0"/>
              <w:rPr>
                <w:sz w:val="17"/>
                <w:szCs w:val="17"/>
                <w:color w:val="auto"/>
              </w:rPr>
            </w:pPr>
          </w:p>
        </w:tc>
        <w:tc>
          <w:tcPr>
            <w:tcW w:w="38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73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be filed in an amendment to the Registration Statement, or in a Current Report on Form 8-K and incorporated by reference herein, in the event of an offering of particular securities</w:t>
      </w:r>
    </w:p>
    <w:p>
      <w:pPr>
        <w:spacing w:after="0" w:line="8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1980" w:right="579" w:hanging="360"/>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340" w:right="899" w:hanging="360"/>
        <w:spacing w:after="0" w:line="277" w:lineRule="auto"/>
        <w:tabs>
          <w:tab w:leader="none" w:pos="2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(“Securities Act”);</w:t>
      </w:r>
    </w:p>
    <w:p>
      <w:pPr>
        <w:spacing w:after="0" w:line="89" w:lineRule="exact"/>
        <w:rPr>
          <w:rFonts w:ascii="Arial" w:cs="Arial" w:eastAsia="Arial" w:hAnsi="Arial"/>
          <w:sz w:val="18"/>
          <w:szCs w:val="18"/>
          <w:color w:val="auto"/>
        </w:rPr>
      </w:pPr>
    </w:p>
    <w:p>
      <w:pPr>
        <w:ind w:left="2340" w:right="1239" w:hanging="360"/>
        <w:spacing w:after="0" w:line="277" w:lineRule="auto"/>
        <w:tabs>
          <w:tab w:leader="none" w:pos="2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439"/>
        <w:spacing w:after="0" w:line="270" w:lineRule="auto"/>
        <w:rPr>
          <w:sz w:val="20"/>
          <w:szCs w:val="20"/>
          <w:color w:val="auto"/>
        </w:rPr>
      </w:pPr>
      <w:r>
        <w:rPr>
          <w:rFonts w:ascii="Arial" w:cs="Arial" w:eastAsia="Arial" w:hAnsi="Arial"/>
          <w:sz w:val="17"/>
          <w:szCs w:val="17"/>
          <w:color w:val="auto"/>
        </w:rPr>
        <w:t>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13" w:lineRule="exact"/>
        <w:rPr>
          <w:sz w:val="20"/>
          <w:szCs w:val="20"/>
          <w:color w:val="auto"/>
        </w:rPr>
      </w:pPr>
    </w:p>
    <w:p>
      <w:pPr>
        <w:ind w:left="2340" w:right="739" w:hanging="360"/>
        <w:spacing w:after="0" w:line="263" w:lineRule="auto"/>
        <w:tabs>
          <w:tab w:leader="none" w:pos="2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ind w:left="1620" w:right="479"/>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(1)(ii) and (1)(iii) of this section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Securities Exchange Act of 1934, as amended (“Exchange Act”), that are incorporated by reference in the registration statement or is contained in a form of prospectus filed pursuant to Rule 424(b) under the Securities Act that is part of the registration statement.</w:t>
      </w:r>
    </w:p>
    <w:p>
      <w:pPr>
        <w:spacing w:after="0" w:line="125" w:lineRule="exact"/>
        <w:rPr>
          <w:sz w:val="20"/>
          <w:szCs w:val="20"/>
          <w:color w:val="auto"/>
        </w:rPr>
      </w:pPr>
    </w:p>
    <w:p>
      <w:pPr>
        <w:ind w:left="1980" w:right="599" w:hanging="360"/>
        <w:spacing w:after="0" w:line="259"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1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ind w:left="2340" w:right="479" w:hanging="360"/>
        <w:spacing w:after="0" w:line="263" w:lineRule="auto"/>
        <w:tabs>
          <w:tab w:leader="none" w:pos="2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under the Securities Act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2340" w:right="419" w:hanging="360"/>
        <w:spacing w:after="0" w:line="267" w:lineRule="auto"/>
        <w:tabs>
          <w:tab w:leader="none" w:pos="23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under the Securities Act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the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3" w:lineRule="exact"/>
        <w:rPr>
          <w:rFonts w:ascii="Arial" w:cs="Arial" w:eastAsia="Arial" w:hAnsi="Arial"/>
          <w:sz w:val="17"/>
          <w:szCs w:val="17"/>
          <w:color w:val="auto"/>
        </w:rPr>
      </w:pPr>
    </w:p>
    <w:p>
      <w:pPr>
        <w:ind w:left="1980" w:right="439" w:hanging="360"/>
        <w:spacing w:after="0" w:line="279" w:lineRule="auto"/>
        <w:tabs>
          <w:tab w:leader="none" w:pos="1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w:t>
      </w: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39"/>
        <w:spacing w:after="0" w:line="263" w:lineRule="auto"/>
        <w:rPr>
          <w:sz w:val="20"/>
          <w:szCs w:val="20"/>
          <w:color w:val="auto"/>
        </w:rPr>
      </w:pPr>
      <w:r>
        <w:rPr>
          <w:rFonts w:ascii="Arial" w:cs="Arial" w:eastAsia="Arial" w:hAnsi="Arial"/>
          <w:sz w:val="18"/>
          <w:szCs w:val="18"/>
          <w:color w:val="auto"/>
        </w:rPr>
        <w:t>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sz w:val="20"/>
          <w:szCs w:val="20"/>
          <w:color w:val="auto"/>
        </w:rPr>
      </w:pPr>
    </w:p>
    <w:p>
      <w:pPr>
        <w:ind w:left="2340" w:right="1059" w:hanging="360"/>
        <w:spacing w:after="0" w:line="277"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340" w:right="1279" w:hanging="360"/>
        <w:spacing w:after="0" w:line="308" w:lineRule="auto"/>
        <w:tabs>
          <w:tab w:leader="none" w:pos="23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8" w:lineRule="exact"/>
        <w:rPr>
          <w:rFonts w:ascii="Arial" w:cs="Arial" w:eastAsia="Arial" w:hAnsi="Arial"/>
          <w:sz w:val="17"/>
          <w:szCs w:val="17"/>
          <w:color w:val="auto"/>
        </w:rPr>
      </w:pPr>
    </w:p>
    <w:p>
      <w:pPr>
        <w:ind w:left="2340" w:right="579" w:hanging="360"/>
        <w:spacing w:after="0" w:line="263"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2340" w:right="599" w:hanging="360"/>
        <w:spacing w:after="0" w:line="277"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980" w:right="419" w:hanging="360"/>
        <w:spacing w:after="0" w:line="273"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0" w:lineRule="exact"/>
        <w:rPr>
          <w:rFonts w:ascii="Arial" w:cs="Arial" w:eastAsia="Arial" w:hAnsi="Arial"/>
          <w:sz w:val="17"/>
          <w:szCs w:val="17"/>
          <w:color w:val="auto"/>
        </w:rPr>
      </w:pPr>
    </w:p>
    <w:p>
      <w:pPr>
        <w:ind w:left="1980" w:right="459" w:hanging="360"/>
        <w:spacing w:after="0" w:line="269"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rFonts w:ascii="Arial" w:cs="Arial" w:eastAsia="Arial" w:hAnsi="Arial"/>
          <w:sz w:val="17"/>
          <w:szCs w:val="17"/>
          <w:color w:val="auto"/>
        </w:rPr>
      </w:pPr>
    </w:p>
    <w:p>
      <w:pPr>
        <w:ind w:left="1980" w:right="459" w:hanging="360"/>
        <w:spacing w:after="0" w:line="259"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of 1939, as amended (“Trust Indenture Act”), in accordance with the rules and regulations prescribed by the SEC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caused this Registration Statement to be signed on its behalf by the undersigned, thereunto duly authorized, in the city of Phoenix, State of Arizona, on January 28, 2022.</w:t>
      </w:r>
    </w:p>
    <w:p>
      <w:pPr>
        <w:spacing w:after="0" w:line="12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AVNET, INC.</w:t>
      </w:r>
    </w:p>
    <w:p>
      <w:pPr>
        <w:spacing w:after="0" w:line="243" w:lineRule="exact"/>
        <w:rPr>
          <w:sz w:val="20"/>
          <w:szCs w:val="20"/>
          <w:color w:val="auto"/>
        </w:rPr>
      </w:pPr>
    </w:p>
    <w:p>
      <w:pPr>
        <w:ind w:left="5180"/>
        <w:spacing w:after="0"/>
        <w:tabs>
          <w:tab w:leader="none" w:pos="5660" w:val="left"/>
        </w:tabs>
        <w:rPr>
          <w:sz w:val="20"/>
          <w:szCs w:val="20"/>
          <w:color w:val="auto"/>
        </w:rPr>
      </w:pPr>
      <w:r>
        <w:rPr>
          <w:rFonts w:ascii="Arial" w:cs="Arial" w:eastAsia="Arial" w:hAnsi="Arial"/>
          <w:sz w:val="18"/>
          <w:szCs w:val="18"/>
          <w:color w:val="auto"/>
        </w:rPr>
        <w:t>By:</w:t>
        <w:tab/>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48895</wp:posOffset>
            </wp:positionV>
            <wp:extent cx="2400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Thomas Liguori</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KNOW ALL MEN BY THESE PRESENTS that the individuals whose signatures appear below hereby constitute and appoint each of Philip R. Gallagher, Thomas Liguori and Michael R. McCoy, and each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additional registration statements pursuant to Rule 462(b) of the Securities Act of 1933, and to file the same, with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3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capacity indicated on January 28, 2022:</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6"/>
        </w:trPr>
        <w:tc>
          <w:tcPr>
            <w:tcW w:w="4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4320" w:type="dxa"/>
            <w:vAlign w:val="bottom"/>
          </w:tcPr>
          <w:p>
            <w:pPr>
              <w:jc w:val="center"/>
              <w:spacing w:after="0"/>
              <w:rPr>
                <w:sz w:val="20"/>
                <w:szCs w:val="20"/>
                <w:color w:val="auto"/>
              </w:rPr>
            </w:pPr>
            <w:r>
              <w:rPr>
                <w:rFonts w:ascii="Arial" w:cs="Arial" w:eastAsia="Arial" w:hAnsi="Arial"/>
                <w:sz w:val="18"/>
                <w:szCs w:val="18"/>
                <w:color w:val="auto"/>
                <w:w w:val="96"/>
              </w:rPr>
              <w:t>/s/ Philip R. Gallagher</w:t>
            </w:r>
          </w:p>
        </w:tc>
        <w:tc>
          <w:tcPr>
            <w:tcW w:w="220" w:type="dxa"/>
            <w:vAlign w:val="bottom"/>
          </w:tcPr>
          <w:p>
            <w:pPr>
              <w:spacing w:after="0"/>
              <w:rPr>
                <w:sz w:val="24"/>
                <w:szCs w:val="24"/>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68"/>
        </w:trPr>
        <w:tc>
          <w:tcPr>
            <w:tcW w:w="432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8"/>
              </w:rPr>
              <w:t>(Principal Executive Officer)</w:t>
            </w:r>
          </w:p>
        </w:tc>
        <w:tc>
          <w:tcPr>
            <w:tcW w:w="0" w:type="dxa"/>
            <w:vAlign w:val="bottom"/>
          </w:tcPr>
          <w:p>
            <w:pPr>
              <w:spacing w:after="0"/>
              <w:rPr>
                <w:sz w:val="1"/>
                <w:szCs w:val="1"/>
                <w:color w:val="auto"/>
              </w:rPr>
            </w:pPr>
          </w:p>
        </w:tc>
      </w:tr>
      <w:tr>
        <w:trPr>
          <w:trHeight w:val="142"/>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7"/>
              </w:rPr>
              <w:t>Philip R. Gallagher</w:t>
            </w:r>
          </w:p>
        </w:tc>
        <w:tc>
          <w:tcPr>
            <w:tcW w:w="220" w:type="dxa"/>
            <w:vAlign w:val="bottom"/>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4320" w:type="dxa"/>
            <w:vAlign w:val="bottom"/>
          </w:tcPr>
          <w:p>
            <w:pPr>
              <w:jc w:val="center"/>
              <w:spacing w:after="0"/>
              <w:rPr>
                <w:sz w:val="20"/>
                <w:szCs w:val="20"/>
                <w:color w:val="auto"/>
              </w:rPr>
            </w:pPr>
            <w:r>
              <w:rPr>
                <w:rFonts w:ascii="Arial" w:cs="Arial" w:eastAsia="Arial" w:hAnsi="Arial"/>
                <w:sz w:val="18"/>
                <w:szCs w:val="18"/>
                <w:color w:val="auto"/>
                <w:w w:val="96"/>
              </w:rPr>
              <w:t>/s/ Rodney C. Adkins</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6"/>
              </w:rPr>
              <w:t>Chairman of the Board and 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7"/>
              </w:rPr>
              <w:t>Rodney C. Adkins</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7"/>
              </w:rPr>
              <w:t>/s/ Carlo Bozotti</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Carlo Bozotti</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3"/>
              </w:rPr>
              <w:t>/s/ Brenda L. Freeman</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2"/>
              </w:rPr>
              <w:t>Brenda L. Freeman</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3"/>
              </w:rPr>
              <w:t>/s/ Jo Ann Jenkins</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4"/>
              </w:rPr>
              <w:t>Jo Ann Jenkins</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7"/>
              </w:rPr>
              <w:t>/s/ Oleg Khaykin</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7"/>
              </w:rPr>
              <w:t>Oleg Khaykin</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3"/>
              </w:rPr>
              <w:t>/s/ James A. Lawrence</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3"/>
              </w:rPr>
              <w:t>James A. Lawrence</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5"/>
              </w:rPr>
              <w:t>/s/ Ernest E. Maddock</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4"/>
              </w:rPr>
              <w:t>Ernest E. Maddock</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20" w:type="dxa"/>
            <w:vAlign w:val="bottom"/>
          </w:tcPr>
          <w:p>
            <w:pPr>
              <w:jc w:val="center"/>
              <w:spacing w:after="0"/>
              <w:rPr>
                <w:sz w:val="20"/>
                <w:szCs w:val="20"/>
                <w:color w:val="auto"/>
              </w:rPr>
            </w:pPr>
            <w:r>
              <w:rPr>
                <w:rFonts w:ascii="Arial" w:cs="Arial" w:eastAsia="Arial" w:hAnsi="Arial"/>
                <w:sz w:val="18"/>
                <w:szCs w:val="18"/>
                <w:color w:val="auto"/>
                <w:w w:val="98"/>
              </w:rPr>
              <w:t>/s/ Avid Modjtabai</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Avid Modjtabai</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4320" w:type="dxa"/>
            <w:vAlign w:val="bottom"/>
          </w:tcPr>
          <w:p>
            <w:pPr>
              <w:jc w:val="center"/>
              <w:spacing w:after="0"/>
              <w:rPr>
                <w:sz w:val="20"/>
                <w:szCs w:val="20"/>
                <w:color w:val="auto"/>
              </w:rPr>
            </w:pPr>
            <w:r>
              <w:rPr>
                <w:rFonts w:ascii="Arial" w:cs="Arial" w:eastAsia="Arial" w:hAnsi="Arial"/>
                <w:sz w:val="18"/>
                <w:szCs w:val="18"/>
                <w:color w:val="auto"/>
                <w:w w:val="94"/>
              </w:rPr>
              <w:t>/s/ Adalio T. Sanchez</w:t>
            </w:r>
          </w:p>
        </w:tc>
        <w:tc>
          <w:tcPr>
            <w:tcW w:w="2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54"/>
        </w:trPr>
        <w:tc>
          <w:tcPr>
            <w:tcW w:w="4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4"/>
              </w:rPr>
              <w:t>Adalio T. Sanchez</w:t>
            </w: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2743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73"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/s/ William H. Schumann,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2743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4"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William H. Schumann, III</w:t>
      </w:r>
    </w:p>
    <w:p>
      <w:pPr>
        <w:spacing w:after="0" w:line="252"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2743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4"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Thomas Liguori</w:t>
      </w:r>
    </w:p>
    <w:p>
      <w:pPr>
        <w:spacing w:after="0" w:line="252"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/s/ Kenneth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2743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4"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Kenneth Jacobson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7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32385</wp:posOffset>
            </wp:positionV>
            <wp:extent cx="2331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73"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33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Controller</w:t>
      </w:r>
    </w:p>
    <w:p>
      <w:pPr>
        <w:spacing w:after="0" w:line="23"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(Principal Accounting Officer)</w:t>
      </w:r>
    </w:p>
    <w:p>
      <w:pPr>
        <w:sectPr>
          <w:pgSz w:w="11900" w:h="16838" w:orient="portrait"/>
          <w:cols w:equalWidth="0" w:num="2">
            <w:col w:w="5760" w:space="720"/>
            <w:col w:w="3399"/>
          </w:cols>
          <w:pgMar w:left="580" w:top="132"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2211 South 47th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85034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color w:val="auto"/>
        </w:rPr>
        <w:t>Avnet, Inc., a New York corporation (“</w:t>
      </w:r>
      <w:r>
        <w:rPr>
          <w:rFonts w:ascii="Arial" w:cs="Arial" w:eastAsia="Arial" w:hAnsi="Arial"/>
          <w:sz w:val="18"/>
          <w:szCs w:val="18"/>
          <w:b w:val="1"/>
          <w:bCs w:val="1"/>
          <w:color w:val="auto"/>
        </w:rPr>
        <w:t>Avnet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is filing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The Registration Statement relates to the registration of the offer and sale by the Company from time to time, pursuant to Rule 415 under the Act, of the following: (i) debt securities, which may be issued pursuant to an Indenture, dated as of June 22, 2010 (the “</w:t>
      </w:r>
      <w:r>
        <w:rPr>
          <w:rFonts w:ascii="Arial" w:cs="Arial" w:eastAsia="Arial" w:hAnsi="Arial"/>
          <w:sz w:val="18"/>
          <w:szCs w:val="18"/>
          <w:b w:val="1"/>
          <w:bCs w:val="1"/>
          <w:color w:val="auto"/>
        </w:rPr>
        <w:t>Indenture</w:t>
      </w:r>
      <w:r>
        <w:rPr>
          <w:rFonts w:ascii="Arial" w:cs="Arial" w:eastAsia="Arial" w:hAnsi="Arial"/>
          <w:sz w:val="18"/>
          <w:szCs w:val="18"/>
          <w:color w:val="auto"/>
        </w:rPr>
        <w:t>”), by and between the Company and Wells Fargo Bank, National Association, as trustee; (ii) common stock, par value $1.00 per share; (iii) preferred stock; (iv) warrants; (v) depositary shares; (vi) purchase contracts; and (vii) units (collectively, the “Offered Securities”).</w:t>
      </w:r>
    </w:p>
    <w:p>
      <w:pPr>
        <w:spacing w:after="0" w:line="191"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I, as the General Counsel of Avnet, have examined the Registration Statement and the Indenture included as an exhibit thereto, such records of Avnet’s corporate proceedings and such other documents of Avnet, and have made such other factual and legal investigations, as I deemed necessary or appropriate in order to render this opinion. In my examination, I have assumed the genuineness of all signatures, including endorsements, the legal capacity and competency of all natural persons, the authenticity of all documents submitted to me as originals, the conformity to original documents of all documents submitted to me as facsimile, electronic, certified or photostatic copies and the authenticity of the originals of such copies.</w:t>
      </w:r>
    </w:p>
    <w:p>
      <w:pPr>
        <w:spacing w:after="0" w:line="161"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In rendering the opinions set forth below, I have assumed that: (i) the board of directors of the Company has taken such additional corporate action as is contemplated and necessary (a) to authorize the issuance, sale, execution and delivery of any Offered Securities and (b) to fix or to otherwise determine the consideration to be received for the Offered Securities and the terms of the offer or sale thereof; (ii) the Company has established the terms of any series of the Offered Securities in accordance with the relevant terms of the Company’s Restated Certificate of Incorporation and By-laws; (iii) the Registration Statement and any necessary post-effective amendments thereto have become effective under the Act; (iv) an appropriate prospectus supplement with respect to the Offered Securities has been prepared, delivered and filed in compliance with the Act and the applicable rules and regulations under the Act;</w:t>
      </w:r>
    </w:p>
    <w:p>
      <w:pPr>
        <w:spacing w:after="0" w:line="4" w:lineRule="exact"/>
        <w:rPr>
          <w:sz w:val="20"/>
          <w:szCs w:val="20"/>
          <w:color w:val="auto"/>
        </w:rPr>
      </w:pPr>
    </w:p>
    <w:p>
      <w:pPr>
        <w:ind w:right="280" w:firstLine="8"/>
        <w:spacing w:after="0" w:line="252"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Offered Securities have been executed and, as applicable, authenticated, and have been duly issued and delivered against payment therefor as approved by the board of directors of the Company and in accordance with applicable law; (vi) the Offered Securities have been offered and sold in compliance with all applicable federal and state securities laws and in the manner stated in the Registration Statement and the appropriate prospectus supplement and any pricing supplement; (vii) the Company has obtained any legally required consents, approvals, authorizations and other orders of the Commission and any other regulatory authorities; and (viii) any indenture relating to the Offered Securities has been duly qualified under the Trust Indenture Act of 1939,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Based on the foregoing, it is my opinion that:</w:t>
      </w:r>
    </w:p>
    <w:p>
      <w:pPr>
        <w:spacing w:after="0" w:line="225" w:lineRule="exact"/>
        <w:rPr>
          <w:sz w:val="20"/>
          <w:szCs w:val="20"/>
          <w:color w:val="auto"/>
        </w:rPr>
      </w:pPr>
    </w:p>
    <w:p>
      <w:pPr>
        <w:jc w:val="both"/>
        <w:ind w:right="20" w:firstLine="449"/>
        <w:spacing w:after="0" w:line="257"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stock and preferred stock (including any common stock or preferred stock duly issued upon conversion, exchange or exercise of any common stock, preferred stock, debt securities, warrants or units or the settlement of any stock purchase contracts) offered and sold under the Registration Statement, upon the issuance and delivery against payment received as contemplated by the applicable underwriting or other securities purchase agreement and the Registration Statement (including by any prospectus supplement setting forth the terms of such Offered Securities and the plan of distribution), will be legally issued, fully paid and nonassessable.</w:t>
      </w:r>
    </w:p>
    <w:p>
      <w:pPr>
        <w:spacing w:after="0" w:line="187" w:lineRule="exact"/>
        <w:rPr>
          <w:rFonts w:ascii="Arial" w:cs="Arial" w:eastAsia="Arial" w:hAnsi="Arial"/>
          <w:sz w:val="18"/>
          <w:szCs w:val="18"/>
          <w:color w:val="auto"/>
        </w:rPr>
      </w:pPr>
    </w:p>
    <w:p>
      <w:pPr>
        <w:ind w:firstLine="449"/>
        <w:spacing w:after="0" w:line="255"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debt securities offered and sold under the Registration Statement, upon the issuance, authentication and delivery against payment received as contemplated by the applicable indenture, underwriting or other securities purchase agreement and the Registration Statement (including any prospectus supplement setting forth the terms of such Offered Securities and the plan of distribution), will be legally issued, valid and binding obligations of the Company, subject to applicable bankruptcy, insolvency, fraudulent conveyance, reorganization, moratorium and similar laws affecting creditors’ rights and remedies generally, and subject to general principles of equity, including principles of commercial reasonableness, good faith and fair dealing (regardless of whether enforcement is sought in a proceeding at law or in equity).</w:t>
      </w:r>
    </w:p>
    <w:p>
      <w:pPr>
        <w:spacing w:after="0" w:line="192" w:lineRule="exact"/>
        <w:rPr>
          <w:rFonts w:ascii="Arial" w:cs="Arial" w:eastAsia="Arial" w:hAnsi="Arial"/>
          <w:sz w:val="18"/>
          <w:szCs w:val="18"/>
          <w:color w:val="auto"/>
        </w:rPr>
      </w:pPr>
    </w:p>
    <w:p>
      <w:pPr>
        <w:ind w:right="20" w:firstLine="449"/>
        <w:spacing w:after="0" w:line="293" w:lineRule="auto"/>
        <w:tabs>
          <w:tab w:leader="none" w:pos="6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warrants, depositary shares, purchase contracts and units offered and sold under the Registration Statement, upon the issuance and sale in the manner contemplated by the agreement under which the Offered Securities are issued, the applicable underwriting or other securities purchase agreement and the Registration Statement (including any prospectus supplement setting forth the terms of such Offered Securities and the plan of distribution), will be legally issued, valid and binding obligations of the Company, subject to applicable bankruptcy, insolvency, fraudulent conveyance, reorganization, moratorium and similar laws affecting creditors’ rights and remedies generally, and subject to general principles of equity, including principles of commercial reasonableness, good faith and fair dealing (regardless of whether enforcement is sought in a proceeding at law or in equity).</w:t>
      </w:r>
    </w:p>
    <w:p>
      <w:pPr>
        <w:spacing w:after="0" w:line="164"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This opinion is limited to the law of the State of New York, and I express no opinion on the law of any other jurisdiction. The Offered Securities may be issued from time to time on a delayed or continuous basis, and this opinion is limited to the laws, including the rules and regulations,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firstLine="441"/>
        <w:spacing w:after="0" w:line="342" w:lineRule="auto"/>
        <w:rPr>
          <w:sz w:val="20"/>
          <w:szCs w:val="20"/>
          <w:color w:val="auto"/>
        </w:rPr>
      </w:pPr>
      <w:r>
        <w:rPr>
          <w:rFonts w:ascii="Arial" w:cs="Arial" w:eastAsia="Arial" w:hAnsi="Arial"/>
          <w:sz w:val="16"/>
          <w:szCs w:val="16"/>
          <w:color w:val="auto"/>
        </w:rPr>
        <w:t>I consent to the filing of this opinion as Exhibit 5.1 to the Registration Statement and to the reference to me under the caption “Validity of Securities” in the prospectus constituting Part I thereof. I do not admit that I am in the category of persons whose consent is required under Section 7 of the Act.</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R.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R. McCoy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of 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 w:name="page21"/>
    <w:bookmarkEnd w:id="20"/>
    <w:p>
      <w:pPr>
        <w:ind w:left="10260"/>
        <w:spacing w:after="0"/>
        <w:rPr>
          <w:sz w:val="20"/>
          <w:szCs w:val="20"/>
          <w:color w:val="auto"/>
        </w:rPr>
      </w:pPr>
      <w:r>
        <w:rPr>
          <w:rFonts w:ascii="Arial" w:cs="Arial" w:eastAsia="Arial" w:hAnsi="Arial"/>
          <w:sz w:val="17"/>
          <w:szCs w:val="17"/>
          <w:b w:val="1"/>
          <w:bCs w:val="1"/>
          <w:color w:val="auto"/>
        </w:rPr>
        <w:t>Exhibit 23.1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consent to the use of our reports with respect to the consolidated financial statements, the related financial statement schedule, and the effectiveness of internal control over financial reporting incorporated herein by reference and to the reference to our firm under the heading “Experts” in the prospectus.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leases as of June 30, 2019 due to the adoption of Financial Accounting Standards Board’s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revenue as of July 1, 2018 due to the adoption of Financial Accounting Standards Board’s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3"/>
          </w:tcPr>
          <w:p>
            <w:pPr>
              <w:jc w:val="center"/>
              <w:ind w:left="2368"/>
              <w:spacing w:after="0"/>
              <w:rPr>
                <w:sz w:val="20"/>
                <w:szCs w:val="20"/>
                <w:color w:val="auto"/>
              </w:rPr>
            </w:pPr>
            <w:r>
              <w:rPr>
                <w:rFonts w:ascii="Arial" w:cs="Arial" w:eastAsia="Arial" w:hAnsi="Arial"/>
                <w:sz w:val="18"/>
                <w:szCs w:val="18"/>
                <w:color w:val="auto"/>
                <w:w w:val="96"/>
              </w:rPr>
              <w:t>SECURITIES AND EXCHANGE COMMISSION</w:t>
            </w:r>
          </w:p>
        </w:tc>
        <w:tc>
          <w:tcPr>
            <w:tcW w:w="156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18"/>
                <w:szCs w:val="18"/>
                <w:color w:val="auto"/>
                <w:w w:val="90"/>
              </w:rPr>
              <w:t>Washington, D.C. 20549</w:t>
            </w:r>
          </w:p>
        </w:tc>
        <w:tc>
          <w:tcPr>
            <w:tcW w:w="156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39"/>
        </w:trPr>
        <w:tc>
          <w:tcPr>
            <w:tcW w:w="4220" w:type="dxa"/>
            <w:vAlign w:val="bottom"/>
          </w:tcPr>
          <w:p>
            <w:pPr>
              <w:spacing w:after="0"/>
              <w:rPr>
                <w:sz w:val="24"/>
                <w:szCs w:val="24"/>
                <w:color w:val="auto"/>
              </w:rPr>
            </w:pPr>
          </w:p>
        </w:tc>
        <w:tc>
          <w:tcPr>
            <w:tcW w:w="4560" w:type="dxa"/>
            <w:vAlign w:val="bottom"/>
            <w:gridSpan w:val="2"/>
          </w:tcPr>
          <w:p>
            <w:pPr>
              <w:jc w:val="center"/>
              <w:ind w:right="1760"/>
              <w:spacing w:after="0"/>
              <w:rPr>
                <w:sz w:val="20"/>
                <w:szCs w:val="20"/>
                <w:color w:val="auto"/>
              </w:rPr>
            </w:pPr>
            <w:r>
              <w:rPr>
                <w:rFonts w:ascii="Arial" w:cs="Arial" w:eastAsia="Arial" w:hAnsi="Arial"/>
                <w:sz w:val="18"/>
                <w:szCs w:val="18"/>
                <w:color w:val="auto"/>
                <w:w w:val="94"/>
              </w:rPr>
              <w:t>FORM T-1</w:t>
            </w:r>
          </w:p>
        </w:tc>
        <w:tc>
          <w:tcPr>
            <w:tcW w:w="1560" w:type="dxa"/>
            <w:vAlign w:val="bottom"/>
          </w:tcPr>
          <w:p>
            <w:pPr>
              <w:spacing w:after="0"/>
              <w:rPr>
                <w:sz w:val="24"/>
                <w:szCs w:val="24"/>
                <w:color w:val="auto"/>
              </w:rPr>
            </w:pPr>
          </w:p>
        </w:tc>
      </w:tr>
      <w:tr>
        <w:trPr>
          <w:trHeight w:val="418"/>
        </w:trPr>
        <w:tc>
          <w:tcPr>
            <w:tcW w:w="4220" w:type="dxa"/>
            <w:vAlign w:val="bottom"/>
          </w:tcPr>
          <w:p>
            <w:pPr>
              <w:spacing w:after="0"/>
              <w:rPr>
                <w:sz w:val="24"/>
                <w:szCs w:val="24"/>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18"/>
                <w:szCs w:val="18"/>
                <w:color w:val="auto"/>
                <w:w w:val="98"/>
              </w:rPr>
              <w:t>STATEMENT OF ELIGIBILITY</w:t>
            </w:r>
          </w:p>
        </w:tc>
        <w:tc>
          <w:tcPr>
            <w:tcW w:w="1560" w:type="dxa"/>
            <w:vAlign w:val="bottom"/>
          </w:tcPr>
          <w:p>
            <w:pPr>
              <w:spacing w:after="0"/>
              <w:rPr>
                <w:sz w:val="24"/>
                <w:szCs w:val="24"/>
                <w:color w:val="auto"/>
              </w:rPr>
            </w:pPr>
          </w:p>
        </w:tc>
      </w:tr>
      <w:tr>
        <w:trPr>
          <w:trHeight w:val="216"/>
        </w:trPr>
        <w:tc>
          <w:tcPr>
            <w:tcW w:w="8780" w:type="dxa"/>
            <w:vAlign w:val="bottom"/>
            <w:gridSpan w:val="3"/>
          </w:tcPr>
          <w:p>
            <w:pPr>
              <w:jc w:val="center"/>
              <w:ind w:left="2368"/>
              <w:spacing w:after="0"/>
              <w:rPr>
                <w:sz w:val="20"/>
                <w:szCs w:val="20"/>
                <w:color w:val="auto"/>
              </w:rPr>
            </w:pPr>
            <w:r>
              <w:rPr>
                <w:rFonts w:ascii="Arial" w:cs="Arial" w:eastAsia="Arial" w:hAnsi="Arial"/>
                <w:sz w:val="18"/>
                <w:szCs w:val="18"/>
                <w:color w:val="auto"/>
                <w:w w:val="95"/>
              </w:rPr>
              <w:t>UNDER THE TRUST INDENTURE ACT OF 1939 OF A</w:t>
            </w:r>
          </w:p>
        </w:tc>
        <w:tc>
          <w:tcPr>
            <w:tcW w:w="1560" w:type="dxa"/>
            <w:vAlign w:val="bottom"/>
          </w:tcPr>
          <w:p>
            <w:pPr>
              <w:spacing w:after="0"/>
              <w:rPr>
                <w:sz w:val="18"/>
                <w:szCs w:val="18"/>
                <w:color w:val="auto"/>
              </w:rPr>
            </w:pPr>
          </w:p>
        </w:tc>
      </w:tr>
      <w:tr>
        <w:trPr>
          <w:trHeight w:val="230"/>
        </w:trPr>
        <w:tc>
          <w:tcPr>
            <w:tcW w:w="8780" w:type="dxa"/>
            <w:vAlign w:val="bottom"/>
            <w:gridSpan w:val="3"/>
          </w:tcPr>
          <w:p>
            <w:pPr>
              <w:jc w:val="center"/>
              <w:ind w:left="2388"/>
              <w:spacing w:after="0"/>
              <w:rPr>
                <w:sz w:val="20"/>
                <w:szCs w:val="20"/>
                <w:color w:val="auto"/>
              </w:rPr>
            </w:pPr>
            <w:r>
              <w:rPr>
                <w:rFonts w:ascii="Arial" w:cs="Arial" w:eastAsia="Arial" w:hAnsi="Arial"/>
                <w:sz w:val="18"/>
                <w:szCs w:val="18"/>
                <w:color w:val="auto"/>
                <w:w w:val="94"/>
              </w:rPr>
              <w:t>CORPORATION DESIGNATED TO ACT AS TRUSTEE</w:t>
            </w:r>
          </w:p>
        </w:tc>
        <w:tc>
          <w:tcPr>
            <w:tcW w:w="1560" w:type="dxa"/>
            <w:vAlign w:val="bottom"/>
          </w:tcPr>
          <w:p>
            <w:pPr>
              <w:spacing w:after="0"/>
              <w:rPr>
                <w:sz w:val="20"/>
                <w:szCs w:val="20"/>
                <w:color w:val="auto"/>
              </w:rPr>
            </w:pPr>
          </w:p>
        </w:tc>
      </w:tr>
      <w:tr>
        <w:trPr>
          <w:trHeight w:val="216"/>
        </w:trPr>
        <w:tc>
          <w:tcPr>
            <w:tcW w:w="42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320" w:type="dxa"/>
            <w:vAlign w:val="bottom"/>
            <w:gridSpan w:val="2"/>
          </w:tcPr>
          <w:p>
            <w:pPr>
              <w:spacing w:after="0"/>
              <w:rPr>
                <w:sz w:val="18"/>
                <w:szCs w:val="18"/>
                <w:color w:val="auto"/>
              </w:rPr>
            </w:pPr>
          </w:p>
        </w:tc>
      </w:tr>
      <w:tr>
        <w:trPr>
          <w:trHeight w:val="438"/>
        </w:trPr>
        <w:tc>
          <w:tcPr>
            <w:tcW w:w="10340" w:type="dxa"/>
            <w:vAlign w:val="bottom"/>
            <w:gridSpan w:val="4"/>
          </w:tcPr>
          <w:p>
            <w:pPr>
              <w:jc w:val="center"/>
              <w:ind w:left="768"/>
              <w:spacing w:after="0"/>
              <w:rPr>
                <w:sz w:val="20"/>
                <w:szCs w:val="20"/>
                <w:color w:val="auto"/>
              </w:rPr>
            </w:pPr>
            <w:r>
              <w:rPr>
                <w:rFonts w:ascii="Arial" w:cs="Arial" w:eastAsia="Arial" w:hAnsi="Arial"/>
                <w:sz w:val="18"/>
                <w:szCs w:val="18"/>
                <w:color w:val="auto"/>
                <w:w w:val="97"/>
              </w:rPr>
              <w:t>CHECK IF AN APPLICATION TO DETERMINE ELIGIBILITY OF A TRUSTEE PURSUANT TO</w:t>
            </w:r>
          </w:p>
        </w:tc>
      </w:tr>
      <w:tr>
        <w:trPr>
          <w:trHeight w:val="230"/>
        </w:trPr>
        <w:tc>
          <w:tcPr>
            <w:tcW w:w="4220" w:type="dxa"/>
            <w:vAlign w:val="bottom"/>
          </w:tcPr>
          <w:p>
            <w:pPr>
              <w:spacing w:after="0"/>
              <w:rPr>
                <w:sz w:val="20"/>
                <w:szCs w:val="20"/>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18"/>
                <w:szCs w:val="18"/>
                <w:color w:val="auto"/>
                <w:w w:val="93"/>
              </w:rPr>
              <w:t>SECTION 305(b) (2)</w:t>
            </w:r>
          </w:p>
        </w:tc>
        <w:tc>
          <w:tcPr>
            <w:tcW w:w="1560" w:type="dxa"/>
            <w:vAlign w:val="bottom"/>
          </w:tcPr>
          <w:p>
            <w:pPr>
              <w:spacing w:after="0"/>
              <w:rPr>
                <w:sz w:val="20"/>
                <w:szCs w:val="20"/>
                <w:color w:val="auto"/>
              </w:rPr>
            </w:pPr>
          </w:p>
        </w:tc>
      </w:tr>
      <w:tr>
        <w:trPr>
          <w:trHeight w:val="499"/>
        </w:trPr>
        <w:tc>
          <w:tcPr>
            <w:tcW w:w="8780" w:type="dxa"/>
            <w:vAlign w:val="bottom"/>
            <w:gridSpan w:val="3"/>
          </w:tcPr>
          <w:p>
            <w:pPr>
              <w:jc w:val="center"/>
              <w:ind w:left="2368"/>
              <w:spacing w:after="0"/>
              <w:rPr>
                <w:sz w:val="20"/>
                <w:szCs w:val="20"/>
                <w:color w:val="auto"/>
              </w:rPr>
            </w:pPr>
            <w:r>
              <w:rPr>
                <w:rFonts w:ascii="Arial" w:cs="Arial" w:eastAsia="Arial" w:hAnsi="Arial"/>
                <w:sz w:val="25"/>
                <w:szCs w:val="25"/>
                <w:b w:val="1"/>
                <w:bCs w:val="1"/>
                <w:color w:val="auto"/>
              </w:rPr>
              <w:t>WELLS FARGO BANK, NATIONAL ASSOCIATION</w:t>
            </w:r>
          </w:p>
        </w:tc>
        <w:tc>
          <w:tcPr>
            <w:tcW w:w="1560" w:type="dxa"/>
            <w:vAlign w:val="bottom"/>
          </w:tcPr>
          <w:p>
            <w:pPr>
              <w:spacing w:after="0"/>
              <w:rPr>
                <w:sz w:val="24"/>
                <w:szCs w:val="24"/>
                <w:color w:val="auto"/>
              </w:rPr>
            </w:pPr>
          </w:p>
        </w:tc>
      </w:tr>
      <w:tr>
        <w:trPr>
          <w:trHeight w:val="230"/>
        </w:trPr>
        <w:tc>
          <w:tcPr>
            <w:tcW w:w="8780" w:type="dxa"/>
            <w:vAlign w:val="bottom"/>
            <w:gridSpan w:val="3"/>
          </w:tcPr>
          <w:p>
            <w:pPr>
              <w:jc w:val="center"/>
              <w:ind w:left="2368"/>
              <w:spacing w:after="0"/>
              <w:rPr>
                <w:sz w:val="20"/>
                <w:szCs w:val="20"/>
                <w:color w:val="auto"/>
              </w:rPr>
            </w:pPr>
            <w:r>
              <w:rPr>
                <w:rFonts w:ascii="Arial" w:cs="Arial" w:eastAsia="Arial" w:hAnsi="Arial"/>
                <w:sz w:val="18"/>
                <w:szCs w:val="18"/>
                <w:color w:val="auto"/>
                <w:w w:val="90"/>
              </w:rPr>
              <w:t>(Exact name of trustee as specified in its charter)</w:t>
            </w:r>
          </w:p>
        </w:tc>
        <w:tc>
          <w:tcPr>
            <w:tcW w:w="1560" w:type="dxa"/>
            <w:vAlign w:val="bottom"/>
          </w:tcPr>
          <w:p>
            <w:pPr>
              <w:spacing w:after="0"/>
              <w:rPr>
                <w:sz w:val="20"/>
                <w:szCs w:val="20"/>
                <w:color w:val="auto"/>
              </w:rPr>
            </w:pPr>
          </w:p>
        </w:tc>
      </w:tr>
      <w:tr>
        <w:trPr>
          <w:trHeight w:val="418"/>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A National Banking Association</w:t>
            </w:r>
          </w:p>
        </w:tc>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94-1347393</w:t>
            </w:r>
          </w:p>
        </w:tc>
      </w:tr>
      <w:tr>
        <w:trPr>
          <w:trHeight w:val="216"/>
        </w:trPr>
        <w:tc>
          <w:tcPr>
            <w:tcW w:w="8780" w:type="dxa"/>
            <w:vAlign w:val="bottom"/>
            <w:gridSpan w:val="3"/>
          </w:tcPr>
          <w:p>
            <w:pPr>
              <w:spacing w:after="0"/>
              <w:rPr>
                <w:sz w:val="20"/>
                <w:szCs w:val="20"/>
                <w:color w:val="auto"/>
              </w:rPr>
            </w:pPr>
            <w:r>
              <w:rPr>
                <w:rFonts w:ascii="Arial" w:cs="Arial" w:eastAsia="Arial" w:hAnsi="Arial"/>
                <w:sz w:val="18"/>
                <w:szCs w:val="18"/>
                <w:color w:val="auto"/>
              </w:rPr>
              <w:t>(Jurisdiction of incorporation or</w:t>
            </w:r>
          </w:p>
        </w:tc>
        <w:tc>
          <w:tcPr>
            <w:tcW w:w="1560" w:type="dxa"/>
            <w:vAlign w:val="bottom"/>
          </w:tcPr>
          <w:p>
            <w:pPr>
              <w:ind w:left="220"/>
              <w:spacing w:after="0"/>
              <w:rPr>
                <w:sz w:val="20"/>
                <w:szCs w:val="20"/>
                <w:color w:val="auto"/>
              </w:rPr>
            </w:pPr>
            <w:r>
              <w:rPr>
                <w:rFonts w:ascii="Arial" w:cs="Arial" w:eastAsia="Arial" w:hAnsi="Arial"/>
                <w:sz w:val="18"/>
                <w:szCs w:val="18"/>
                <w:color w:val="auto"/>
                <w:w w:val="99"/>
              </w:rPr>
              <w:t>(I.R.S. Employer</w:t>
            </w:r>
          </w:p>
        </w:tc>
      </w:tr>
      <w:tr>
        <w:trPr>
          <w:trHeight w:val="216"/>
        </w:trPr>
        <w:tc>
          <w:tcPr>
            <w:tcW w:w="8780" w:type="dxa"/>
            <w:vAlign w:val="bottom"/>
            <w:gridSpan w:val="3"/>
          </w:tcPr>
          <w:p>
            <w:pPr>
              <w:spacing w:after="0"/>
              <w:rPr>
                <w:sz w:val="20"/>
                <w:szCs w:val="20"/>
                <w:color w:val="auto"/>
              </w:rPr>
            </w:pPr>
            <w:r>
              <w:rPr>
                <w:rFonts w:ascii="Arial" w:cs="Arial" w:eastAsia="Arial" w:hAnsi="Arial"/>
                <w:sz w:val="18"/>
                <w:szCs w:val="18"/>
                <w:color w:val="auto"/>
              </w:rPr>
              <w:t>organization if not a U.S. national</w:t>
            </w:r>
          </w:p>
        </w:tc>
        <w:tc>
          <w:tcPr>
            <w:tcW w:w="1560" w:type="dxa"/>
            <w:vAlign w:val="bottom"/>
          </w:tcPr>
          <w:p>
            <w:pPr>
              <w:ind w:left="220"/>
              <w:spacing w:after="0"/>
              <w:rPr>
                <w:sz w:val="20"/>
                <w:szCs w:val="20"/>
                <w:color w:val="auto"/>
              </w:rPr>
            </w:pPr>
            <w:r>
              <w:rPr>
                <w:rFonts w:ascii="Arial" w:cs="Arial" w:eastAsia="Arial" w:hAnsi="Arial"/>
                <w:sz w:val="18"/>
                <w:szCs w:val="18"/>
                <w:color w:val="auto"/>
                <w:w w:val="94"/>
              </w:rPr>
              <w:t>Identification No.)</w:t>
            </w:r>
          </w:p>
        </w:tc>
      </w:t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rPr>
              <w:t>bank)</w:t>
            </w:r>
          </w:p>
        </w:tc>
        <w:tc>
          <w:tcPr>
            <w:tcW w:w="1560" w:type="dxa"/>
            <w:vAlign w:val="bottom"/>
          </w:tcPr>
          <w:p>
            <w:pPr>
              <w:spacing w:after="0"/>
              <w:rPr>
                <w:sz w:val="20"/>
                <w:szCs w:val="20"/>
                <w:color w:val="auto"/>
              </w:rPr>
            </w:pPr>
          </w:p>
        </w:tc>
      </w:tr>
      <w:tr>
        <w:trPr>
          <w:trHeight w:val="414"/>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101 North Phillips Avenue</w:t>
            </w:r>
          </w:p>
        </w:tc>
        <w:tc>
          <w:tcPr>
            <w:tcW w:w="1560" w:type="dxa"/>
            <w:vAlign w:val="bottom"/>
          </w:tcPr>
          <w:p>
            <w:pPr>
              <w:spacing w:after="0"/>
              <w:rPr>
                <w:sz w:val="24"/>
                <w:szCs w:val="24"/>
                <w:color w:val="auto"/>
              </w:rPr>
            </w:pPr>
          </w:p>
        </w:tc>
      </w:tr>
      <w:tr>
        <w:trPr>
          <w:trHeight w:val="220"/>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Sioux Falls, South Dakota</w:t>
            </w:r>
          </w:p>
        </w:tc>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57104</w:t>
            </w:r>
          </w:p>
        </w:tc>
      </w:t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rPr>
              <w:t>(Address of principal executive offices)</w:t>
            </w:r>
          </w:p>
        </w:tc>
        <w:tc>
          <w:tcPr>
            <w:tcW w:w="1560" w:type="dxa"/>
            <w:vAlign w:val="bottom"/>
          </w:tcPr>
          <w:p>
            <w:pPr>
              <w:ind w:left="220"/>
              <w:spacing w:after="0"/>
              <w:rPr>
                <w:sz w:val="20"/>
                <w:szCs w:val="20"/>
                <w:color w:val="auto"/>
              </w:rPr>
            </w:pPr>
            <w:r>
              <w:rPr>
                <w:rFonts w:ascii="Arial" w:cs="Arial" w:eastAsia="Arial" w:hAnsi="Arial"/>
                <w:sz w:val="18"/>
                <w:szCs w:val="18"/>
                <w:color w:val="auto"/>
              </w:rPr>
              <w:t>(Zip code)</w:t>
            </w:r>
          </w:p>
        </w:tc>
      </w:tr>
      <w:tr>
        <w:trPr>
          <w:trHeight w:val="414"/>
        </w:trPr>
        <w:tc>
          <w:tcPr>
            <w:tcW w:w="4220" w:type="dxa"/>
            <w:vAlign w:val="bottom"/>
          </w:tcPr>
          <w:p>
            <w:pPr>
              <w:spacing w:after="0"/>
              <w:rPr>
                <w:sz w:val="24"/>
                <w:szCs w:val="24"/>
                <w:color w:val="auto"/>
              </w:rPr>
            </w:pPr>
          </w:p>
        </w:tc>
        <w:tc>
          <w:tcPr>
            <w:tcW w:w="45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2"/>
              </w:rPr>
              <w:t>Wells Fargo &amp; Company</w:t>
            </w:r>
          </w:p>
        </w:tc>
        <w:tc>
          <w:tcPr>
            <w:tcW w:w="156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1"/>
              </w:rPr>
              <w:t>Law Department, Trust Section</w:t>
            </w:r>
          </w:p>
        </w:tc>
        <w:tc>
          <w:tcPr>
            <w:tcW w:w="1560" w:type="dxa"/>
            <w:vAlign w:val="bottom"/>
          </w:tcPr>
          <w:p>
            <w:pPr>
              <w:spacing w:after="0"/>
              <w:rPr>
                <w:sz w:val="18"/>
                <w:szCs w:val="18"/>
                <w:color w:val="auto"/>
              </w:rPr>
            </w:pPr>
          </w:p>
        </w:tc>
      </w:tr>
      <w:tr>
        <w:trPr>
          <w:trHeight w:val="220"/>
        </w:trPr>
        <w:tc>
          <w:tcPr>
            <w:tcW w:w="4220" w:type="dxa"/>
            <w:vAlign w:val="bottom"/>
          </w:tcPr>
          <w:p>
            <w:pPr>
              <w:spacing w:after="0"/>
              <w:rPr>
                <w:sz w:val="19"/>
                <w:szCs w:val="19"/>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6"/>
              </w:rPr>
              <w:t>MAC N9305-175</w:t>
            </w:r>
          </w:p>
        </w:tc>
        <w:tc>
          <w:tcPr>
            <w:tcW w:w="1560" w:type="dxa"/>
            <w:vAlign w:val="bottom"/>
          </w:tcPr>
          <w:p>
            <w:pPr>
              <w:spacing w:after="0"/>
              <w:rPr>
                <w:sz w:val="19"/>
                <w:szCs w:val="19"/>
                <w:color w:val="auto"/>
              </w:rPr>
            </w:pPr>
          </w:p>
        </w:tc>
      </w:tr>
      <w:tr>
        <w:trPr>
          <w:trHeight w:val="253"/>
        </w:trPr>
        <w:tc>
          <w:tcPr>
            <w:tcW w:w="8780" w:type="dxa"/>
            <w:vAlign w:val="bottom"/>
            <w:gridSpan w:val="3"/>
          </w:tcPr>
          <w:p>
            <w:pPr>
              <w:jc w:val="center"/>
              <w:ind w:left="2388"/>
              <w:spacing w:after="0" w:line="252" w:lineRule="exact"/>
              <w:rPr>
                <w:sz w:val="20"/>
                <w:szCs w:val="20"/>
                <w:color w:val="auto"/>
              </w:rPr>
            </w:pPr>
            <w:r>
              <w:rPr>
                <w:rFonts w:ascii="Arial" w:cs="Arial" w:eastAsia="Arial" w:hAnsi="Arial"/>
                <w:sz w:val="18"/>
                <w:szCs w:val="18"/>
                <w:b w:val="1"/>
                <w:bCs w:val="1"/>
                <w:color w:val="auto"/>
                <w:w w:val="90"/>
              </w:rPr>
              <w:t>Sixth Street and Marquette Avenue, 17</w:t>
            </w:r>
            <w:r>
              <w:rPr>
                <w:rFonts w:ascii="Arial" w:cs="Arial" w:eastAsia="Arial" w:hAnsi="Arial"/>
                <w:sz w:val="29"/>
                <w:szCs w:val="29"/>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1560" w:type="dxa"/>
            <w:vAlign w:val="bottom"/>
          </w:tcPr>
          <w:p>
            <w:pPr>
              <w:spacing w:after="0"/>
              <w:rPr>
                <w:sz w:val="21"/>
                <w:szCs w:val="21"/>
                <w:color w:val="auto"/>
              </w:rPr>
            </w:pPr>
          </w:p>
        </w:tc>
      </w:tr>
      <w:tr>
        <w:trPr>
          <w:trHeight w:val="216"/>
        </w:trPr>
        <w:tc>
          <w:tcPr>
            <w:tcW w:w="4220" w:type="dxa"/>
            <w:vAlign w:val="bottom"/>
          </w:tcPr>
          <w:p>
            <w:pPr>
              <w:spacing w:after="0"/>
              <w:rPr>
                <w:sz w:val="18"/>
                <w:szCs w:val="18"/>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0"/>
              </w:rPr>
              <w:t>Minneapolis, Minnesota 55479</w:t>
            </w:r>
          </w:p>
        </w:tc>
        <w:tc>
          <w:tcPr>
            <w:tcW w:w="1560" w:type="dxa"/>
            <w:vAlign w:val="bottom"/>
          </w:tcPr>
          <w:p>
            <w:pPr>
              <w:spacing w:after="0"/>
              <w:rPr>
                <w:sz w:val="18"/>
                <w:szCs w:val="18"/>
                <w:color w:val="auto"/>
              </w:rPr>
            </w:pPr>
          </w:p>
        </w:tc>
      </w:tr>
      <w:tr>
        <w:trPr>
          <w:trHeight w:val="220"/>
        </w:trPr>
        <w:tc>
          <w:tcPr>
            <w:tcW w:w="7020" w:type="dxa"/>
            <w:vAlign w:val="bottom"/>
            <w:gridSpan w:val="2"/>
          </w:tcPr>
          <w:p>
            <w:pPr>
              <w:jc w:val="center"/>
              <w:ind w:left="4128"/>
              <w:spacing w:after="0"/>
              <w:rPr>
                <w:sz w:val="20"/>
                <w:szCs w:val="20"/>
                <w:color w:val="auto"/>
              </w:rPr>
            </w:pPr>
            <w:r>
              <w:rPr>
                <w:rFonts w:ascii="Arial" w:cs="Arial" w:eastAsia="Arial" w:hAnsi="Arial"/>
                <w:sz w:val="18"/>
                <w:szCs w:val="18"/>
                <w:b w:val="1"/>
                <w:bCs w:val="1"/>
                <w:color w:val="auto"/>
                <w:w w:val="90"/>
              </w:rPr>
              <w:t>(612) 667-4608</w:t>
            </w: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780" w:type="dxa"/>
            <w:vAlign w:val="bottom"/>
            <w:gridSpan w:val="3"/>
          </w:tcPr>
          <w:p>
            <w:pPr>
              <w:jc w:val="center"/>
              <w:ind w:left="2388"/>
              <w:spacing w:after="0"/>
              <w:rPr>
                <w:sz w:val="20"/>
                <w:szCs w:val="20"/>
                <w:color w:val="auto"/>
              </w:rPr>
            </w:pPr>
            <w:r>
              <w:rPr>
                <w:rFonts w:ascii="Arial" w:cs="Arial" w:eastAsia="Arial" w:hAnsi="Arial"/>
                <w:sz w:val="18"/>
                <w:szCs w:val="18"/>
                <w:color w:val="auto"/>
                <w:w w:val="89"/>
              </w:rPr>
              <w:t>(Name, address and telephone number of agent for service)</w:t>
            </w:r>
          </w:p>
        </w:tc>
        <w:tc>
          <w:tcPr>
            <w:tcW w:w="1560" w:type="dxa"/>
            <w:vAlign w:val="bottom"/>
          </w:tcPr>
          <w:p>
            <w:pPr>
              <w:spacing w:after="0"/>
              <w:rPr>
                <w:sz w:val="20"/>
                <w:szCs w:val="20"/>
                <w:color w:val="auto"/>
              </w:rPr>
            </w:pPr>
          </w:p>
        </w:tc>
      </w:tr>
      <w:tr>
        <w:trPr>
          <w:trHeight w:val="216"/>
        </w:trPr>
        <w:tc>
          <w:tcPr>
            <w:tcW w:w="42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506"/>
        </w:trPr>
        <w:tc>
          <w:tcPr>
            <w:tcW w:w="4220" w:type="dxa"/>
            <w:vAlign w:val="bottom"/>
          </w:tcPr>
          <w:p>
            <w:pPr>
              <w:spacing w:after="0"/>
              <w:rPr>
                <w:sz w:val="24"/>
                <w:szCs w:val="24"/>
                <w:color w:val="auto"/>
              </w:rPr>
            </w:pPr>
          </w:p>
        </w:tc>
        <w:tc>
          <w:tcPr>
            <w:tcW w:w="4560" w:type="dxa"/>
            <w:vAlign w:val="bottom"/>
            <w:gridSpan w:val="2"/>
          </w:tcPr>
          <w:p>
            <w:pPr>
              <w:jc w:val="center"/>
              <w:ind w:right="1740"/>
              <w:spacing w:after="0"/>
              <w:rPr>
                <w:sz w:val="20"/>
                <w:szCs w:val="20"/>
                <w:color w:val="auto"/>
              </w:rPr>
            </w:pPr>
            <w:r>
              <w:rPr>
                <w:rFonts w:ascii="Arial" w:cs="Arial" w:eastAsia="Arial" w:hAnsi="Arial"/>
                <w:sz w:val="25"/>
                <w:szCs w:val="25"/>
                <w:b w:val="1"/>
                <w:bCs w:val="1"/>
                <w:color w:val="auto"/>
              </w:rPr>
              <w:t>AVNET, INC</w:t>
            </w:r>
          </w:p>
        </w:tc>
        <w:tc>
          <w:tcPr>
            <w:tcW w:w="1560" w:type="dxa"/>
            <w:vAlign w:val="bottom"/>
          </w:tcPr>
          <w:p>
            <w:pPr>
              <w:spacing w:after="0"/>
              <w:rPr>
                <w:sz w:val="24"/>
                <w:szCs w:val="24"/>
                <w:color w:val="auto"/>
              </w:rPr>
            </w:pPr>
          </w:p>
        </w:tc>
      </w:tr>
      <w:tr>
        <w:trPr>
          <w:trHeight w:val="230"/>
        </w:trPr>
        <w:tc>
          <w:tcPr>
            <w:tcW w:w="8780" w:type="dxa"/>
            <w:vAlign w:val="bottom"/>
            <w:gridSpan w:val="3"/>
          </w:tcPr>
          <w:p>
            <w:pPr>
              <w:jc w:val="center"/>
              <w:ind w:left="2368"/>
              <w:spacing w:after="0"/>
              <w:rPr>
                <w:sz w:val="20"/>
                <w:szCs w:val="20"/>
                <w:color w:val="auto"/>
              </w:rPr>
            </w:pPr>
            <w:r>
              <w:rPr>
                <w:rFonts w:ascii="Arial" w:cs="Arial" w:eastAsia="Arial" w:hAnsi="Arial"/>
                <w:sz w:val="18"/>
                <w:szCs w:val="18"/>
                <w:color w:val="auto"/>
                <w:w w:val="91"/>
              </w:rPr>
              <w:t>(Exact name of obligor as specified in its charter)</w:t>
            </w:r>
          </w:p>
        </w:tc>
        <w:tc>
          <w:tcPr>
            <w:tcW w:w="1560" w:type="dxa"/>
            <w:vAlign w:val="bottom"/>
          </w:tcPr>
          <w:p>
            <w:pPr>
              <w:spacing w:after="0"/>
              <w:rPr>
                <w:sz w:val="20"/>
                <w:szCs w:val="20"/>
                <w:color w:val="auto"/>
              </w:rPr>
            </w:pPr>
          </w:p>
        </w:tc>
      </w:tr>
      <w:tr>
        <w:trPr>
          <w:trHeight w:val="418"/>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New York</w:t>
            </w:r>
          </w:p>
        </w:tc>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11-1890605</w:t>
            </w:r>
          </w:p>
        </w:tc>
      </w:tr>
      <w:tr>
        <w:trPr>
          <w:trHeight w:val="216"/>
        </w:trPr>
        <w:tc>
          <w:tcPr>
            <w:tcW w:w="8780" w:type="dxa"/>
            <w:vAlign w:val="bottom"/>
            <w:gridSpan w:val="3"/>
          </w:tcPr>
          <w:p>
            <w:pPr>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ind w:left="220"/>
              <w:spacing w:after="0"/>
              <w:rPr>
                <w:sz w:val="20"/>
                <w:szCs w:val="20"/>
                <w:color w:val="auto"/>
              </w:rPr>
            </w:pPr>
            <w:r>
              <w:rPr>
                <w:rFonts w:ascii="Arial" w:cs="Arial" w:eastAsia="Arial" w:hAnsi="Arial"/>
                <w:sz w:val="18"/>
                <w:szCs w:val="18"/>
                <w:color w:val="auto"/>
                <w:w w:val="99"/>
              </w:rPr>
              <w:t>(I.R.S. Employer</w:t>
            </w:r>
          </w:p>
        </w:tc>
      </w:t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1560" w:type="dxa"/>
            <w:vAlign w:val="bottom"/>
          </w:tcPr>
          <w:p>
            <w:pPr>
              <w:ind w:left="220"/>
              <w:spacing w:after="0"/>
              <w:rPr>
                <w:sz w:val="20"/>
                <w:szCs w:val="20"/>
                <w:color w:val="auto"/>
              </w:rPr>
            </w:pPr>
            <w:r>
              <w:rPr>
                <w:rFonts w:ascii="Arial" w:cs="Arial" w:eastAsia="Arial" w:hAnsi="Arial"/>
                <w:sz w:val="18"/>
                <w:szCs w:val="18"/>
                <w:color w:val="auto"/>
                <w:w w:val="94"/>
              </w:rPr>
              <w:t>Identification No.)</w:t>
            </w:r>
          </w:p>
        </w:tc>
      </w:tr>
      <w:tr>
        <w:trPr>
          <w:trHeight w:val="454"/>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2211 South 47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w:t>
            </w:r>
          </w:p>
        </w:tc>
        <w:tc>
          <w:tcPr>
            <w:tcW w:w="1560" w:type="dxa"/>
            <w:vAlign w:val="bottom"/>
          </w:tcPr>
          <w:p>
            <w:pPr>
              <w:spacing w:after="0"/>
              <w:rPr>
                <w:sz w:val="24"/>
                <w:szCs w:val="24"/>
                <w:color w:val="auto"/>
              </w:rPr>
            </w:pPr>
          </w:p>
        </w:tc>
      </w:tr>
      <w:tr>
        <w:trPr>
          <w:trHeight w:val="220"/>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Phoenix, AZ</w:t>
            </w:r>
          </w:p>
        </w:tc>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85034</w:t>
            </w:r>
          </w:p>
        </w:tc>
      </w:t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rPr>
              <w:t>(Address of principal executive offices)</w:t>
            </w:r>
          </w:p>
        </w:tc>
        <w:tc>
          <w:tcPr>
            <w:tcW w:w="1560" w:type="dxa"/>
            <w:vAlign w:val="bottom"/>
          </w:tcPr>
          <w:p>
            <w:pPr>
              <w:ind w:left="220"/>
              <w:spacing w:after="0"/>
              <w:rPr>
                <w:sz w:val="20"/>
                <w:szCs w:val="20"/>
                <w:color w:val="auto"/>
              </w:rPr>
            </w:pPr>
            <w:r>
              <w:rPr>
                <w:rFonts w:ascii="Arial" w:cs="Arial" w:eastAsia="Arial" w:hAnsi="Arial"/>
                <w:sz w:val="18"/>
                <w:szCs w:val="18"/>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7"/>
          </w:tcPr>
          <w:p>
            <w:pPr>
              <w:spacing w:after="0"/>
              <w:rPr>
                <w:sz w:val="20"/>
                <w:szCs w:val="20"/>
                <w:color w:val="auto"/>
              </w:rPr>
            </w:pPr>
            <w:r>
              <w:rPr>
                <w:rFonts w:ascii="Arial" w:cs="Arial" w:eastAsia="Arial" w:hAnsi="Arial"/>
                <w:sz w:val="18"/>
                <w:szCs w:val="18"/>
                <w:color w:val="auto"/>
              </w:rPr>
              <w:t>General Information. Furnish the following information as to the trustee:</w:t>
            </w: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(a)</w:t>
            </w:r>
          </w:p>
        </w:tc>
        <w:tc>
          <w:tcPr>
            <w:tcW w:w="9360" w:type="dxa"/>
            <w:vAlign w:val="bottom"/>
            <w:gridSpan w:val="6"/>
          </w:tcPr>
          <w:p>
            <w:pPr>
              <w:ind w:left="40"/>
              <w:spacing w:after="0"/>
              <w:rPr>
                <w:sz w:val="20"/>
                <w:szCs w:val="20"/>
                <w:color w:val="auto"/>
              </w:rPr>
            </w:pPr>
            <w:r>
              <w:rPr>
                <w:rFonts w:ascii="Arial" w:cs="Arial" w:eastAsia="Arial" w:hAnsi="Arial"/>
                <w:sz w:val="18"/>
                <w:szCs w:val="18"/>
                <w:color w:val="auto"/>
              </w:rPr>
              <w:t>Name and address of each examining or supervising authority to which it is subject.</w:t>
            </w:r>
          </w:p>
        </w:tc>
      </w:tr>
      <w:tr>
        <w:trPr>
          <w:trHeight w:val="418"/>
        </w:trPr>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Comptroller of the Currency</w:t>
            </w:r>
          </w:p>
        </w:tc>
      </w:tr>
      <w:tr>
        <w:trPr>
          <w:trHeight w:val="216"/>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Treasury Department</w:t>
            </w:r>
          </w:p>
        </w:tc>
      </w:tr>
      <w:tr>
        <w:trPr>
          <w:trHeight w:val="230"/>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Washington, D.C.</w:t>
            </w:r>
          </w:p>
        </w:tc>
      </w:tr>
      <w:tr>
        <w:trPr>
          <w:trHeight w:val="418"/>
        </w:trPr>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Federal Deposit Insurance Corporation</w:t>
            </w:r>
          </w:p>
        </w:tc>
      </w:tr>
      <w:tr>
        <w:trPr>
          <w:trHeight w:val="230"/>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Washington, D.C.</w:t>
            </w:r>
          </w:p>
        </w:tc>
      </w:tr>
      <w:tr>
        <w:trPr>
          <w:trHeight w:val="418"/>
        </w:trPr>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Federal Reserve Bank of San Francisco</w:t>
            </w:r>
          </w:p>
        </w:tc>
      </w:tr>
      <w:tr>
        <w:trPr>
          <w:trHeight w:val="230"/>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San Francisco, California 94120</w:t>
            </w:r>
          </w:p>
        </w:tc>
      </w:tr>
      <w:tr>
        <w:trPr>
          <w:trHeight w:val="432"/>
        </w:trPr>
        <w:tc>
          <w:tcPr>
            <w:tcW w:w="98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(b)</w:t>
            </w:r>
          </w:p>
        </w:tc>
        <w:tc>
          <w:tcPr>
            <w:tcW w:w="9360" w:type="dxa"/>
            <w:vAlign w:val="bottom"/>
            <w:gridSpan w:val="6"/>
          </w:tcPr>
          <w:p>
            <w:pPr>
              <w:ind w:left="40"/>
              <w:spacing w:after="0"/>
              <w:rPr>
                <w:sz w:val="20"/>
                <w:szCs w:val="20"/>
                <w:color w:val="auto"/>
              </w:rPr>
            </w:pPr>
            <w:r>
              <w:rPr>
                <w:rFonts w:ascii="Arial" w:cs="Arial" w:eastAsia="Arial" w:hAnsi="Arial"/>
                <w:sz w:val="18"/>
                <w:szCs w:val="18"/>
                <w:color w:val="auto"/>
              </w:rPr>
              <w:t>Whether it is authorized to exercise corporate trust powers.</w:t>
            </w:r>
          </w:p>
        </w:tc>
      </w:tr>
      <w:tr>
        <w:trPr>
          <w:trHeight w:val="432"/>
        </w:trPr>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60" w:type="dxa"/>
            <w:vAlign w:val="bottom"/>
            <w:gridSpan w:val="6"/>
          </w:tcPr>
          <w:p>
            <w:pPr>
              <w:ind w:left="8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7"/>
          </w:tcPr>
          <w:p>
            <w:pPr>
              <w:spacing w:after="0"/>
              <w:rPr>
                <w:sz w:val="20"/>
                <w:szCs w:val="20"/>
                <w:color w:val="auto"/>
              </w:rPr>
            </w:pPr>
            <w:r>
              <w:rPr>
                <w:rFonts w:ascii="Arial" w:cs="Arial" w:eastAsia="Arial" w:hAnsi="Arial"/>
                <w:sz w:val="18"/>
                <w:szCs w:val="18"/>
                <w:color w:val="auto"/>
              </w:rPr>
              <w:t>Affiliations with Obligor. If the obligor is an affiliate of the trustee, describe each such affiliation.</w:t>
            </w:r>
          </w:p>
        </w:tc>
      </w:tr>
      <w:tr>
        <w:trPr>
          <w:trHeight w:val="20"/>
        </w:trPr>
        <w:tc>
          <w:tcPr>
            <w:tcW w:w="9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7"/>
          </w:tcPr>
          <w:p>
            <w:pPr>
              <w:ind w:left="32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1240" w:type="dxa"/>
            <w:vAlign w:val="bottom"/>
            <w:gridSpan w:val="8"/>
          </w:tcPr>
          <w:p>
            <w:pPr>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1240" w:type="dxa"/>
            <w:vAlign w:val="bottom"/>
            <w:gridSpan w:val="4"/>
          </w:tcPr>
          <w:p>
            <w:pPr>
              <w:spacing w:after="0"/>
              <w:rPr>
                <w:sz w:val="20"/>
                <w:szCs w:val="20"/>
                <w:color w:val="auto"/>
              </w:rPr>
            </w:pPr>
            <w:r>
              <w:rPr>
                <w:rFonts w:ascii="Arial" w:cs="Arial" w:eastAsia="Arial" w:hAnsi="Arial"/>
                <w:sz w:val="18"/>
                <w:szCs w:val="18"/>
                <w:color w:val="auto"/>
                <w:w w:val="92"/>
              </w:rPr>
              <w:t>Foreign Trustee.</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ind w:left="760"/>
              <w:spacing w:after="0"/>
              <w:rPr>
                <w:sz w:val="20"/>
                <w:szCs w:val="20"/>
                <w:color w:val="auto"/>
              </w:rPr>
            </w:pPr>
            <w:r>
              <w:rPr>
                <w:rFonts w:ascii="Arial" w:cs="Arial" w:eastAsia="Arial" w:hAnsi="Arial"/>
                <w:sz w:val="18"/>
                <w:szCs w:val="18"/>
                <w:color w:val="auto"/>
              </w:rPr>
              <w:t>Not applicable.</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16.</w:t>
            </w: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5"/>
              </w:rPr>
              <w:t>List of Exhibits.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ind w:left="76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453"/>
        </w:trPr>
        <w:tc>
          <w:tcPr>
            <w:tcW w:w="980" w:type="dxa"/>
            <w:vAlign w:val="bottom"/>
          </w:tcPr>
          <w:p>
            <w:pPr>
              <w:spacing w:after="0"/>
              <w:rPr>
                <w:sz w:val="24"/>
                <w:szCs w:val="24"/>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7"/>
              </w:rPr>
              <w:t>Exhibit 1.</w:t>
            </w: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418"/>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w w:val="93"/>
              </w:rPr>
              <w:t>A copy of the Comptroller of the Currency Certificate of Corporate Existence and Fiduciary Powers for Wells Fargo Bank,</w:t>
            </w:r>
          </w:p>
        </w:tc>
      </w:tr>
      <w:tr>
        <w:trPr>
          <w:trHeight w:val="230"/>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National Association, dated February 4, 2004.**</w:t>
            </w:r>
          </w:p>
        </w:tc>
      </w:tr>
      <w:tr>
        <w:trPr>
          <w:trHeight w:val="432"/>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See Exhibit 2</w:t>
            </w:r>
          </w:p>
        </w:tc>
      </w:tr>
      <w:tr>
        <w:trPr>
          <w:trHeight w:val="432"/>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Copy of By-laws of the trustee as now in effect.***</w:t>
            </w:r>
          </w:p>
        </w:tc>
      </w:tr>
      <w:tr>
        <w:trPr>
          <w:trHeight w:val="432"/>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w w:val="95"/>
              </w:rPr>
              <w:t>A copy of the latest report of condition of the trustee published pursuant to law or the requirements of its supervising or</w:t>
            </w:r>
          </w:p>
        </w:tc>
      </w:tr>
      <w:tr>
        <w:trPr>
          <w:trHeight w:val="230"/>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examining authority.</w:t>
            </w:r>
          </w:p>
        </w:tc>
      </w:tr>
      <w:tr>
        <w:trPr>
          <w:trHeight w:val="432"/>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97"/>
              </w:rPr>
              <w:t>Exhibit 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Not applicable.</w:t>
            </w:r>
          </w:p>
        </w:tc>
      </w:tr>
      <w:tr>
        <w:trPr>
          <w:trHeight w:val="675"/>
        </w:trPr>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3" w:name="page24"/>
    <w:bookmarkEnd w:id="23"/>
    <w:p>
      <w:pPr>
        <w:ind w:left="368" w:hanging="368"/>
        <w:spacing w:after="0"/>
        <w:tabs>
          <w:tab w:leader="none" w:pos="3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the exhibit of the same number to the trustee’s Form T-1 filed as exhibit 25 to the Form S-4 dated December 30,</w:t>
      </w:r>
    </w:p>
    <w:p>
      <w:pPr>
        <w:spacing w:after="0" w:line="46"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18"/>
          <w:szCs w:val="18"/>
          <w:color w:val="auto"/>
        </w:rPr>
        <w:t>2005 of file number 333-130784-06.</w:t>
      </w:r>
    </w:p>
    <w:p>
      <w:pPr>
        <w:spacing w:after="0" w:line="211" w:lineRule="exact"/>
        <w:rPr>
          <w:sz w:val="20"/>
          <w:szCs w:val="20"/>
          <w:color w:val="auto"/>
        </w:rPr>
      </w:pPr>
    </w:p>
    <w:p>
      <w:pPr>
        <w:ind w:left="8" w:hanging="8"/>
        <w:spacing w:after="0" w:line="277" w:lineRule="auto"/>
        <w:tabs>
          <w:tab w:leader="none" w:pos="3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T-3 dated March 3, 2004 of file number 022-28721.</w:t>
      </w:r>
    </w:p>
    <w:p>
      <w:pPr>
        <w:spacing w:after="0" w:line="170" w:lineRule="exact"/>
        <w:rPr>
          <w:rFonts w:ascii="Arial" w:cs="Arial" w:eastAsia="Arial" w:hAnsi="Arial"/>
          <w:sz w:val="18"/>
          <w:szCs w:val="18"/>
          <w:color w:val="auto"/>
        </w:rPr>
      </w:pPr>
    </w:p>
    <w:p>
      <w:pPr>
        <w:ind w:left="8" w:right="100" w:hanging="8"/>
        <w:spacing w:after="0" w:line="277"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408940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8"/>
          </w:cols>
          <w:pgMar w:left="652" w:top="908" w:right="49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Los Angeles and State of California on the 24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January, 2022</w:t>
      </w:r>
    </w:p>
    <w:p>
      <w:pPr>
        <w:spacing w:after="0" w:line="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COMPUTERSHARE TRUST COMPANY, N.A., AS AGENT FOR WELLS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FARGO BANK, NATIONAL ASSOCIATION, 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Katherine M. O'Brien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Katherine M. O'Brien Mathis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5" w:name="page26"/>
    <w:bookmarkEnd w:id="25"/>
    <w:p>
      <w:pPr>
        <w:ind w:left="4880"/>
        <w:spacing w:after="0"/>
        <w:rPr>
          <w:sz w:val="20"/>
          <w:szCs w:val="20"/>
          <w:color w:val="auto"/>
        </w:rPr>
      </w:pPr>
      <w:r>
        <w:rPr>
          <w:rFonts w:ascii="Arial" w:cs="Arial" w:eastAsia="Arial" w:hAnsi="Arial"/>
          <w:sz w:val="18"/>
          <w:szCs w:val="18"/>
          <w:color w:val="auto"/>
        </w:rPr>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COMPUTERSHARE TRUST COMPANY, N.A., AS AGENT FOR WELLS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FARGO BANK, NATIONAL ASSOCIATION, 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Katherine M. O'Brien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Katherine M. O'Brien Mathis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September 30, 2021, filed in accordance with 12 U.S.C. §161 for National Banks.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Dollar Amounts</w:t>
            </w:r>
          </w:p>
        </w:tc>
      </w:tr>
      <w:tr>
        <w:trPr>
          <w:trHeight w:val="230"/>
        </w:trPr>
        <w:tc>
          <w:tcPr>
            <w:tcW w:w="7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In Millions</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balances and currency and coin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24,470</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Interest-bearing balances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239,601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262,493</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175,975</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Equity Securities with readily determinable fair value not held for trading</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in domestic offices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Securities purchased under agreements to resell</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72,580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Loans and leases held for sale</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22,157</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and leases, net of unearned income</w:t>
            </w:r>
          </w:p>
        </w:tc>
        <w:tc>
          <w:tcPr>
            <w:tcW w:w="2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821,020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LESS: Allowance for loan and lease losses</w:t>
            </w:r>
          </w:p>
        </w:tc>
        <w:tc>
          <w:tcPr>
            <w:tcW w:w="2640" w:type="dxa"/>
            <w:vAlign w:val="bottom"/>
          </w:tcPr>
          <w:p>
            <w:pPr>
              <w:jc w:val="right"/>
              <w:ind w:right="230"/>
              <w:spacing w:after="0"/>
              <w:rPr>
                <w:sz w:val="20"/>
                <w:szCs w:val="20"/>
                <w:color w:val="auto"/>
              </w:rPr>
            </w:pPr>
            <w:r>
              <w:rPr>
                <w:rFonts w:ascii="Arial" w:cs="Arial" w:eastAsia="Arial" w:hAnsi="Arial"/>
                <w:sz w:val="18"/>
                <w:szCs w:val="18"/>
                <w:color w:val="auto"/>
              </w:rPr>
              <w:t>13,315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and leases, net of unearned income and allowance</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807,705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Trading Assets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75,487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13,836</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assets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50,492</w:t>
            </w:r>
          </w:p>
        </w:tc>
      </w:tr>
      <w:tr>
        <w:trPr>
          <w:trHeight w:val="216"/>
        </w:trPr>
        <w:tc>
          <w:tcPr>
            <w:tcW w:w="7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color w:val="auto"/>
              </w:rPr>
              <w:t>Total assets</w:t>
            </w:r>
          </w:p>
        </w:tc>
        <w:tc>
          <w:tcPr>
            <w:tcW w:w="2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1,786,611</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LIABILITIES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In domestic offices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1,486,000</w:t>
            </w:r>
          </w:p>
        </w:tc>
      </w:tr>
      <w:tr>
        <w:trPr>
          <w:trHeight w:val="21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575,044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640" w:type="dxa"/>
            <w:vAlign w:val="bottom"/>
          </w:tcPr>
          <w:p>
            <w:pPr>
              <w:jc w:val="right"/>
              <w:ind w:right="230"/>
              <w:spacing w:after="0"/>
              <w:rPr>
                <w:sz w:val="20"/>
                <w:szCs w:val="20"/>
                <w:color w:val="auto"/>
              </w:rPr>
            </w:pPr>
            <w:r>
              <w:rPr>
                <w:rFonts w:ascii="Arial" w:cs="Arial" w:eastAsia="Arial" w:hAnsi="Arial"/>
                <w:sz w:val="18"/>
                <w:szCs w:val="18"/>
                <w:color w:val="auto"/>
              </w:rPr>
              <w:t>910,956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foreign offices, Edge and Agreement subsidiaries, and IBFs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28,970</w:t>
            </w: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640" w:type="dxa"/>
            <w:vAlign w:val="bottom"/>
          </w:tcPr>
          <w:p>
            <w:pPr>
              <w:jc w:val="right"/>
              <w:ind w:right="230"/>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28,723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purchased in domestic offices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5,868</w:t>
            </w:r>
          </w:p>
        </w:tc>
      </w:tr>
      <w:tr>
        <w:trPr>
          <w:trHeight w:val="661"/>
        </w:trPr>
        <w:tc>
          <w:tcPr>
            <w:tcW w:w="7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Dollar Amounts</w:t>
            </w:r>
          </w:p>
        </w:tc>
        <w:tc>
          <w:tcPr>
            <w:tcW w:w="0" w:type="dxa"/>
            <w:vAlign w:val="bottom"/>
          </w:tcPr>
          <w:p>
            <w:pPr>
              <w:spacing w:after="0"/>
              <w:rPr>
                <w:sz w:val="1"/>
                <w:szCs w:val="1"/>
                <w:color w:val="auto"/>
              </w:rPr>
            </w:pPr>
          </w:p>
        </w:tc>
      </w:tr>
      <w:tr>
        <w:trPr>
          <w:trHeight w:val="229"/>
        </w:trPr>
        <w:tc>
          <w:tcPr>
            <w:tcW w:w="8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209"/>
        </w:trPr>
        <w:tc>
          <w:tcPr>
            <w:tcW w:w="8080" w:type="dxa"/>
            <w:vAlign w:val="bottom"/>
            <w:tcBorders>
              <w:top w:val="single" w:sz="8" w:color="CCEEFF"/>
            </w:tcBorders>
            <w:vMerge w:val="continue"/>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tcPr>
          <w:p>
            <w:pPr>
              <w:spacing w:after="0" w:line="201" w:lineRule="exact"/>
              <w:rPr>
                <w:sz w:val="20"/>
                <w:szCs w:val="20"/>
                <w:color w:val="auto"/>
              </w:rPr>
            </w:pPr>
            <w:r>
              <w:rPr>
                <w:rFonts w:ascii="Arial" w:cs="Arial" w:eastAsia="Arial" w:hAnsi="Arial"/>
                <w:sz w:val="18"/>
                <w:szCs w:val="18"/>
                <w:color w:val="auto"/>
              </w:rPr>
              <w:t>Other borrowed money</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31,958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liabilities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32,786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Total liabilities</w:t>
            </w:r>
          </w:p>
        </w:tc>
        <w:tc>
          <w:tcPr>
            <w:tcW w:w="1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EQUITY CAPITAL</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Common stock</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114,820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171,811</w:t>
            </w:r>
          </w:p>
        </w:tc>
        <w:tc>
          <w:tcPr>
            <w:tcW w:w="0" w:type="dxa"/>
            <w:vAlign w:val="bottom"/>
          </w:tcPr>
          <w:p>
            <w:pPr>
              <w:spacing w:after="0"/>
              <w:rPr>
                <w:sz w:val="1"/>
                <w:szCs w:val="1"/>
                <w:color w:val="auto"/>
              </w:rPr>
            </w:pPr>
          </w:p>
        </w:tc>
      </w:tr>
      <w:tr>
        <w:trPr>
          <w:trHeight w:val="216"/>
        </w:trPr>
        <w:tc>
          <w:tcPr>
            <w:tcW w:w="808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-3334385</wp:posOffset>
            </wp:positionV>
            <wp:extent cx="71323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18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 Michael P. Santomassimo,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46" w:lineRule="exact"/>
        <w:rPr>
          <w:sz w:val="20"/>
          <w:szCs w:val="20"/>
          <w:color w:val="auto"/>
        </w:rPr>
      </w:pPr>
    </w:p>
    <w:p>
      <w:pPr>
        <w:ind w:left="9220"/>
        <w:spacing w:after="0"/>
        <w:rPr>
          <w:sz w:val="20"/>
          <w:szCs w:val="20"/>
          <w:color w:val="auto"/>
        </w:rPr>
      </w:pPr>
      <w:r>
        <w:rPr>
          <w:rFonts w:ascii="Arial" w:cs="Arial" w:eastAsia="Arial" w:hAnsi="Arial"/>
          <w:sz w:val="17"/>
          <w:szCs w:val="17"/>
          <w:color w:val="auto"/>
        </w:rPr>
        <w:t>Michael P. Santomassimo</w:t>
      </w:r>
    </w:p>
    <w:p>
      <w:pPr>
        <w:spacing w:after="0" w:line="35"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Sr. EVP &amp; CFO</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Maria R.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Theodore F. Craver,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A. Pujadas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2)"/>
      <w:numFmt w:val="lowerRoman"/>
      <w:start w:val="1"/>
    </w:lvl>
  </w:abstractNum>
  <w:abstractNum w:abstractNumId="10">
    <w:nsid w:val="1BEFD79F"/>
    <w:multiLevelType w:val="hybridMultilevel"/>
    <w:lvl w:ilvl="0">
      <w:lvlJc w:val="left"/>
      <w:lvlText w:val="(%1)"/>
      <w:numFmt w:val="lowerRoman"/>
      <w:start w:val="3"/>
    </w:lvl>
  </w:abstractNum>
  <w:abstractNum w:abstractNumId="11">
    <w:nsid w:val="41A7C4C9"/>
    <w:multiLevelType w:val="hybridMultilevel"/>
    <w:lvl w:ilvl="0">
      <w:lvlJc w:val="left"/>
      <w:lvlText w:val="(%1)"/>
      <w:numFmt w:val="decimal"/>
      <w:start w:val="2"/>
    </w:lvl>
    <w:lvl w:ilvl="1">
      <w:lvlJc w:val="left"/>
      <w:lvlText w:val="(%2)"/>
      <w:numFmt w:val="lowerRoman"/>
      <w:start w:val="1"/>
    </w:lvl>
  </w:abstractNum>
  <w:abstractNum w:abstractNumId="12">
    <w:nsid w:val="6B68079A"/>
    <w:multiLevelType w:val="hybridMultilevel"/>
    <w:lvl w:ilvl="0">
      <w:lvlJc w:val="left"/>
      <w:lvlText w:val="%1"/>
      <w:numFmt w:val="decimal"/>
      <w:start w:val="1"/>
    </w:lvl>
    <w:lvl w:ilvl="1">
      <w:lvlJc w:val="left"/>
      <w:lvlText w:val="(%2)"/>
      <w:numFmt w:val="lowerRoman"/>
      <w:start w:val="1"/>
    </w:lvl>
  </w:abstractNum>
  <w:abstractNum w:abstractNumId="13">
    <w:nsid w:val="4E6AFB66"/>
    <w:multiLevelType w:val="hybridMultilevel"/>
    <w:lvl w:ilvl="0">
      <w:lvlJc w:val="left"/>
      <w:lvlText w:val="(%1)"/>
      <w:numFmt w:val="decimal"/>
      <w:start w:val="6"/>
    </w:lvl>
    <w:lvl w:ilvl="1">
      <w:lvlJc w:val="left"/>
      <w:lvlText w:val="%2"/>
      <w:numFmt w:val="lowerRoman"/>
      <w:start w:val="1"/>
    </w:lvl>
  </w:abstractNum>
  <w:abstractNum w:abstractNumId="14">
    <w:nsid w:val="25E45D32"/>
    <w:multiLevelType w:val="hybridMultilevel"/>
    <w:lvl w:ilvl="0">
      <w:lvlJc w:val="left"/>
      <w:lvlText w:val="(%1)"/>
      <w:numFmt w:val="lowerRoman"/>
      <w:start w:val="5"/>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17" Type="http://schemas.openxmlformats.org/officeDocument/2006/relationships/hyperlink" Target="http://www.sec.gov/ix?doc=/Archives/edgar/data/8858/000000885821000036/avt-20210703x10k.htm" TargetMode="External"/><Relationship Id="rId18" Type="http://schemas.openxmlformats.org/officeDocument/2006/relationships/hyperlink" Target="http://www.sec.gov/ix?doc=/Archives/edgar/data/8858/000000885821000048/avt-20211002x10q.htm" TargetMode="External"/><Relationship Id="rId19" Type="http://schemas.openxmlformats.org/officeDocument/2006/relationships/hyperlink" Target="https://www.sec.gov/ix?doc=/Archives/edgar/data/8858/000000885822000010/avt-20220101x10q.htm" TargetMode="External"/><Relationship Id="rId20" Type="http://schemas.openxmlformats.org/officeDocument/2006/relationships/hyperlink" Target="http://www.sec.gov/ix?doc=/Archives/edgar/data/8858/000110465921107076/tm2125327d1_8k.htm" TargetMode="External"/><Relationship Id="rId21" Type="http://schemas.openxmlformats.org/officeDocument/2006/relationships/hyperlink" Target="http://www.sec.gov/ix?doc=/Archives/edgar/data/8858/000110465921109331/tm2125801d1_8k.htm" TargetMode="External"/><Relationship Id="rId22" Type="http://schemas.openxmlformats.org/officeDocument/2006/relationships/hyperlink" Target="http://www.sec.gov/ix?doc=/Archives/edgar/data/8858/000000885821000040/avt-20211006x8k.htm" TargetMode="External"/><Relationship Id="rId23" Type="http://schemas.openxmlformats.org/officeDocument/2006/relationships/hyperlink" Target="http://www.sec.gov/ix?doc=/Archives/edgar/data/8858/000110465921141870/tm2133460d1_8k.htm" TargetMode="External"/><Relationship Id="rId24" Type="http://schemas.openxmlformats.org/officeDocument/2006/relationships/hyperlink" Target="http://www.sec.gov/Archives/edgar/data/8858/000000885819000035/avt-20190629ex41617fba7.htm" TargetMode="External"/><Relationship Id="rId32" Type="http://schemas.openxmlformats.org/officeDocument/2006/relationships/hyperlink" Target="http://www.sec.gov/Archives/edgar/data/8858/000095015301000138/p64582ex3-i.txt" TargetMode="External"/><Relationship Id="rId33" Type="http://schemas.openxmlformats.org/officeDocument/2006/relationships/hyperlink" Target="http://www.sec.gov/Archives/edgar/data/8858/000129993314000752/exhibit1.htm" TargetMode="External"/><Relationship Id="rId34" Type="http://schemas.openxmlformats.org/officeDocument/2006/relationships/hyperlink" Target="http://www.sec.gov/Archives/edgar/data/8858/000129993310002436/exhibi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2022-01-28T07:26:42Z</dcterms:created>
  <dcterms:modified xsi:type="dcterms:W3CDTF">2022-01-28T07:26:42Z</dcterms:modified>
</cp:coreProperties>
</file>